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方正小标宋简体"/>
          <w:color w:val="auto"/>
          <w:spacing w:val="9"/>
          <w:sz w:val="44"/>
          <w:szCs w:val="44"/>
          <w:lang w:val="zh-CN"/>
        </w:rPr>
      </w:pPr>
      <w:r>
        <w:rPr>
          <w:rFonts w:hint="eastAsia" w:eastAsia="方正小标宋简体"/>
          <w:color w:val="auto"/>
          <w:spacing w:val="9"/>
          <w:sz w:val="44"/>
          <w:szCs w:val="44"/>
          <w:lang w:val="zh-CN"/>
        </w:rPr>
        <w:t>江门市食品药品行政许可申请人</w:t>
      </w:r>
    </w:p>
    <w:p>
      <w:pPr>
        <w:spacing w:line="660" w:lineRule="exact"/>
        <w:jc w:val="center"/>
        <w:rPr>
          <w:rFonts w:eastAsia="方正小标宋简体"/>
          <w:color w:val="auto"/>
          <w:spacing w:val="9"/>
          <w:sz w:val="44"/>
          <w:szCs w:val="44"/>
          <w:lang w:val="zh-CN"/>
        </w:rPr>
      </w:pPr>
      <w:r>
        <w:rPr>
          <w:rFonts w:hint="eastAsia" w:eastAsia="方正小标宋简体"/>
          <w:color w:val="auto"/>
          <w:spacing w:val="9"/>
          <w:sz w:val="44"/>
          <w:szCs w:val="44"/>
          <w:lang w:val="zh-CN"/>
        </w:rPr>
        <w:t>承诺制试点改革实施方案</w:t>
      </w:r>
    </w:p>
    <w:p>
      <w:pPr>
        <w:spacing w:line="660" w:lineRule="exact"/>
        <w:jc w:val="center"/>
        <w:rPr>
          <w:rFonts w:ascii="楷体_GB2312" w:hAnsi="楷体_GB2312" w:eastAsia="楷体_GB2312" w:cs="楷体_GB2312"/>
          <w:b/>
          <w:bCs/>
          <w:color w:val="auto"/>
          <w:spacing w:val="9"/>
          <w:sz w:val="32"/>
          <w:szCs w:val="32"/>
          <w:lang w:val="zh-CN"/>
        </w:rPr>
      </w:pPr>
      <w:r>
        <w:rPr>
          <w:rFonts w:hint="eastAsia" w:ascii="楷体_GB2312" w:hAnsi="楷体_GB2312" w:eastAsia="楷体_GB2312" w:cs="楷体_GB2312"/>
          <w:b/>
          <w:bCs/>
          <w:color w:val="auto"/>
          <w:spacing w:val="9"/>
          <w:sz w:val="32"/>
          <w:szCs w:val="32"/>
          <w:lang w:val="zh-CN"/>
        </w:rPr>
        <w:t>（征求意见稿）</w:t>
      </w:r>
    </w:p>
    <w:p>
      <w:pPr>
        <w:spacing w:line="600" w:lineRule="exact"/>
        <w:ind w:firstLine="640" w:firstLineChars="200"/>
        <w:rPr>
          <w:rFonts w:eastAsia="仿宋_GB2312"/>
          <w:color w:val="auto"/>
          <w:kern w:val="0"/>
          <w:sz w:val="32"/>
          <w:szCs w:val="32"/>
          <w:lang w:val="zh-CN"/>
        </w:rPr>
      </w:pP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为深入学习贯彻落实党的十九大精神，放宽服务业准入限制，完善市场监管体制，根据市第十三次党代会关于实施“承诺制”的改革要求，继续深化“简政放权、放管结合、优化服务”改革，我市将在食品药品行政许可领域开展申请人承诺制改革试点。为确保改革顺利推行，特制定本方案。</w:t>
      </w:r>
    </w:p>
    <w:p>
      <w:pPr>
        <w:spacing w:line="600" w:lineRule="exact"/>
        <w:ind w:firstLine="640" w:firstLineChars="200"/>
        <w:rPr>
          <w:rFonts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一、工作目标</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将事中事后监管作为“申请人承诺制”改革有效运行的支撑点和行政管理工作的重心，实现监管部门从传统的集权管制向现代的契约化、柔性化管理方向转变，促进食品药品生产、经营主体全面自主落实质量安全主体责任，推进质量安全信用体系建设工作。</w:t>
      </w:r>
    </w:p>
    <w:p>
      <w:pPr>
        <w:spacing w:line="600" w:lineRule="exact"/>
        <w:ind w:firstLine="640" w:firstLineChars="200"/>
        <w:rPr>
          <w:rFonts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二、实施范围及时间</w:t>
      </w:r>
    </w:p>
    <w:p>
      <w:pPr>
        <w:spacing w:line="600" w:lineRule="exact"/>
        <w:ind w:firstLine="643" w:firstLineChars="200"/>
        <w:rPr>
          <w:rFonts w:ascii="楷体_GB2312" w:hAnsi="楷体_GB2312" w:eastAsia="楷体_GB2312" w:cs="楷体_GB2312"/>
          <w:b/>
          <w:bCs/>
          <w:color w:val="auto"/>
          <w:kern w:val="0"/>
          <w:sz w:val="32"/>
          <w:szCs w:val="32"/>
          <w:lang w:val="zh-CN"/>
        </w:rPr>
      </w:pPr>
      <w:r>
        <w:rPr>
          <w:rFonts w:hint="eastAsia" w:ascii="楷体_GB2312" w:hAnsi="楷体_GB2312" w:eastAsia="楷体_GB2312" w:cs="楷体_GB2312"/>
          <w:b/>
          <w:bCs/>
          <w:color w:val="auto"/>
          <w:kern w:val="0"/>
          <w:sz w:val="32"/>
          <w:szCs w:val="32"/>
          <w:lang w:val="zh-CN"/>
        </w:rPr>
        <w:t>（一）试点范围：</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1．《食品生产许可证》核发</w:t>
      </w:r>
      <w:r>
        <w:rPr>
          <w:rFonts w:hint="eastAsia" w:ascii="仿宋_GB2312" w:hAnsi="仿宋_GB2312" w:eastAsia="仿宋_GB2312" w:cs="仿宋_GB2312"/>
          <w:color w:val="auto"/>
          <w:kern w:val="0"/>
          <w:sz w:val="32"/>
          <w:szCs w:val="32"/>
          <w:lang w:val="zh-CN"/>
        </w:rPr>
        <w:t>[</w:t>
      </w:r>
      <w:r>
        <w:rPr>
          <w:rFonts w:hint="eastAsia" w:eastAsia="仿宋_GB2312"/>
          <w:color w:val="000000"/>
          <w:kern w:val="0"/>
          <w:sz w:val="32"/>
          <w:szCs w:val="32"/>
        </w:rPr>
        <w:t>经营项目仅限茶叶（边销茶除外）、蔬菜制品、炒货食品及坚果制品等3</w:t>
      </w:r>
      <w:r>
        <w:rPr>
          <w:rFonts w:hint="eastAsia" w:ascii="仿宋_GB2312" w:eastAsia="仿宋_GB2312"/>
          <w:color w:val="000000"/>
          <w:kern w:val="0"/>
          <w:sz w:val="32"/>
          <w:szCs w:val="32"/>
        </w:rPr>
        <w:t>类</w:t>
      </w:r>
      <w:r>
        <w:rPr>
          <w:rFonts w:hint="eastAsia" w:ascii="仿宋_GB2312" w:hAnsi="仿宋_GB2312" w:eastAsia="仿宋_GB2312" w:cs="仿宋_GB2312"/>
          <w:color w:val="auto"/>
          <w:kern w:val="0"/>
          <w:sz w:val="32"/>
          <w:szCs w:val="32"/>
          <w:lang w:val="zh-CN"/>
        </w:rPr>
        <w:t>]</w:t>
      </w:r>
      <w:r>
        <w:rPr>
          <w:rFonts w:hint="eastAsia" w:eastAsia="仿宋_GB2312"/>
          <w:color w:val="auto"/>
          <w:kern w:val="0"/>
          <w:sz w:val="32"/>
          <w:szCs w:val="32"/>
          <w:lang w:val="zh-CN"/>
        </w:rPr>
        <w:t>、延续（食品添加剂除外）、变更（食品添加剂及新增食品类别、新增生产场所除外）；</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2．五邑地区现有门店≥1</w:t>
      </w:r>
      <w:bookmarkStart w:id="0" w:name="_GoBack"/>
      <w:bookmarkEnd w:id="0"/>
      <w:r>
        <w:rPr>
          <w:rFonts w:hint="eastAsia" w:eastAsia="仿宋_GB2312"/>
          <w:color w:val="auto"/>
          <w:kern w:val="0"/>
          <w:sz w:val="32"/>
          <w:szCs w:val="32"/>
          <w:lang w:val="zh-CN"/>
        </w:rPr>
        <w:t>5间的餐饮服务连锁企业新开门店或经营场所面积在200㎡以下（含200㎡）的餐饮服务经营者、经营场所面积在100㎡以下（含100㎡）的单位食堂《食品经营许可证》新办，限定经营项目为：热食类食品制售、糕点类食品制售（不含裱花蛋糕）、自制饮品制售（不含自酿酒）；</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3．主体业态为餐饮服务经营者和单位食堂的《食品经营许可证》延续、变更；</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4．主体业态为食品销售经营者的《食品经营许可证》新办、延续、变更；</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5．经营主体为零售药店的《医疗器械经营许可证》核发、延续、变更；其他医疗器械专营门店的《医疗器械经营许可证》变更、延续；</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6．《药品经营许可证》（零售）换发、变更（变更经营场所除外）和新开药店的筹建环节。</w:t>
      </w:r>
    </w:p>
    <w:p>
      <w:pPr>
        <w:spacing w:line="600" w:lineRule="exact"/>
        <w:ind w:firstLine="643" w:firstLineChars="200"/>
        <w:rPr>
          <w:rFonts w:eastAsia="楷体_GB2312"/>
          <w:b/>
          <w:bCs/>
          <w:color w:val="auto"/>
          <w:kern w:val="0"/>
          <w:sz w:val="32"/>
          <w:szCs w:val="32"/>
          <w:lang w:val="zh-CN"/>
        </w:rPr>
      </w:pPr>
      <w:r>
        <w:rPr>
          <w:rFonts w:eastAsia="楷体_GB2312"/>
          <w:b/>
          <w:bCs/>
          <w:color w:val="auto"/>
          <w:kern w:val="0"/>
          <w:sz w:val="32"/>
          <w:szCs w:val="32"/>
          <w:lang w:val="zh-CN"/>
        </w:rPr>
        <w:t>（二）实施时间：自2019年7月1日起。</w:t>
      </w:r>
    </w:p>
    <w:p>
      <w:pPr>
        <w:spacing w:line="600" w:lineRule="exact"/>
        <w:ind w:firstLine="640" w:firstLineChars="200"/>
        <w:rPr>
          <w:rFonts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三、实施原则</w:t>
      </w:r>
    </w:p>
    <w:p>
      <w:pPr>
        <w:spacing w:line="600" w:lineRule="exact"/>
        <w:ind w:firstLine="643" w:firstLineChars="200"/>
        <w:rPr>
          <w:rFonts w:eastAsia="仿宋_GB2312"/>
          <w:color w:val="auto"/>
          <w:kern w:val="0"/>
          <w:sz w:val="32"/>
          <w:szCs w:val="32"/>
          <w:lang w:val="zh-CN"/>
        </w:rPr>
      </w:pPr>
      <w:r>
        <w:rPr>
          <w:rFonts w:hint="eastAsia" w:eastAsia="楷体_GB2312"/>
          <w:b/>
          <w:bCs/>
          <w:color w:val="auto"/>
          <w:kern w:val="0"/>
          <w:sz w:val="32"/>
          <w:szCs w:val="32"/>
          <w:lang w:val="zh-CN"/>
        </w:rPr>
        <w:t>（一）创新突破原则。</w:t>
      </w:r>
      <w:r>
        <w:rPr>
          <w:rFonts w:hint="eastAsia" w:eastAsia="仿宋_GB2312"/>
          <w:color w:val="auto"/>
          <w:kern w:val="0"/>
          <w:sz w:val="32"/>
          <w:szCs w:val="32"/>
          <w:lang w:val="zh-CN"/>
        </w:rPr>
        <w:t>坚持解放思想、创新驱动，在原有行政许可申请人承诺制的基础上，进一步放宽适用范围，优化审批流程，通过完善配套制度，进一步提高审批服务效率。</w:t>
      </w:r>
    </w:p>
    <w:p>
      <w:pPr>
        <w:spacing w:line="600" w:lineRule="exact"/>
        <w:ind w:firstLine="643" w:firstLineChars="200"/>
        <w:rPr>
          <w:rFonts w:eastAsia="仿宋_GB2312"/>
          <w:color w:val="auto"/>
          <w:kern w:val="0"/>
          <w:sz w:val="32"/>
          <w:szCs w:val="32"/>
          <w:lang w:val="zh-CN"/>
        </w:rPr>
      </w:pPr>
      <w:r>
        <w:rPr>
          <w:rFonts w:hint="eastAsia" w:eastAsia="楷体_GB2312"/>
          <w:b/>
          <w:bCs/>
          <w:color w:val="auto"/>
          <w:kern w:val="0"/>
          <w:sz w:val="32"/>
          <w:szCs w:val="32"/>
          <w:lang w:val="zh-CN"/>
        </w:rPr>
        <w:t>（二）宽进严管原则。</w:t>
      </w:r>
      <w:r>
        <w:rPr>
          <w:rFonts w:hint="eastAsia" w:eastAsia="仿宋_GB2312"/>
          <w:color w:val="auto"/>
          <w:kern w:val="0"/>
          <w:sz w:val="32"/>
          <w:szCs w:val="32"/>
          <w:lang w:val="zh-CN"/>
        </w:rPr>
        <w:t>加大体制机制改革力度，着力推动部门职能重心从审批为主转移到加强监管和提升服务上来，建立健全审批、监管相配套的服务模式，强化事中事后监管。</w:t>
      </w:r>
    </w:p>
    <w:p>
      <w:pPr>
        <w:spacing w:line="600" w:lineRule="exact"/>
        <w:ind w:firstLine="643" w:firstLineChars="200"/>
        <w:rPr>
          <w:rFonts w:eastAsia="仿宋_GB2312"/>
          <w:color w:val="auto"/>
          <w:kern w:val="0"/>
          <w:sz w:val="32"/>
          <w:szCs w:val="32"/>
          <w:lang w:val="zh-CN"/>
        </w:rPr>
      </w:pPr>
      <w:r>
        <w:rPr>
          <w:rFonts w:hint="eastAsia" w:eastAsia="楷体_GB2312"/>
          <w:b/>
          <w:bCs/>
          <w:color w:val="auto"/>
          <w:kern w:val="0"/>
          <w:sz w:val="32"/>
          <w:szCs w:val="32"/>
          <w:lang w:val="zh-CN"/>
        </w:rPr>
        <w:t>（三）规范诚信原则。</w:t>
      </w:r>
      <w:r>
        <w:rPr>
          <w:rFonts w:hint="eastAsia" w:eastAsia="仿宋_GB2312"/>
          <w:color w:val="auto"/>
          <w:kern w:val="0"/>
          <w:sz w:val="32"/>
          <w:szCs w:val="32"/>
          <w:lang w:val="zh-CN"/>
        </w:rPr>
        <w:t>在行政审批中引入信用监督机制，引导申请人自觉遵守法律法规，恪守职业道德，逐步实现“一次违规,处处受限”监管格局。</w:t>
      </w:r>
    </w:p>
    <w:p>
      <w:pPr>
        <w:spacing w:line="600" w:lineRule="exact"/>
        <w:ind w:firstLine="640" w:firstLineChars="200"/>
        <w:rPr>
          <w:rFonts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四、办理流程</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相关申请人书面承诺按许可事项的条件和标准建设，符合许可条件后方开展相关食品生产经营、药品经营、医疗器械经营，并自愿依法承担相应法律责任的，审批部门可以当场或者当天发放相关的审批决定，审批发证后，由后续监管部门在规定的时限内完成监督检查工作并依法处理。</w:t>
      </w:r>
    </w:p>
    <w:p>
      <w:pPr>
        <w:spacing w:line="600" w:lineRule="exact"/>
        <w:ind w:firstLine="643" w:firstLineChars="200"/>
        <w:rPr>
          <w:rFonts w:eastAsia="仿宋_GB2312"/>
          <w:color w:val="auto"/>
          <w:kern w:val="0"/>
          <w:sz w:val="32"/>
          <w:szCs w:val="32"/>
          <w:lang w:val="zh-CN"/>
        </w:rPr>
      </w:pPr>
      <w:r>
        <w:rPr>
          <w:rFonts w:hint="eastAsia" w:eastAsia="楷体_GB2312"/>
          <w:b/>
          <w:bCs/>
          <w:color w:val="auto"/>
          <w:kern w:val="0"/>
          <w:sz w:val="32"/>
          <w:szCs w:val="32"/>
          <w:lang w:val="zh-CN"/>
        </w:rPr>
        <w:t>（一）书面告知。</w:t>
      </w:r>
      <w:r>
        <w:rPr>
          <w:rFonts w:hint="eastAsia" w:eastAsia="仿宋_GB2312"/>
          <w:color w:val="auto"/>
          <w:kern w:val="0"/>
          <w:sz w:val="32"/>
          <w:szCs w:val="32"/>
          <w:lang w:val="zh-CN"/>
        </w:rPr>
        <w:t>通过书面形式告知申请人“行政许可申请人承诺制”的申请人的资质条件和许可事项的准入条件、办理流程、违约责任等。</w:t>
      </w:r>
    </w:p>
    <w:p>
      <w:pPr>
        <w:spacing w:line="600" w:lineRule="exact"/>
        <w:ind w:firstLine="643" w:firstLineChars="200"/>
        <w:rPr>
          <w:rFonts w:eastAsia="仿宋_GB2312"/>
          <w:color w:val="auto"/>
          <w:kern w:val="0"/>
          <w:sz w:val="32"/>
          <w:szCs w:val="32"/>
          <w:lang w:val="zh-CN"/>
        </w:rPr>
      </w:pPr>
      <w:r>
        <w:rPr>
          <w:rFonts w:hint="eastAsia" w:eastAsia="楷体_GB2312"/>
          <w:b/>
          <w:bCs/>
          <w:color w:val="auto"/>
          <w:kern w:val="0"/>
          <w:sz w:val="32"/>
          <w:szCs w:val="32"/>
          <w:lang w:val="zh-CN"/>
        </w:rPr>
        <w:t>（二）提交申请。</w:t>
      </w:r>
      <w:r>
        <w:rPr>
          <w:rFonts w:hint="eastAsia" w:eastAsia="仿宋_GB2312"/>
          <w:color w:val="auto"/>
          <w:kern w:val="0"/>
          <w:sz w:val="32"/>
          <w:szCs w:val="32"/>
          <w:lang w:val="zh-CN"/>
        </w:rPr>
        <w:t>初步准许的申请人（经办人员要求：个体工商户应为经营者本人；企业法人应为企业法定代表人本人；机关事业单位应为本单位主管部门的负责人并应出具法定代表人签名并加盖公章的授权委托书）根据《自查表》开展自查，若没有禁止采用承诺制的情形，申请事项已符合或者经过改造可以达到相关条件的，则书面承诺按许可事项的条件和标准建设，符合许可条件后方开展相关生产经营行为，并依法自愿承担相应法律责任的，同时按申请类别提交相应申请资料。</w:t>
      </w:r>
    </w:p>
    <w:p>
      <w:pPr>
        <w:spacing w:line="600" w:lineRule="exact"/>
        <w:ind w:firstLine="643" w:firstLineChars="200"/>
        <w:rPr>
          <w:rFonts w:eastAsia="仿宋_GB2312"/>
          <w:color w:val="auto"/>
          <w:kern w:val="0"/>
          <w:sz w:val="32"/>
          <w:szCs w:val="32"/>
          <w:lang w:val="zh-CN"/>
        </w:rPr>
      </w:pPr>
      <w:r>
        <w:rPr>
          <w:rFonts w:hint="eastAsia" w:eastAsia="楷体_GB2312"/>
          <w:b/>
          <w:bCs/>
          <w:color w:val="auto"/>
          <w:kern w:val="0"/>
          <w:sz w:val="32"/>
          <w:szCs w:val="32"/>
          <w:lang w:val="zh-CN"/>
        </w:rPr>
        <w:t>（三）现场受理、核查和审批。</w:t>
      </w:r>
      <w:r>
        <w:rPr>
          <w:rFonts w:hint="eastAsia" w:eastAsia="仿宋_GB2312"/>
          <w:color w:val="auto"/>
          <w:kern w:val="0"/>
          <w:sz w:val="32"/>
          <w:szCs w:val="32"/>
          <w:lang w:val="zh-CN"/>
        </w:rPr>
        <w:t>申请人提交申请材料齐全的，受理窗口人员当场对申请人资质和申报材料进行审核，主要审核申请人是否存在信用失信或者食品、医疗器械行业限制、禁入的情形，申报材料是否真实、完整、齐全，对符合条件的，当场发放《行政许可决定书》，当场或5个工作日内颁发许可证；对不符合条件的，出具《不适用行政许可申请人承诺制告知书》，申请人改由一般程序申办。</w:t>
      </w:r>
    </w:p>
    <w:p>
      <w:pPr>
        <w:spacing w:line="600" w:lineRule="exact"/>
        <w:ind w:firstLine="643" w:firstLineChars="200"/>
        <w:rPr>
          <w:rFonts w:eastAsia="仿宋_GB2312"/>
          <w:color w:val="auto"/>
          <w:kern w:val="0"/>
          <w:sz w:val="32"/>
          <w:szCs w:val="32"/>
          <w:lang w:val="zh-CN"/>
        </w:rPr>
      </w:pPr>
      <w:r>
        <w:rPr>
          <w:rFonts w:hint="eastAsia" w:eastAsia="楷体_GB2312"/>
          <w:b/>
          <w:bCs/>
          <w:color w:val="auto"/>
          <w:kern w:val="0"/>
          <w:sz w:val="32"/>
          <w:szCs w:val="32"/>
          <w:lang w:val="zh-CN"/>
        </w:rPr>
        <w:t>（四）后续监管。</w:t>
      </w:r>
      <w:r>
        <w:rPr>
          <w:rFonts w:hint="eastAsia" w:eastAsia="仿宋_GB2312"/>
          <w:color w:val="auto"/>
          <w:kern w:val="0"/>
          <w:sz w:val="32"/>
          <w:szCs w:val="32"/>
          <w:lang w:val="zh-CN"/>
        </w:rPr>
        <w:t>需现场核查类事项，后续监管部门应在3个月内完成监督检查工作。不需现场核查类事项，由相关责任部门纳入日常监管，并严格按照食品生产经营、药品经营、医疗器械经营监管相关法律法规要求，加强事中事后监管，督促生产经营者落实质量安全主体责任。</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具体事项办理详见附件（1-4）指引材料。</w:t>
      </w:r>
    </w:p>
    <w:p>
      <w:pPr>
        <w:spacing w:line="600" w:lineRule="exact"/>
        <w:ind w:firstLine="640" w:firstLineChars="200"/>
        <w:rPr>
          <w:rFonts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五、违约处理</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后续监管中发现准许的申请人经营情况与申报材料及承诺的条件不符，存在虚假承诺的，应根据违约事实是否主观故意分别处理。</w:t>
      </w:r>
    </w:p>
    <w:p>
      <w:pPr>
        <w:spacing w:line="600" w:lineRule="exact"/>
        <w:ind w:firstLine="643" w:firstLineChars="200"/>
        <w:rPr>
          <w:rFonts w:eastAsia="仿宋_GB2312"/>
          <w:color w:val="auto"/>
          <w:kern w:val="0"/>
          <w:sz w:val="32"/>
          <w:szCs w:val="32"/>
          <w:lang w:val="zh-CN"/>
        </w:rPr>
      </w:pPr>
      <w:r>
        <w:rPr>
          <w:rFonts w:hint="eastAsia" w:eastAsia="楷体_GB2312"/>
          <w:b/>
          <w:bCs/>
          <w:color w:val="auto"/>
          <w:kern w:val="0"/>
          <w:sz w:val="32"/>
          <w:szCs w:val="32"/>
          <w:lang w:val="zh-CN"/>
        </w:rPr>
        <w:t>（一）</w:t>
      </w:r>
      <w:r>
        <w:rPr>
          <w:rFonts w:hint="eastAsia" w:eastAsia="仿宋_GB2312"/>
          <w:color w:val="auto"/>
          <w:kern w:val="0"/>
          <w:sz w:val="32"/>
          <w:szCs w:val="32"/>
          <w:lang w:val="zh-CN"/>
        </w:rPr>
        <w:t>不属主观故意的，责令限期整改。准予一次整改机会，整改时限20个工作日。</w:t>
      </w:r>
    </w:p>
    <w:p>
      <w:pPr>
        <w:spacing w:line="600" w:lineRule="exact"/>
        <w:ind w:firstLine="643" w:firstLineChars="200"/>
        <w:rPr>
          <w:rFonts w:eastAsia="仿宋_GB2312"/>
          <w:color w:val="auto"/>
          <w:kern w:val="0"/>
          <w:sz w:val="32"/>
          <w:szCs w:val="32"/>
          <w:lang w:val="zh-CN"/>
        </w:rPr>
      </w:pPr>
      <w:r>
        <w:rPr>
          <w:rFonts w:hint="eastAsia" w:eastAsia="楷体_GB2312"/>
          <w:b/>
          <w:bCs/>
          <w:color w:val="auto"/>
          <w:kern w:val="0"/>
          <w:sz w:val="32"/>
          <w:szCs w:val="32"/>
          <w:lang w:val="zh-CN"/>
        </w:rPr>
        <w:t>（二）</w:t>
      </w:r>
      <w:r>
        <w:rPr>
          <w:rFonts w:hint="eastAsia" w:eastAsia="仿宋_GB2312"/>
          <w:color w:val="auto"/>
          <w:kern w:val="0"/>
          <w:sz w:val="32"/>
          <w:szCs w:val="32"/>
          <w:lang w:val="zh-CN"/>
        </w:rPr>
        <w:t>属主观故意的或者限期整改后复核仍未达到承诺条件的，应作以下处理：</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1．对违约失信行为进行曝光，在市场监管局政务网、信用江门网等媒介上公示该违约者的失信情形。</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2．涉及其他违法行为的，移交稽查部门依法处理。</w:t>
      </w:r>
    </w:p>
    <w:p>
      <w:pPr>
        <w:spacing w:line="600" w:lineRule="exact"/>
        <w:ind w:firstLine="640" w:firstLineChars="200"/>
        <w:rPr>
          <w:rFonts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六、工作要求</w:t>
      </w:r>
    </w:p>
    <w:p>
      <w:pPr>
        <w:spacing w:line="600" w:lineRule="exact"/>
        <w:ind w:firstLine="643" w:firstLineChars="200"/>
        <w:rPr>
          <w:rFonts w:eastAsia="仿宋_GB2312"/>
          <w:color w:val="auto"/>
          <w:kern w:val="0"/>
          <w:sz w:val="32"/>
          <w:szCs w:val="32"/>
          <w:lang w:val="zh-CN"/>
        </w:rPr>
      </w:pPr>
      <w:r>
        <w:rPr>
          <w:rFonts w:hint="eastAsia" w:eastAsia="楷体_GB2312"/>
          <w:b/>
          <w:bCs/>
          <w:color w:val="auto"/>
          <w:kern w:val="0"/>
          <w:sz w:val="32"/>
          <w:szCs w:val="32"/>
          <w:lang w:val="zh-CN"/>
        </w:rPr>
        <w:t>（一）加大宣传指引。</w:t>
      </w:r>
      <w:r>
        <w:rPr>
          <w:rFonts w:hint="eastAsia" w:eastAsia="仿宋_GB2312"/>
          <w:color w:val="auto"/>
          <w:kern w:val="0"/>
          <w:sz w:val="32"/>
          <w:szCs w:val="32"/>
          <w:lang w:val="zh-CN"/>
        </w:rPr>
        <w:t>在受理窗口、局政务网站等地公布“申请人承诺制”审批适用范围、办理流程、许可要求、承诺书式样、法律责任等相关信息。做好许可证办理指引工作，印制、派发相关办事指南。</w:t>
      </w:r>
    </w:p>
    <w:p>
      <w:pPr>
        <w:spacing w:line="600" w:lineRule="exact"/>
        <w:ind w:firstLine="643" w:firstLineChars="200"/>
        <w:rPr>
          <w:rFonts w:eastAsia="仿宋_GB2312"/>
          <w:color w:val="auto"/>
          <w:kern w:val="0"/>
          <w:sz w:val="32"/>
          <w:szCs w:val="32"/>
          <w:lang w:val="zh-CN"/>
        </w:rPr>
      </w:pPr>
      <w:r>
        <w:rPr>
          <w:rFonts w:hint="eastAsia" w:eastAsia="楷体_GB2312"/>
          <w:b/>
          <w:bCs/>
          <w:color w:val="auto"/>
          <w:kern w:val="0"/>
          <w:sz w:val="32"/>
          <w:szCs w:val="32"/>
          <w:lang w:val="zh-CN"/>
        </w:rPr>
        <w:t>（二）加强事中事后监管。</w:t>
      </w:r>
      <w:r>
        <w:rPr>
          <w:rFonts w:hint="eastAsia" w:eastAsia="仿宋_GB2312"/>
          <w:color w:val="auto"/>
          <w:kern w:val="0"/>
          <w:sz w:val="32"/>
          <w:szCs w:val="32"/>
          <w:lang w:val="zh-CN"/>
        </w:rPr>
        <w:t>切实加强对实施“申请人承诺制”的审批事项的事中事后监管，根据审批事项存在的安全隐患高低和监管工作的需要，综合评定承诺事项的风险，风险程度高的应尽快完成后续核查监管工作。</w:t>
      </w:r>
    </w:p>
    <w:p>
      <w:pPr>
        <w:spacing w:line="600" w:lineRule="exact"/>
        <w:ind w:firstLine="643" w:firstLineChars="200"/>
        <w:rPr>
          <w:rFonts w:eastAsia="仿宋_GB2312"/>
          <w:color w:val="auto"/>
          <w:kern w:val="0"/>
          <w:sz w:val="32"/>
          <w:szCs w:val="32"/>
          <w:lang w:val="zh-CN"/>
        </w:rPr>
      </w:pPr>
      <w:r>
        <w:rPr>
          <w:rFonts w:hint="eastAsia" w:eastAsia="楷体_GB2312"/>
          <w:b/>
          <w:bCs/>
          <w:color w:val="auto"/>
          <w:kern w:val="0"/>
          <w:sz w:val="32"/>
          <w:szCs w:val="32"/>
          <w:lang w:val="zh-CN"/>
        </w:rPr>
        <w:t>（三）加强工作指导信息报送。</w:t>
      </w:r>
      <w:r>
        <w:rPr>
          <w:rFonts w:hint="eastAsia" w:eastAsia="仿宋_GB2312"/>
          <w:color w:val="auto"/>
          <w:kern w:val="0"/>
          <w:sz w:val="32"/>
          <w:szCs w:val="32"/>
          <w:lang w:val="zh-CN"/>
        </w:rPr>
        <w:t>市局相关业务科室要加强对各单位“申请人承诺制”工作的指导，要及时监督、检查、总结工作经验，收集掌握社会各方意见建议，及时协调解决实施过程中出现的问题。各市（区）局于每月</w:t>
      </w:r>
      <w:r>
        <w:rPr>
          <w:rFonts w:hint="eastAsia" w:eastAsia="仿宋_GB2312"/>
          <w:color w:val="auto"/>
          <w:kern w:val="0"/>
          <w:sz w:val="32"/>
          <w:szCs w:val="32"/>
          <w:lang w:val="en-US" w:eastAsia="zh-CN"/>
        </w:rPr>
        <w:t>5日前填报《承诺制实施情况统计表》至市局食品市场安全监督管理科。</w:t>
      </w:r>
    </w:p>
    <w:p>
      <w:pPr>
        <w:spacing w:line="600" w:lineRule="exact"/>
        <w:ind w:firstLine="640" w:firstLineChars="200"/>
        <w:rPr>
          <w:rFonts w:eastAsia="仿宋_GB2312"/>
          <w:color w:val="auto"/>
          <w:kern w:val="0"/>
          <w:sz w:val="32"/>
          <w:szCs w:val="32"/>
          <w:lang w:val="zh-CN"/>
        </w:rPr>
      </w:pP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附件：1．申请人承诺制申办告知书（通用）</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 xml:space="preserve">      2．申请人承诺制许可承诺书（通用）</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 xml:space="preserve">      3．不适用行政许可申请人承诺制告知书（通用）</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 xml:space="preserve">      4．承诺制实施情况统计表</w:t>
      </w:r>
    </w:p>
    <w:p>
      <w:pPr>
        <w:spacing w:line="600" w:lineRule="exact"/>
        <w:ind w:firstLine="640" w:firstLineChars="200"/>
        <w:rPr>
          <w:rFonts w:eastAsia="仿宋_GB2312"/>
          <w:color w:val="auto"/>
          <w:kern w:val="0"/>
          <w:sz w:val="32"/>
          <w:szCs w:val="32"/>
          <w:lang w:val="zh-CN"/>
        </w:rPr>
      </w:pPr>
    </w:p>
    <w:p>
      <w:pPr>
        <w:spacing w:line="600" w:lineRule="exact"/>
        <w:ind w:firstLine="640" w:firstLineChars="200"/>
        <w:rPr>
          <w:rFonts w:eastAsia="仿宋_GB2312"/>
          <w:color w:val="auto"/>
          <w:kern w:val="0"/>
          <w:sz w:val="32"/>
          <w:szCs w:val="32"/>
          <w:lang w:val="zh-CN"/>
        </w:rPr>
      </w:pPr>
    </w:p>
    <w:p>
      <w:pPr>
        <w:spacing w:line="600" w:lineRule="exact"/>
        <w:rPr>
          <w:rFonts w:eastAsia="仿宋_GB2312"/>
          <w:color w:val="auto"/>
          <w:kern w:val="0"/>
          <w:sz w:val="32"/>
          <w:szCs w:val="32"/>
          <w:lang w:val="zh-CN"/>
        </w:rPr>
      </w:pPr>
    </w:p>
    <w:p>
      <w:pPr>
        <w:spacing w:line="600" w:lineRule="exact"/>
        <w:rPr>
          <w:rFonts w:eastAsia="黑体"/>
          <w:color w:val="auto"/>
          <w:kern w:val="0"/>
          <w:sz w:val="32"/>
          <w:szCs w:val="32"/>
          <w:lang w:val="zh-CN"/>
        </w:rPr>
      </w:pPr>
      <w:r>
        <w:rPr>
          <w:rFonts w:eastAsia="黑体"/>
          <w:color w:val="auto"/>
          <w:kern w:val="0"/>
          <w:sz w:val="32"/>
          <w:szCs w:val="32"/>
          <w:lang w:val="zh-CN"/>
        </w:rPr>
        <w:t>附件1</w:t>
      </w:r>
    </w:p>
    <w:p>
      <w:pPr>
        <w:spacing w:line="660" w:lineRule="exact"/>
        <w:jc w:val="center"/>
        <w:rPr>
          <w:rFonts w:eastAsia="方正小标宋简体"/>
          <w:color w:val="auto"/>
          <w:spacing w:val="9"/>
          <w:sz w:val="44"/>
          <w:szCs w:val="44"/>
          <w:lang w:val="zh-CN"/>
        </w:rPr>
      </w:pPr>
      <w:r>
        <w:rPr>
          <w:rFonts w:hint="eastAsia" w:eastAsia="方正小标宋简体"/>
          <w:color w:val="auto"/>
          <w:spacing w:val="9"/>
          <w:sz w:val="44"/>
          <w:szCs w:val="44"/>
          <w:lang w:val="zh-CN"/>
        </w:rPr>
        <w:t>申请人承诺制申办告知书</w:t>
      </w:r>
    </w:p>
    <w:p>
      <w:pPr>
        <w:spacing w:line="660" w:lineRule="exact"/>
        <w:jc w:val="center"/>
        <w:rPr>
          <w:rFonts w:ascii="楷体_GB2312" w:hAnsi="楷体_GB2312" w:eastAsia="楷体_GB2312" w:cs="楷体_GB2312"/>
          <w:b/>
          <w:bCs/>
          <w:color w:val="auto"/>
          <w:spacing w:val="9"/>
          <w:sz w:val="32"/>
          <w:szCs w:val="32"/>
          <w:lang w:val="zh-CN"/>
        </w:rPr>
      </w:pPr>
      <w:r>
        <w:rPr>
          <w:rFonts w:hint="eastAsia" w:ascii="楷体_GB2312" w:hAnsi="楷体_GB2312" w:eastAsia="楷体_GB2312" w:cs="楷体_GB2312"/>
          <w:b/>
          <w:bCs/>
          <w:color w:val="auto"/>
          <w:spacing w:val="9"/>
          <w:sz w:val="32"/>
          <w:szCs w:val="32"/>
          <w:lang w:val="zh-CN"/>
        </w:rPr>
        <w:t>（通用）</w:t>
      </w:r>
    </w:p>
    <w:p>
      <w:pPr>
        <w:spacing w:line="600" w:lineRule="exact"/>
        <w:ind w:firstLine="640" w:firstLineChars="200"/>
        <w:rPr>
          <w:rFonts w:eastAsia="仿宋_GB2312"/>
          <w:color w:val="auto"/>
          <w:kern w:val="0"/>
          <w:sz w:val="32"/>
          <w:szCs w:val="32"/>
          <w:lang w:val="zh-CN"/>
        </w:rPr>
      </w:pPr>
    </w:p>
    <w:p>
      <w:pPr>
        <w:spacing w:line="600" w:lineRule="exact"/>
        <w:ind w:firstLine="640" w:firstLineChars="200"/>
        <w:rPr>
          <w:rFonts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一、适用范围：</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（一）</w:t>
      </w:r>
      <w:r>
        <w:rPr>
          <w:rFonts w:hint="eastAsia" w:eastAsia="仿宋_GB2312"/>
          <w:color w:val="auto"/>
          <w:kern w:val="0"/>
          <w:sz w:val="32"/>
          <w:szCs w:val="32"/>
          <w:lang w:val="zh-CN"/>
        </w:rPr>
        <w:t>《食品生产许可证》核发（经营项目仅限茶叶及相关制品、蔬菜制品、炒货食品及坚果制品等3类）、延续（食品添加剂除外）、变更（食品添加剂及新增食品类别、新增生产场所除外）；</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（二）</w:t>
      </w:r>
      <w:r>
        <w:rPr>
          <w:rFonts w:hint="eastAsia" w:eastAsia="仿宋_GB2312"/>
          <w:color w:val="auto"/>
          <w:kern w:val="0"/>
          <w:sz w:val="32"/>
          <w:szCs w:val="32"/>
          <w:lang w:val="zh-CN"/>
        </w:rPr>
        <w:t>五邑地区现有门店≥15间的餐饮服务连锁企业新开门店或经营场所面积在200㎡以下（含200㎡）的餐饮服务经营者、经营场所面积在100㎡以下（含100㎡）的单位食堂《食品经营许可证》新办，限定经营项目为：热食类食品制售、糕点类食品制售（不含裱花蛋糕）、自制饮品制售（不含自酿酒）；</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（三）</w:t>
      </w:r>
      <w:r>
        <w:rPr>
          <w:rFonts w:hint="eastAsia" w:eastAsia="仿宋_GB2312"/>
          <w:color w:val="auto"/>
          <w:kern w:val="0"/>
          <w:sz w:val="32"/>
          <w:szCs w:val="32"/>
          <w:lang w:val="zh-CN"/>
        </w:rPr>
        <w:t>主体业态为餐饮服务经营者和单位食堂的《食品经营许可证》延续、变更；</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（四）</w:t>
      </w:r>
      <w:r>
        <w:rPr>
          <w:rFonts w:hint="eastAsia" w:eastAsia="仿宋_GB2312"/>
          <w:color w:val="auto"/>
          <w:kern w:val="0"/>
          <w:sz w:val="32"/>
          <w:szCs w:val="32"/>
          <w:lang w:val="zh-CN"/>
        </w:rPr>
        <w:t>主体业态为食品销售经营者的《食品经营许可证》新办、延续、变更；</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（五）</w:t>
      </w:r>
      <w:r>
        <w:rPr>
          <w:rFonts w:hint="eastAsia" w:eastAsia="仿宋_GB2312"/>
          <w:color w:val="auto"/>
          <w:kern w:val="0"/>
          <w:sz w:val="32"/>
          <w:szCs w:val="32"/>
          <w:lang w:val="zh-CN"/>
        </w:rPr>
        <w:t>经营主体为零售药店的《医疗器械经营许可证》核发、延续、变更；其他医疗器械专营门店的《医疗器械经营许可证》变更、延续；</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（六）</w:t>
      </w:r>
      <w:r>
        <w:rPr>
          <w:rFonts w:hint="eastAsia" w:eastAsia="仿宋_GB2312"/>
          <w:color w:val="auto"/>
          <w:kern w:val="0"/>
          <w:sz w:val="32"/>
          <w:szCs w:val="32"/>
          <w:lang w:val="zh-CN"/>
        </w:rPr>
        <w:t>《药品经营许可证》（零售）换发、变更（变更经营场所除外）和新开药店的筹建环节。</w:t>
      </w:r>
    </w:p>
    <w:p>
      <w:pPr>
        <w:spacing w:line="600" w:lineRule="exact"/>
        <w:ind w:firstLine="640" w:firstLineChars="200"/>
        <w:rPr>
          <w:rFonts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二、办理条件</w:t>
      </w:r>
    </w:p>
    <w:p>
      <w:pPr>
        <w:spacing w:line="600" w:lineRule="exact"/>
        <w:ind w:firstLine="643" w:firstLineChars="200"/>
        <w:rPr>
          <w:rFonts w:ascii="楷体_GB2312" w:hAnsi="楷体_GB2312" w:eastAsia="楷体_GB2312" w:cs="楷体_GB2312"/>
          <w:b/>
          <w:bCs/>
          <w:color w:val="auto"/>
          <w:kern w:val="0"/>
          <w:sz w:val="32"/>
          <w:szCs w:val="32"/>
          <w:lang w:val="zh-CN"/>
        </w:rPr>
      </w:pPr>
      <w:r>
        <w:rPr>
          <w:rFonts w:hint="eastAsia" w:ascii="楷体_GB2312" w:hAnsi="楷体_GB2312" w:eastAsia="楷体_GB2312" w:cs="楷体_GB2312"/>
          <w:b/>
          <w:bCs/>
          <w:color w:val="auto"/>
          <w:kern w:val="0"/>
          <w:sz w:val="32"/>
          <w:szCs w:val="32"/>
          <w:lang w:val="zh-CN"/>
        </w:rPr>
        <w:t>（一）申请人资质条件</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申请人信用良好。具有以下情形之一的，不符合申请人承诺制申办的资质条件：</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rPr>
        <w:t>1</w:t>
      </w:r>
      <w:r>
        <w:rPr>
          <w:rFonts w:hint="eastAsia" w:eastAsia="仿宋_GB2312"/>
          <w:color w:val="auto"/>
          <w:kern w:val="0"/>
          <w:sz w:val="32"/>
          <w:szCs w:val="32"/>
          <w:lang w:val="zh-CN"/>
        </w:rPr>
        <w:t>．因食品安全犯罪被判处有期徒刑以上刑罚的（《中华人民共和国食品安全法》第一百三十五条第二款规定：因食品安全犯罪被判处有期徒刑以上刑罚的，终身不得从事食品生产经营管理工作，也不得担任食品生产经营企业食品安全管理人员）；</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rPr>
        <w:t>2</w:t>
      </w:r>
      <w:r>
        <w:rPr>
          <w:rFonts w:hint="eastAsia" w:eastAsia="仿宋_GB2312"/>
          <w:color w:val="auto"/>
          <w:kern w:val="0"/>
          <w:sz w:val="32"/>
          <w:szCs w:val="32"/>
          <w:lang w:val="zh-CN"/>
        </w:rPr>
        <w:t>．近五年被吊销食品生产经营许可证、药品经营许可证、医疗器械经营许可证的相关生产经营者及其法定代表人、直接负责的主管人员和其他责任人员；</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3．近三年因以欺骗、贿赂等不正当手段取得食品生产经营、药品经营、医疗器械经营许可而被原发证的监督管理部门撤销相关许可的；</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4．近一年因违反食品、药品、医疗器械监督管理法律法规而被处予罚款以上（含罚款）行政处罚的；</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5．近一年的日常检查结果为“不符合”的(新办的不适用)；</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6．其他的失信情形。</w:t>
      </w:r>
    </w:p>
    <w:p>
      <w:pPr>
        <w:spacing w:line="600" w:lineRule="exact"/>
        <w:ind w:firstLine="643" w:firstLineChars="200"/>
        <w:rPr>
          <w:rFonts w:ascii="楷体_GB2312" w:hAnsi="楷体_GB2312" w:eastAsia="楷体_GB2312" w:cs="楷体_GB2312"/>
          <w:b/>
          <w:bCs/>
          <w:color w:val="auto"/>
          <w:kern w:val="0"/>
          <w:sz w:val="32"/>
          <w:szCs w:val="32"/>
          <w:lang w:val="zh-CN"/>
        </w:rPr>
      </w:pPr>
      <w:r>
        <w:rPr>
          <w:rFonts w:hint="eastAsia" w:ascii="楷体_GB2312" w:hAnsi="楷体_GB2312" w:eastAsia="楷体_GB2312" w:cs="楷体_GB2312"/>
          <w:b/>
          <w:bCs/>
          <w:color w:val="auto"/>
          <w:kern w:val="0"/>
          <w:sz w:val="32"/>
          <w:szCs w:val="32"/>
          <w:lang w:val="zh-CN"/>
        </w:rPr>
        <w:t>（二）申请事项许可条件</w:t>
      </w:r>
    </w:p>
    <w:p>
      <w:pPr>
        <w:spacing w:line="600" w:lineRule="exact"/>
        <w:ind w:firstLine="643" w:firstLineChars="200"/>
        <w:rPr>
          <w:rFonts w:eastAsia="仿宋_GB2312"/>
          <w:color w:val="auto"/>
          <w:kern w:val="0"/>
          <w:sz w:val="32"/>
          <w:szCs w:val="32"/>
          <w:lang w:val="zh-CN"/>
        </w:rPr>
      </w:pPr>
      <w:r>
        <w:rPr>
          <w:rFonts w:hint="eastAsia" w:eastAsia="仿宋_GB2312"/>
          <w:b/>
          <w:bCs/>
          <w:color w:val="auto"/>
          <w:kern w:val="0"/>
          <w:sz w:val="32"/>
          <w:szCs w:val="32"/>
        </w:rPr>
        <w:t>1</w:t>
      </w:r>
      <w:r>
        <w:rPr>
          <w:rFonts w:hint="eastAsia" w:eastAsia="仿宋_GB2312"/>
          <w:b/>
          <w:bCs/>
          <w:color w:val="auto"/>
          <w:kern w:val="0"/>
          <w:sz w:val="32"/>
          <w:szCs w:val="32"/>
          <w:lang w:val="zh-CN"/>
        </w:rPr>
        <w:t>．食品生产许可证：</w:t>
      </w:r>
      <w:r>
        <w:rPr>
          <w:rFonts w:hint="eastAsia" w:eastAsia="仿宋_GB2312"/>
          <w:color w:val="auto"/>
          <w:kern w:val="0"/>
          <w:sz w:val="32"/>
          <w:szCs w:val="32"/>
          <w:lang w:val="zh-CN"/>
        </w:rPr>
        <w:t>《食品生产许可证管理办法》第十二条规定：申请食品生产许可，应当符合下列条件：</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1</w:t>
      </w:r>
      <w:r>
        <w:rPr>
          <w:rFonts w:hint="eastAsia" w:eastAsia="仿宋_GB2312"/>
          <w:color w:val="auto"/>
          <w:kern w:val="0"/>
          <w:sz w:val="32"/>
          <w:szCs w:val="32"/>
          <w:lang w:val="zh-CN"/>
        </w:rPr>
        <w:t>）具有与生产的食品品种、数量相适应的食品原料处理和食品加工、包装、贮存等场所，保持该场所环境整洁，并与有毒、有害场所以及其他污染源保持规定的距离。</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2</w:t>
      </w:r>
      <w:r>
        <w:rPr>
          <w:rFonts w:hint="eastAsia" w:eastAsia="仿宋_GB2312"/>
          <w:color w:val="auto"/>
          <w:kern w:val="0"/>
          <w:sz w:val="32"/>
          <w:szCs w:val="32"/>
          <w:lang w:val="zh-CN"/>
        </w:rPr>
        <w:t>）具有与生产的食品品种、数量相适应的生产设备或者设施，有相应的消毒、更衣、盥洗、采光、照明、通风、防腐、防尘、防蝇、防鼠、防虫、洗涤以及处理废水、存放垃圾和废弃物的设备或者设施。</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3</w:t>
      </w:r>
      <w:r>
        <w:rPr>
          <w:rFonts w:hint="eastAsia" w:eastAsia="仿宋_GB2312"/>
          <w:color w:val="auto"/>
          <w:kern w:val="0"/>
          <w:sz w:val="32"/>
          <w:szCs w:val="32"/>
          <w:lang w:val="zh-CN"/>
        </w:rPr>
        <w:t>）有专职或者兼职的食品安全管理人员和保证食品安全的规章制度。</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4</w:t>
      </w:r>
      <w:r>
        <w:rPr>
          <w:rFonts w:hint="eastAsia" w:eastAsia="仿宋_GB2312"/>
          <w:color w:val="auto"/>
          <w:kern w:val="0"/>
          <w:sz w:val="32"/>
          <w:szCs w:val="32"/>
          <w:lang w:val="zh-CN"/>
        </w:rPr>
        <w:t>）具有合理的设备布局和工艺流程，防止待加工食品与直接入口食品、原料与成品交叉污染，避免食品接触有毒物、不洁物。</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5</w:t>
      </w:r>
      <w:r>
        <w:rPr>
          <w:rFonts w:hint="eastAsia" w:eastAsia="仿宋_GB2312"/>
          <w:color w:val="auto"/>
          <w:kern w:val="0"/>
          <w:sz w:val="32"/>
          <w:szCs w:val="32"/>
          <w:lang w:val="zh-CN"/>
        </w:rPr>
        <w:t>）法律、法规规定的其他条件。</w:t>
      </w:r>
    </w:p>
    <w:p>
      <w:pPr>
        <w:spacing w:line="600" w:lineRule="exact"/>
        <w:ind w:firstLine="643" w:firstLineChars="200"/>
        <w:rPr>
          <w:rFonts w:eastAsia="仿宋_GB2312"/>
          <w:color w:val="auto"/>
          <w:kern w:val="0"/>
          <w:sz w:val="32"/>
          <w:szCs w:val="32"/>
          <w:lang w:val="zh-CN"/>
        </w:rPr>
      </w:pPr>
      <w:r>
        <w:rPr>
          <w:rFonts w:hint="eastAsia" w:eastAsia="仿宋_GB2312"/>
          <w:b/>
          <w:bCs/>
          <w:color w:val="auto"/>
          <w:kern w:val="0"/>
          <w:sz w:val="32"/>
          <w:szCs w:val="32"/>
        </w:rPr>
        <w:t>2</w:t>
      </w:r>
      <w:r>
        <w:rPr>
          <w:rFonts w:hint="eastAsia" w:eastAsia="仿宋_GB2312"/>
          <w:b/>
          <w:bCs/>
          <w:color w:val="auto"/>
          <w:kern w:val="0"/>
          <w:sz w:val="32"/>
          <w:szCs w:val="32"/>
          <w:lang w:val="zh-CN"/>
        </w:rPr>
        <w:t>．食品经营许可证：</w:t>
      </w:r>
      <w:r>
        <w:rPr>
          <w:rFonts w:hint="eastAsia" w:eastAsia="仿宋_GB2312"/>
          <w:color w:val="auto"/>
          <w:kern w:val="0"/>
          <w:sz w:val="32"/>
          <w:szCs w:val="32"/>
          <w:lang w:val="zh-CN"/>
        </w:rPr>
        <w:t>《食品经营许可证管理办法》第十一条规定:申请食品经营许可，应当符合下列条件：</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1</w:t>
      </w:r>
      <w:r>
        <w:rPr>
          <w:rFonts w:hint="eastAsia" w:eastAsia="仿宋_GB2312"/>
          <w:color w:val="auto"/>
          <w:kern w:val="0"/>
          <w:sz w:val="32"/>
          <w:szCs w:val="32"/>
          <w:lang w:val="zh-CN"/>
        </w:rPr>
        <w:t>）具有与经营的食品品种、数量相适应的食品原料处理和食品加工、销售、贮存等场所，保持该场所环境整洁，并与有毒、有害场所以及其他污染源保持规定的距离；</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2</w:t>
      </w:r>
      <w:r>
        <w:rPr>
          <w:rFonts w:hint="eastAsia" w:eastAsia="仿宋_GB2312"/>
          <w:color w:val="auto"/>
          <w:kern w:val="0"/>
          <w:sz w:val="32"/>
          <w:szCs w:val="32"/>
          <w:lang w:val="zh-CN"/>
        </w:rPr>
        <w:t>）具有与经营的食品品种、数量相适应的经营设备或者设施，有相应的消毒、更衣、盥洗、采光、照明、通风、防腐、防尘、防蝇、防鼠、防虫、洗涤以及处理废水、存放垃圾和废弃物的设备或者设施；</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3</w:t>
      </w:r>
      <w:r>
        <w:rPr>
          <w:rFonts w:hint="eastAsia" w:eastAsia="仿宋_GB2312"/>
          <w:color w:val="auto"/>
          <w:kern w:val="0"/>
          <w:sz w:val="32"/>
          <w:szCs w:val="32"/>
          <w:lang w:val="zh-CN"/>
        </w:rPr>
        <w:t>）有专职或者兼职的食品安全管理人员和保证食品安全的规章制度；</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4</w:t>
      </w:r>
      <w:r>
        <w:rPr>
          <w:rFonts w:hint="eastAsia" w:eastAsia="仿宋_GB2312"/>
          <w:color w:val="auto"/>
          <w:kern w:val="0"/>
          <w:sz w:val="32"/>
          <w:szCs w:val="32"/>
          <w:lang w:val="zh-CN"/>
        </w:rPr>
        <w:t>）具有合理的设备布局和工艺流程，防止待加工食品与直接入口食品、原料与成品交叉污染，避免食品接触有毒物、不洁物；</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（5）法律、法规规定的其他条件。</w:t>
      </w:r>
    </w:p>
    <w:p>
      <w:pPr>
        <w:spacing w:line="600" w:lineRule="exact"/>
        <w:ind w:firstLine="643" w:firstLineChars="200"/>
        <w:rPr>
          <w:rFonts w:eastAsia="仿宋_GB2312"/>
          <w:color w:val="auto"/>
          <w:kern w:val="0"/>
          <w:sz w:val="32"/>
          <w:szCs w:val="32"/>
          <w:lang w:val="zh-CN"/>
        </w:rPr>
      </w:pPr>
      <w:r>
        <w:rPr>
          <w:rFonts w:hint="eastAsia" w:eastAsia="仿宋_GB2312"/>
          <w:b/>
          <w:bCs/>
          <w:color w:val="auto"/>
          <w:kern w:val="0"/>
          <w:sz w:val="32"/>
          <w:szCs w:val="32"/>
        </w:rPr>
        <w:t>3．</w:t>
      </w:r>
      <w:r>
        <w:rPr>
          <w:rFonts w:hint="eastAsia" w:eastAsia="仿宋_GB2312"/>
          <w:b/>
          <w:bCs/>
          <w:color w:val="auto"/>
          <w:kern w:val="0"/>
          <w:sz w:val="32"/>
          <w:szCs w:val="32"/>
          <w:lang w:val="zh-CN"/>
        </w:rPr>
        <w:t>医疗器械经营许可：</w:t>
      </w:r>
      <w:r>
        <w:rPr>
          <w:rFonts w:hint="eastAsia" w:eastAsia="仿宋_GB2312"/>
          <w:color w:val="auto"/>
          <w:kern w:val="0"/>
          <w:sz w:val="32"/>
          <w:szCs w:val="32"/>
          <w:lang w:val="zh-CN"/>
        </w:rPr>
        <w:t>《医疗器械经营监督管理办法》第七条规定：从事医疗器械经营，应当具备以下条件：</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1</w:t>
      </w:r>
      <w:r>
        <w:rPr>
          <w:rFonts w:hint="eastAsia" w:eastAsia="仿宋_GB2312"/>
          <w:color w:val="auto"/>
          <w:kern w:val="0"/>
          <w:sz w:val="32"/>
          <w:szCs w:val="32"/>
          <w:lang w:val="zh-CN"/>
        </w:rPr>
        <w:t>）具有与经营范围和经营规模相适应的质量管理机构或者质量管理人员，质量管理人员应当具有国家认可的相关专业学历或者职称；</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2</w:t>
      </w:r>
      <w:r>
        <w:rPr>
          <w:rFonts w:hint="eastAsia" w:eastAsia="仿宋_GB2312"/>
          <w:color w:val="auto"/>
          <w:kern w:val="0"/>
          <w:sz w:val="32"/>
          <w:szCs w:val="32"/>
          <w:lang w:val="zh-CN"/>
        </w:rPr>
        <w:t>）具有与经营范围和经营规模相适应的经营、贮存场所；</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3</w:t>
      </w:r>
      <w:r>
        <w:rPr>
          <w:rFonts w:hint="eastAsia" w:eastAsia="仿宋_GB2312"/>
          <w:color w:val="auto"/>
          <w:kern w:val="0"/>
          <w:sz w:val="32"/>
          <w:szCs w:val="32"/>
          <w:lang w:val="zh-CN"/>
        </w:rPr>
        <w:t>）具有与经营范围和经营规模相适应的贮存条件，全部委托其他医疗器械经营企业贮存的可以不设立库房；</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4</w:t>
      </w:r>
      <w:r>
        <w:rPr>
          <w:rFonts w:hint="eastAsia" w:eastAsia="仿宋_GB2312"/>
          <w:color w:val="auto"/>
          <w:kern w:val="0"/>
          <w:sz w:val="32"/>
          <w:szCs w:val="32"/>
          <w:lang w:val="zh-CN"/>
        </w:rPr>
        <w:t>）具有与经营的医疗器械相适应的质量管理制度；</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（5）具备与经营的医疗器械相适应的专业指导、技术培训和售后服务的能力，或者约定由相关机构提供技术支持。</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从事第三类医疗器械经营的企业还应当具有符合医疗器械经营质量管理要求的计算机信息管理系统，保证经营的产品可追溯。</w:t>
      </w:r>
    </w:p>
    <w:p>
      <w:pPr>
        <w:spacing w:line="600" w:lineRule="exact"/>
        <w:ind w:firstLine="643" w:firstLineChars="200"/>
        <w:rPr>
          <w:rFonts w:eastAsia="仿宋_GB2312"/>
          <w:color w:val="auto"/>
          <w:kern w:val="0"/>
          <w:sz w:val="32"/>
          <w:szCs w:val="32"/>
          <w:lang w:val="zh-CN"/>
        </w:rPr>
      </w:pPr>
      <w:r>
        <w:rPr>
          <w:rFonts w:hint="eastAsia" w:eastAsia="仿宋_GB2312"/>
          <w:b/>
          <w:bCs/>
          <w:color w:val="auto"/>
          <w:kern w:val="0"/>
          <w:sz w:val="32"/>
          <w:szCs w:val="32"/>
        </w:rPr>
        <w:t>4．</w:t>
      </w:r>
      <w:r>
        <w:rPr>
          <w:rFonts w:hint="eastAsia" w:eastAsia="仿宋_GB2312"/>
          <w:b/>
          <w:bCs/>
          <w:color w:val="auto"/>
          <w:kern w:val="0"/>
          <w:sz w:val="32"/>
          <w:szCs w:val="32"/>
          <w:lang w:val="zh-CN"/>
        </w:rPr>
        <w:t>药品经营许可：</w:t>
      </w:r>
      <w:r>
        <w:rPr>
          <w:rFonts w:hint="eastAsia" w:eastAsia="仿宋_GB2312"/>
          <w:color w:val="auto"/>
          <w:kern w:val="0"/>
          <w:sz w:val="32"/>
          <w:szCs w:val="32"/>
          <w:lang w:val="zh-CN"/>
        </w:rPr>
        <w:t>《药品经营许可证管理办法》第五条、第十九条申请药品经营许可换发应当符合以下设置规定：</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1</w:t>
      </w:r>
      <w:r>
        <w:rPr>
          <w:rFonts w:hint="eastAsia" w:eastAsia="仿宋_GB2312"/>
          <w:color w:val="auto"/>
          <w:kern w:val="0"/>
          <w:sz w:val="32"/>
          <w:szCs w:val="32"/>
          <w:lang w:val="zh-CN"/>
        </w:rPr>
        <w:t>）具有保证所经营药品质量的规章制度；</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2</w:t>
      </w:r>
      <w:r>
        <w:rPr>
          <w:rFonts w:hint="eastAsia" w:eastAsia="仿宋_GB2312"/>
          <w:color w:val="auto"/>
          <w:kern w:val="0"/>
          <w:sz w:val="32"/>
          <w:szCs w:val="32"/>
          <w:lang w:val="zh-CN"/>
        </w:rPr>
        <w:t>）具有依法经过资格认定的药学技术人员；</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经营处方药、甲类非处方药的药品零售企业，必须配有执业药师或者其他依法经过资格认定的药学技术人员。质量负责人应有一年以上（含一年）药品经营质量管理工作经验。</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经营乙类非处方药的药品零售企业，以及农村乡镇以下地区设立药品零售企业的，应当按照《药品管理法实施条例》第15条的规定配备业务人员，有条件的应当配备执业药师。</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企业营业时间，以上人员应当在岗。</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3</w:t>
      </w:r>
      <w:r>
        <w:rPr>
          <w:rFonts w:hint="eastAsia" w:eastAsia="仿宋_GB2312"/>
          <w:color w:val="auto"/>
          <w:kern w:val="0"/>
          <w:sz w:val="32"/>
          <w:szCs w:val="32"/>
          <w:lang w:val="zh-CN"/>
        </w:rPr>
        <w:t>）企业、企业法定代表人、企业负责人、质量负责人无《药品管理法》第76条、第83条规定情形的；</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w:t>
      </w:r>
      <w:r>
        <w:rPr>
          <w:rFonts w:hint="eastAsia" w:eastAsia="仿宋_GB2312"/>
          <w:color w:val="auto"/>
          <w:kern w:val="0"/>
          <w:sz w:val="32"/>
          <w:szCs w:val="32"/>
        </w:rPr>
        <w:t>4</w:t>
      </w:r>
      <w:r>
        <w:rPr>
          <w:rFonts w:hint="eastAsia" w:eastAsia="仿宋_GB2312"/>
          <w:color w:val="auto"/>
          <w:kern w:val="0"/>
          <w:sz w:val="32"/>
          <w:szCs w:val="32"/>
          <w:lang w:val="zh-CN"/>
        </w:rPr>
        <w:t>）具有与所经营药品相适应的营业场所、设备、仓储设施以及卫生环境。在超市等其他商业企业内设立零售药店的，必须具有独立的区域。</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具体许可条件详见各事项自查表（各许可事项自查表另行制定）。</w:t>
      </w:r>
    </w:p>
    <w:p>
      <w:pPr>
        <w:spacing w:line="600" w:lineRule="exact"/>
        <w:ind w:firstLine="640" w:firstLineChars="200"/>
        <w:rPr>
          <w:rFonts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三、提交材料</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（一）</w:t>
      </w:r>
      <w:r>
        <w:rPr>
          <w:rFonts w:hint="eastAsia" w:eastAsia="仿宋_GB2312"/>
          <w:color w:val="auto"/>
          <w:kern w:val="0"/>
          <w:sz w:val="32"/>
          <w:szCs w:val="32"/>
          <w:lang w:val="zh-CN"/>
        </w:rPr>
        <w:t>许可申请书；</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（二）</w:t>
      </w:r>
      <w:r>
        <w:rPr>
          <w:rFonts w:hint="eastAsia" w:eastAsia="仿宋_GB2312"/>
          <w:color w:val="auto"/>
          <w:kern w:val="0"/>
          <w:sz w:val="32"/>
          <w:szCs w:val="32"/>
          <w:lang w:val="zh-CN"/>
        </w:rPr>
        <w:t>许可证正本、副本（新办不适用）；</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（三）</w:t>
      </w:r>
      <w:r>
        <w:rPr>
          <w:rFonts w:hint="eastAsia" w:eastAsia="仿宋_GB2312"/>
          <w:color w:val="auto"/>
          <w:kern w:val="0"/>
          <w:sz w:val="32"/>
          <w:szCs w:val="32"/>
          <w:lang w:val="zh-CN"/>
        </w:rPr>
        <w:t>《承诺书》及《自查表》（按申请类别）。</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（四）</w:t>
      </w:r>
      <w:r>
        <w:rPr>
          <w:rFonts w:hint="eastAsia" w:eastAsia="仿宋_GB2312"/>
          <w:color w:val="auto"/>
          <w:kern w:val="0"/>
          <w:sz w:val="32"/>
          <w:szCs w:val="32"/>
          <w:lang w:val="zh-CN"/>
        </w:rPr>
        <w:t>营业执照或法人登记证等主体资格证明复印件1份（核对原件）；</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（五）</w:t>
      </w:r>
      <w:r>
        <w:rPr>
          <w:rFonts w:hint="eastAsia" w:eastAsia="仿宋_GB2312"/>
          <w:color w:val="auto"/>
          <w:kern w:val="0"/>
          <w:sz w:val="32"/>
          <w:szCs w:val="32"/>
          <w:lang w:val="zh-CN"/>
        </w:rPr>
        <w:t>食品生产经营：法定代表人（负责人）、食品安全管理员的身份证明复印件1份（核对原件）；</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医疗器械经营：法定代表人、企业负责人及质量管理人的身份证明复印件1份（核对原件）。</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（六）</w:t>
      </w:r>
      <w:r>
        <w:rPr>
          <w:rFonts w:hint="eastAsia" w:eastAsia="仿宋_GB2312"/>
          <w:color w:val="auto"/>
          <w:kern w:val="0"/>
          <w:sz w:val="32"/>
          <w:szCs w:val="32"/>
          <w:lang w:val="zh-CN"/>
        </w:rPr>
        <w:t xml:space="preserve">与食品经营相适应的主要设备设施布局、操作流程等文件（适用新办食品经营许可者）; </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（七）</w:t>
      </w:r>
      <w:r>
        <w:rPr>
          <w:rFonts w:hint="eastAsia" w:eastAsia="仿宋_GB2312"/>
          <w:color w:val="auto"/>
          <w:kern w:val="0"/>
          <w:sz w:val="32"/>
          <w:szCs w:val="32"/>
          <w:lang w:val="zh-CN"/>
        </w:rPr>
        <w:t>食品安全管理制度目录（适用新办食品经营许可者）。</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（八）</w:t>
      </w:r>
      <w:r>
        <w:rPr>
          <w:rFonts w:hint="eastAsia" w:eastAsia="仿宋_GB2312"/>
          <w:color w:val="auto"/>
          <w:kern w:val="0"/>
          <w:sz w:val="32"/>
          <w:szCs w:val="32"/>
          <w:lang w:val="zh-CN"/>
        </w:rPr>
        <w:t>企业组织机构情况（适用换发药品经营许可者）；</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（九）</w:t>
      </w:r>
      <w:r>
        <w:rPr>
          <w:rFonts w:hint="eastAsia" w:eastAsia="仿宋_GB2312"/>
          <w:color w:val="auto"/>
          <w:kern w:val="0"/>
          <w:sz w:val="32"/>
          <w:szCs w:val="32"/>
          <w:lang w:val="zh-CN"/>
        </w:rPr>
        <w:t>依法经过资格认定的药学专业技术人员资格证书及聘书（适用换发药品经营许可者）；</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（十）</w:t>
      </w:r>
      <w:r>
        <w:rPr>
          <w:rFonts w:hint="eastAsia" w:eastAsia="仿宋_GB2312"/>
          <w:color w:val="auto"/>
          <w:kern w:val="0"/>
          <w:sz w:val="32"/>
          <w:szCs w:val="32"/>
          <w:lang w:val="zh-CN"/>
        </w:rPr>
        <w:t>企业质量管理文件及仓储设施、设备目录（适用换发药品经营许可者）。</w:t>
      </w:r>
    </w:p>
    <w:p>
      <w:pPr>
        <w:spacing w:line="600" w:lineRule="exact"/>
        <w:ind w:firstLine="640" w:firstLineChars="200"/>
        <w:rPr>
          <w:rFonts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四、办理流程</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（一）书面告知。</w:t>
      </w:r>
      <w:r>
        <w:rPr>
          <w:rFonts w:hint="eastAsia" w:eastAsia="仿宋_GB2312"/>
          <w:color w:val="auto"/>
          <w:kern w:val="0"/>
          <w:sz w:val="32"/>
          <w:szCs w:val="32"/>
          <w:lang w:val="zh-CN"/>
        </w:rPr>
        <w:t>通过书面形式告知申请人“行政许可申请人承诺制”的申请人的资质条件和许可事项的准入条件、办理流程、违约责任等。</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（二）提交申请。</w:t>
      </w:r>
      <w:r>
        <w:rPr>
          <w:rFonts w:hint="eastAsia" w:eastAsia="仿宋_GB2312"/>
          <w:color w:val="auto"/>
          <w:kern w:val="0"/>
          <w:sz w:val="32"/>
          <w:szCs w:val="32"/>
          <w:lang w:val="zh-CN"/>
        </w:rPr>
        <w:t>初步准许的申请人根据《自查表》开展自查，若没有禁止采用承诺制的情形，申请事项已符合或者经过改造可以达到相关条件的，则书面承诺按许可事项的条件和标准建设，符合许可条件后方开展相关生产经营行为，并依法自愿承担相应法律责任的，同时按申请类别提交相应申请资料。</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（三）现场受理、核查和审批。</w:t>
      </w:r>
      <w:r>
        <w:rPr>
          <w:rFonts w:hint="eastAsia" w:eastAsia="仿宋_GB2312"/>
          <w:color w:val="auto"/>
          <w:kern w:val="0"/>
          <w:sz w:val="32"/>
          <w:szCs w:val="32"/>
          <w:lang w:val="zh-CN"/>
        </w:rPr>
        <w:t>申请人提交申请材料齐全的，受理窗口人员当场对申请人资质和申报材料进行审核，主要审核申请人是否存在信用失信或者食品、药品、医疗器械行业限制、禁入的情形，申报材料是否真实、完整、齐全，对符合条件的，当场发放《行政许可决定书》，当场或5个工作日内颁发许可证；对不符合条件的，出具《不适用行政许可申请人承诺制告知书》，申请人改由一般程序申办。</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（四）后续监管。</w:t>
      </w:r>
      <w:r>
        <w:rPr>
          <w:rFonts w:hint="eastAsia" w:eastAsia="仿宋_GB2312"/>
          <w:color w:val="auto"/>
          <w:kern w:val="0"/>
          <w:sz w:val="32"/>
          <w:szCs w:val="32"/>
          <w:lang w:val="zh-CN"/>
        </w:rPr>
        <w:t>需现场核查类事项，后续监管部门应在3个月内完成监督检查工作。不需现场核查类事项，由相关责任部门纳入日常监管，并严格按照食品生产经营、药品经营及医疗器械经营监管相关法律法规要求，加强事中事后监管，督促生产经营者落实质量安全主体责任。</w:t>
      </w:r>
    </w:p>
    <w:p>
      <w:pPr>
        <w:spacing w:line="600" w:lineRule="exact"/>
        <w:ind w:firstLine="640" w:firstLineChars="200"/>
        <w:rPr>
          <w:rFonts w:ascii="黑体" w:hAnsi="黑体" w:eastAsia="黑体" w:cs="黑体"/>
          <w:color w:val="auto"/>
          <w:kern w:val="0"/>
          <w:sz w:val="32"/>
          <w:szCs w:val="32"/>
          <w:lang w:val="zh-CN"/>
        </w:rPr>
      </w:pPr>
      <w:r>
        <w:rPr>
          <w:rFonts w:hint="eastAsia" w:ascii="黑体" w:hAnsi="黑体" w:eastAsia="黑体" w:cs="黑体"/>
          <w:color w:val="auto"/>
          <w:kern w:val="0"/>
          <w:sz w:val="32"/>
          <w:szCs w:val="32"/>
          <w:lang w:val="zh-CN"/>
        </w:rPr>
        <w:t>五、违约处理</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后续监管中发现准许的申请人经营情况与申报材料及承诺的条件不符，存在虚假承诺的，应根据违约事实是否主观故意分别处理。</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（一）</w:t>
      </w:r>
      <w:r>
        <w:rPr>
          <w:rFonts w:hint="eastAsia" w:eastAsia="仿宋_GB2312"/>
          <w:color w:val="auto"/>
          <w:kern w:val="0"/>
          <w:sz w:val="32"/>
          <w:szCs w:val="32"/>
          <w:lang w:val="zh-CN"/>
        </w:rPr>
        <w:t>不属主观故意的，责令限期整改。准予一次整改机会，整改时限20个工作日。</w:t>
      </w:r>
    </w:p>
    <w:p>
      <w:pPr>
        <w:spacing w:line="600" w:lineRule="exact"/>
        <w:ind w:firstLine="643" w:firstLineChars="200"/>
        <w:rPr>
          <w:rFonts w:eastAsia="仿宋_GB2312"/>
          <w:color w:val="auto"/>
          <w:kern w:val="0"/>
          <w:sz w:val="32"/>
          <w:szCs w:val="32"/>
          <w:lang w:val="zh-CN"/>
        </w:rPr>
      </w:pPr>
      <w:r>
        <w:rPr>
          <w:rFonts w:hint="eastAsia" w:ascii="楷体_GB2312" w:hAnsi="楷体_GB2312" w:eastAsia="楷体_GB2312" w:cs="楷体_GB2312"/>
          <w:b/>
          <w:bCs/>
          <w:color w:val="auto"/>
          <w:kern w:val="0"/>
          <w:sz w:val="32"/>
          <w:szCs w:val="32"/>
          <w:lang w:val="zh-CN"/>
        </w:rPr>
        <w:t>（二）</w:t>
      </w:r>
      <w:r>
        <w:rPr>
          <w:rFonts w:hint="eastAsia" w:eastAsia="仿宋_GB2312"/>
          <w:color w:val="auto"/>
          <w:kern w:val="0"/>
          <w:sz w:val="32"/>
          <w:szCs w:val="32"/>
          <w:lang w:val="zh-CN"/>
        </w:rPr>
        <w:t>属主观故意的或者限期整改后复核仍未达到承诺条件的，应作以下处理：</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1</w:t>
      </w:r>
      <w:r>
        <w:rPr>
          <w:rFonts w:hint="eastAsia" w:eastAsia="仿宋_GB2312"/>
          <w:color w:val="auto"/>
          <w:kern w:val="0"/>
          <w:sz w:val="32"/>
          <w:szCs w:val="32"/>
          <w:lang w:val="en-US" w:eastAsia="zh-CN"/>
        </w:rPr>
        <w:t>.</w:t>
      </w:r>
      <w:r>
        <w:rPr>
          <w:rFonts w:hint="eastAsia" w:eastAsia="仿宋_GB2312"/>
          <w:color w:val="auto"/>
          <w:kern w:val="0"/>
          <w:sz w:val="32"/>
          <w:szCs w:val="32"/>
          <w:lang w:val="zh-CN"/>
        </w:rPr>
        <w:t>对违约失信行为进行曝光，在市场监管局政务网、信用江门网等媒介上公示该违约者的失信情形。</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2</w:t>
      </w:r>
      <w:r>
        <w:rPr>
          <w:rFonts w:hint="eastAsia" w:eastAsia="仿宋_GB2312"/>
          <w:color w:val="auto"/>
          <w:kern w:val="0"/>
          <w:sz w:val="32"/>
          <w:szCs w:val="32"/>
          <w:lang w:val="en-US" w:eastAsia="zh-CN"/>
        </w:rPr>
        <w:t>.</w:t>
      </w:r>
      <w:r>
        <w:rPr>
          <w:rFonts w:hint="eastAsia" w:eastAsia="仿宋_GB2312"/>
          <w:color w:val="auto"/>
          <w:kern w:val="0"/>
          <w:sz w:val="32"/>
          <w:szCs w:val="32"/>
          <w:lang w:val="zh-CN"/>
        </w:rPr>
        <w:t>涉及其他违法行为的，移交稽查部门依法处理。</w:t>
      </w:r>
    </w:p>
    <w:p>
      <w:pPr>
        <w:spacing w:line="600" w:lineRule="exact"/>
        <w:rPr>
          <w:rFonts w:hint="eastAsia" w:eastAsia="黑体"/>
          <w:color w:val="auto"/>
          <w:kern w:val="0"/>
          <w:sz w:val="32"/>
          <w:szCs w:val="32"/>
          <w:lang w:val="zh-CN"/>
        </w:rPr>
      </w:pPr>
    </w:p>
    <w:p>
      <w:pPr>
        <w:spacing w:line="600" w:lineRule="exact"/>
        <w:rPr>
          <w:rFonts w:eastAsia="黑体"/>
          <w:color w:val="auto"/>
          <w:kern w:val="0"/>
          <w:sz w:val="32"/>
          <w:szCs w:val="32"/>
          <w:lang w:val="zh-CN"/>
        </w:rPr>
      </w:pPr>
      <w:r>
        <w:rPr>
          <w:rFonts w:hint="eastAsia" w:eastAsia="黑体"/>
          <w:color w:val="auto"/>
          <w:kern w:val="0"/>
          <w:sz w:val="32"/>
          <w:szCs w:val="32"/>
          <w:lang w:val="zh-CN"/>
        </w:rPr>
        <w:t>附件2</w:t>
      </w:r>
    </w:p>
    <w:p>
      <w:pPr>
        <w:spacing w:line="660" w:lineRule="exact"/>
        <w:jc w:val="center"/>
        <w:rPr>
          <w:rFonts w:eastAsia="方正小标宋简体"/>
          <w:color w:val="auto"/>
          <w:spacing w:val="9"/>
          <w:sz w:val="44"/>
          <w:szCs w:val="44"/>
          <w:lang w:val="zh-CN"/>
        </w:rPr>
      </w:pPr>
      <w:r>
        <w:rPr>
          <w:rFonts w:hint="eastAsia" w:eastAsia="方正小标宋简体"/>
          <w:color w:val="auto"/>
          <w:spacing w:val="9"/>
          <w:sz w:val="44"/>
          <w:szCs w:val="44"/>
          <w:lang w:val="zh-CN"/>
        </w:rPr>
        <w:t>申请人承诺制许可承诺书</w:t>
      </w:r>
    </w:p>
    <w:p>
      <w:pPr>
        <w:spacing w:line="660" w:lineRule="exact"/>
        <w:jc w:val="center"/>
        <w:rPr>
          <w:rFonts w:ascii="楷体_GB2312" w:hAnsi="楷体_GB2312" w:eastAsia="楷体_GB2312" w:cs="楷体_GB2312"/>
          <w:b/>
          <w:bCs/>
          <w:color w:val="auto"/>
          <w:spacing w:val="9"/>
          <w:sz w:val="32"/>
          <w:szCs w:val="32"/>
          <w:lang w:val="zh-CN"/>
        </w:rPr>
      </w:pPr>
      <w:r>
        <w:rPr>
          <w:rFonts w:hint="eastAsia" w:ascii="楷体_GB2312" w:hAnsi="楷体_GB2312" w:eastAsia="楷体_GB2312" w:cs="楷体_GB2312"/>
          <w:b/>
          <w:bCs/>
          <w:color w:val="auto"/>
          <w:spacing w:val="9"/>
          <w:sz w:val="32"/>
          <w:szCs w:val="32"/>
          <w:lang w:val="zh-CN"/>
        </w:rPr>
        <w:t>（通用）</w:t>
      </w:r>
    </w:p>
    <w:p>
      <w:pPr>
        <w:spacing w:line="600" w:lineRule="exact"/>
        <w:ind w:firstLine="640" w:firstLineChars="200"/>
        <w:rPr>
          <w:rFonts w:eastAsia="仿宋_GB2312"/>
          <w:color w:val="auto"/>
          <w:kern w:val="0"/>
          <w:sz w:val="32"/>
          <w:szCs w:val="32"/>
          <w:lang w:val="zh-CN"/>
        </w:rPr>
      </w:pP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本企业（或单位、个人）从事□食品生产经营□药品经营□医疗器械经营，经自查：</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□（生产/经营）条件未发生变化</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□符合《自查表》中列举的（□生产/□经营）许可条件</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承诺不符合条件前，不开展（□生产/□经营）活动。对不履行承诺所引发的后果，愿意承担以下法律责任，接受食品药品监管部门依法处理。</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（一）不属主观故意的，责令限期整改。准予一次整改机会，整改时限20个工作日。</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（二）属主观故意的或者限期整改后复核仍未达到承诺条件的，</w:t>
      </w:r>
      <w:r>
        <w:rPr>
          <w:rFonts w:hint="eastAsia" w:eastAsia="仿宋_GB2312"/>
          <w:color w:val="auto"/>
          <w:kern w:val="0"/>
          <w:sz w:val="32"/>
          <w:szCs w:val="32"/>
          <w:lang w:val="zh-CN" w:eastAsia="zh-CN"/>
        </w:rPr>
        <w:t>接受</w:t>
      </w:r>
      <w:r>
        <w:rPr>
          <w:rFonts w:hint="eastAsia" w:eastAsia="仿宋_GB2312"/>
          <w:color w:val="auto"/>
          <w:kern w:val="0"/>
          <w:sz w:val="32"/>
          <w:szCs w:val="32"/>
          <w:lang w:val="zh-CN"/>
        </w:rPr>
        <w:t>以下处理：</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1</w:t>
      </w:r>
      <w:r>
        <w:rPr>
          <w:rFonts w:hint="eastAsia" w:eastAsia="仿宋_GB2312"/>
          <w:color w:val="auto"/>
          <w:kern w:val="0"/>
          <w:sz w:val="32"/>
          <w:szCs w:val="32"/>
          <w:lang w:val="en-US" w:eastAsia="zh-CN"/>
        </w:rPr>
        <w:t>.</w:t>
      </w:r>
      <w:r>
        <w:rPr>
          <w:rFonts w:hint="eastAsia" w:eastAsia="仿宋_GB2312"/>
          <w:color w:val="auto"/>
          <w:kern w:val="0"/>
          <w:sz w:val="32"/>
          <w:szCs w:val="32"/>
          <w:lang w:val="zh-CN"/>
        </w:rPr>
        <w:t>对违约失信行为进行曝光，在市场监管局政务网、信用江门网等媒介上公示该违约者的失信情形。</w:t>
      </w:r>
    </w:p>
    <w:p>
      <w:pPr>
        <w:spacing w:line="600" w:lineRule="exact"/>
        <w:ind w:firstLine="640" w:firstLineChars="200"/>
        <w:rPr>
          <w:rFonts w:hint="eastAsia" w:eastAsia="仿宋_GB2312"/>
          <w:color w:val="auto"/>
          <w:kern w:val="0"/>
          <w:sz w:val="32"/>
          <w:szCs w:val="32"/>
          <w:lang w:val="zh-CN"/>
        </w:rPr>
      </w:pPr>
      <w:r>
        <w:rPr>
          <w:rFonts w:hint="eastAsia" w:eastAsia="仿宋_GB2312"/>
          <w:color w:val="auto"/>
          <w:kern w:val="0"/>
          <w:sz w:val="32"/>
          <w:szCs w:val="32"/>
          <w:lang w:val="zh-CN"/>
        </w:rPr>
        <w:t>2</w:t>
      </w:r>
      <w:r>
        <w:rPr>
          <w:rFonts w:hint="eastAsia" w:eastAsia="仿宋_GB2312"/>
          <w:color w:val="auto"/>
          <w:kern w:val="0"/>
          <w:sz w:val="32"/>
          <w:szCs w:val="32"/>
          <w:lang w:val="en-US" w:eastAsia="zh-CN"/>
        </w:rPr>
        <w:t>.</w:t>
      </w:r>
      <w:r>
        <w:rPr>
          <w:rFonts w:hint="eastAsia" w:eastAsia="仿宋_GB2312"/>
          <w:color w:val="auto"/>
          <w:kern w:val="0"/>
          <w:sz w:val="32"/>
          <w:szCs w:val="32"/>
          <w:lang w:val="zh-CN"/>
        </w:rPr>
        <w:t>适用简易程序，在听取当事人陈述申辩意见后，当场作出撤销行政许可决定。</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en-US" w:eastAsia="zh-CN"/>
        </w:rPr>
        <w:t>3.</w:t>
      </w:r>
      <w:r>
        <w:rPr>
          <w:rFonts w:hint="eastAsia" w:eastAsia="仿宋_GB2312"/>
          <w:color w:val="auto"/>
          <w:kern w:val="0"/>
          <w:sz w:val="32"/>
          <w:szCs w:val="32"/>
          <w:lang w:val="zh-CN"/>
        </w:rPr>
        <w:t>涉及其他违法行为的，移交稽查部门依法处理。</w:t>
      </w:r>
    </w:p>
    <w:p>
      <w:pPr>
        <w:spacing w:line="600" w:lineRule="exact"/>
        <w:rPr>
          <w:rFonts w:eastAsia="仿宋_GB2312"/>
          <w:color w:val="auto"/>
          <w:kern w:val="0"/>
          <w:sz w:val="32"/>
          <w:szCs w:val="32"/>
          <w:lang w:val="zh-CN"/>
        </w:rPr>
      </w:pPr>
    </w:p>
    <w:p>
      <w:pPr>
        <w:spacing w:line="600" w:lineRule="exact"/>
        <w:ind w:left="3150" w:leftChars="1500" w:firstLine="640" w:firstLineChars="200"/>
        <w:rPr>
          <w:rFonts w:eastAsia="仿宋_GB2312"/>
          <w:color w:val="auto"/>
          <w:kern w:val="0"/>
          <w:sz w:val="32"/>
          <w:szCs w:val="32"/>
          <w:lang w:val="zh-CN"/>
        </w:rPr>
      </w:pPr>
      <w:r>
        <w:rPr>
          <w:rFonts w:hint="eastAsia" w:eastAsia="仿宋_GB2312"/>
          <w:color w:val="auto"/>
          <w:kern w:val="0"/>
          <w:sz w:val="32"/>
          <w:szCs w:val="32"/>
          <w:lang w:val="zh-CN"/>
        </w:rPr>
        <w:t>签名（盖章）</w:t>
      </w:r>
    </w:p>
    <w:p>
      <w:pPr>
        <w:spacing w:line="600" w:lineRule="exact"/>
        <w:ind w:left="3150" w:leftChars="1500" w:firstLine="640" w:firstLineChars="200"/>
        <w:rPr>
          <w:rFonts w:hint="eastAsia" w:eastAsia="黑体"/>
          <w:color w:val="auto"/>
          <w:kern w:val="0"/>
          <w:sz w:val="32"/>
          <w:szCs w:val="32"/>
          <w:lang w:val="zh-CN"/>
        </w:rPr>
      </w:pPr>
      <w:r>
        <w:rPr>
          <w:rFonts w:hint="eastAsia" w:eastAsia="仿宋_GB2312"/>
          <w:color w:val="auto"/>
          <w:kern w:val="0"/>
          <w:sz w:val="32"/>
          <w:szCs w:val="32"/>
          <w:lang w:val="zh-CN"/>
        </w:rPr>
        <w:t>日期：</w:t>
      </w:r>
    </w:p>
    <w:p>
      <w:pPr>
        <w:spacing w:line="600" w:lineRule="exact"/>
        <w:rPr>
          <w:rFonts w:eastAsia="黑体"/>
          <w:color w:val="auto"/>
          <w:kern w:val="0"/>
          <w:sz w:val="32"/>
          <w:szCs w:val="32"/>
          <w:lang w:val="zh-CN"/>
        </w:rPr>
      </w:pPr>
      <w:r>
        <w:rPr>
          <w:rFonts w:hint="eastAsia" w:eastAsia="黑体"/>
          <w:color w:val="auto"/>
          <w:kern w:val="0"/>
          <w:sz w:val="32"/>
          <w:szCs w:val="32"/>
          <w:lang w:val="zh-CN"/>
        </w:rPr>
        <w:t>附件3</w:t>
      </w:r>
    </w:p>
    <w:p>
      <w:pPr>
        <w:spacing w:line="660" w:lineRule="exact"/>
        <w:jc w:val="center"/>
        <w:rPr>
          <w:rFonts w:eastAsia="方正小标宋简体"/>
          <w:color w:val="auto"/>
          <w:spacing w:val="9"/>
          <w:sz w:val="44"/>
          <w:szCs w:val="44"/>
          <w:lang w:val="zh-CN"/>
        </w:rPr>
      </w:pPr>
      <w:r>
        <w:rPr>
          <w:rFonts w:hint="eastAsia" w:eastAsia="方正小标宋简体"/>
          <w:color w:val="auto"/>
          <w:spacing w:val="9"/>
          <w:sz w:val="44"/>
          <w:szCs w:val="44"/>
          <w:lang w:val="zh-CN"/>
        </w:rPr>
        <w:t>不适用行政许可申请人承诺制告知书</w:t>
      </w:r>
    </w:p>
    <w:p>
      <w:pPr>
        <w:spacing w:line="660" w:lineRule="exact"/>
        <w:jc w:val="center"/>
        <w:rPr>
          <w:rFonts w:ascii="楷体_GB2312" w:hAnsi="楷体_GB2312" w:eastAsia="楷体_GB2312" w:cs="楷体_GB2312"/>
          <w:b/>
          <w:bCs/>
          <w:color w:val="auto"/>
          <w:spacing w:val="9"/>
          <w:sz w:val="32"/>
          <w:szCs w:val="32"/>
          <w:lang w:val="zh-CN"/>
        </w:rPr>
      </w:pPr>
      <w:r>
        <w:rPr>
          <w:rFonts w:hint="eastAsia" w:ascii="楷体_GB2312" w:hAnsi="楷体_GB2312" w:eastAsia="楷体_GB2312" w:cs="楷体_GB2312"/>
          <w:b/>
          <w:bCs/>
          <w:color w:val="auto"/>
          <w:spacing w:val="9"/>
          <w:sz w:val="32"/>
          <w:szCs w:val="32"/>
          <w:lang w:val="zh-CN"/>
        </w:rPr>
        <w:t>（通用）</w:t>
      </w:r>
    </w:p>
    <w:p>
      <w:pPr>
        <w:snapToGrid w:val="0"/>
        <w:spacing w:line="560" w:lineRule="exact"/>
        <w:rPr>
          <w:rFonts w:ascii="华文仿宋" w:hAnsi="华文仿宋" w:eastAsia="华文仿宋"/>
          <w:color w:val="auto"/>
          <w:sz w:val="30"/>
          <w:szCs w:val="30"/>
        </w:rPr>
      </w:pPr>
    </w:p>
    <w:p>
      <w:pPr>
        <w:spacing w:line="600" w:lineRule="exact"/>
        <w:rPr>
          <w:rFonts w:eastAsia="仿宋_GB2312"/>
          <w:color w:val="auto"/>
          <w:kern w:val="0"/>
          <w:sz w:val="32"/>
          <w:szCs w:val="32"/>
          <w:lang w:val="zh-CN"/>
        </w:rPr>
      </w:pPr>
      <w:r>
        <w:rPr>
          <w:rFonts w:hint="eastAsia" w:eastAsia="仿宋_GB2312"/>
          <w:color w:val="auto"/>
          <w:kern w:val="0"/>
          <w:sz w:val="32"/>
          <w:szCs w:val="32"/>
          <w:lang w:val="zh-CN"/>
        </w:rPr>
        <w:t>申请人：</w:t>
      </w:r>
      <w:r>
        <w:rPr>
          <w:rFonts w:hint="eastAsia" w:eastAsia="仿宋_GB2312"/>
          <w:color w:val="auto"/>
          <w:kern w:val="0"/>
          <w:sz w:val="32"/>
          <w:szCs w:val="32"/>
          <w:u w:val="single"/>
          <w:lang w:val="zh-CN"/>
        </w:rPr>
        <w:t xml:space="preserve">                                  </w:t>
      </w:r>
    </w:p>
    <w:p>
      <w:pPr>
        <w:spacing w:line="600" w:lineRule="exact"/>
        <w:ind w:firstLine="640" w:firstLineChars="200"/>
        <w:rPr>
          <w:rFonts w:eastAsia="仿宋_GB2312"/>
          <w:color w:val="auto"/>
          <w:kern w:val="0"/>
          <w:sz w:val="32"/>
          <w:szCs w:val="32"/>
          <w:lang w:val="zh-CN"/>
        </w:rPr>
      </w:pP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经核查，受理编号：</w:t>
      </w:r>
      <w:r>
        <w:rPr>
          <w:rFonts w:hint="eastAsia" w:eastAsia="仿宋_GB2312"/>
          <w:color w:val="auto"/>
          <w:kern w:val="0"/>
          <w:sz w:val="32"/>
          <w:szCs w:val="32"/>
          <w:u w:val="single"/>
          <w:lang w:val="zh-CN"/>
        </w:rPr>
        <w:t xml:space="preserve">                           </w:t>
      </w:r>
      <w:r>
        <w:rPr>
          <w:rFonts w:hint="eastAsia" w:eastAsia="仿宋_GB2312"/>
          <w:color w:val="auto"/>
          <w:kern w:val="0"/>
          <w:sz w:val="32"/>
          <w:szCs w:val="32"/>
          <w:lang w:val="zh-CN"/>
        </w:rPr>
        <w:t>的许可申请，因存在以下情形，不符合申请人承诺制办理条件：</w:t>
      </w:r>
      <w:r>
        <w:rPr>
          <w:rFonts w:hint="eastAsia" w:eastAsia="仿宋_GB2312"/>
          <w:color w:val="auto"/>
          <w:kern w:val="0"/>
          <w:sz w:val="32"/>
          <w:szCs w:val="32"/>
          <w:u w:val="single"/>
        </w:rPr>
        <w:t xml:space="preserve">     </w:t>
      </w:r>
    </w:p>
    <w:p>
      <w:pPr>
        <w:spacing w:line="600" w:lineRule="exact"/>
        <w:rPr>
          <w:rFonts w:eastAsia="仿宋_GB2312"/>
          <w:color w:val="auto"/>
          <w:kern w:val="0"/>
          <w:sz w:val="32"/>
          <w:szCs w:val="32"/>
          <w:u w:val="single"/>
        </w:rPr>
      </w:pPr>
      <w:r>
        <w:rPr>
          <w:rFonts w:hint="eastAsia" w:eastAsia="仿宋_GB2312"/>
          <w:color w:val="auto"/>
          <w:kern w:val="0"/>
          <w:sz w:val="32"/>
          <w:szCs w:val="32"/>
          <w:u w:val="single"/>
        </w:rPr>
        <w:t xml:space="preserve">                                                       </w:t>
      </w:r>
    </w:p>
    <w:p>
      <w:pPr>
        <w:spacing w:line="600" w:lineRule="exact"/>
        <w:rPr>
          <w:rFonts w:eastAsia="仿宋_GB2312"/>
          <w:color w:val="auto"/>
          <w:kern w:val="0"/>
          <w:sz w:val="32"/>
          <w:szCs w:val="32"/>
          <w:lang w:val="zh-CN"/>
        </w:rPr>
      </w:pPr>
      <w:r>
        <w:rPr>
          <w:rFonts w:hint="eastAsia" w:eastAsia="仿宋_GB2312"/>
          <w:color w:val="auto"/>
          <w:kern w:val="0"/>
          <w:sz w:val="32"/>
          <w:szCs w:val="32"/>
          <w:u w:val="single"/>
        </w:rPr>
        <w:t xml:space="preserve">                                                       </w:t>
      </w:r>
    </w:p>
    <w:p>
      <w:pPr>
        <w:spacing w:line="600" w:lineRule="exact"/>
        <w:rPr>
          <w:rFonts w:eastAsia="仿宋_GB2312"/>
          <w:color w:val="auto"/>
          <w:kern w:val="0"/>
          <w:sz w:val="32"/>
          <w:szCs w:val="32"/>
          <w:lang w:val="zh-CN"/>
        </w:rPr>
      </w:pPr>
      <w:r>
        <w:rPr>
          <w:rFonts w:hint="eastAsia" w:eastAsia="仿宋_GB2312"/>
          <w:color w:val="auto"/>
          <w:kern w:val="0"/>
          <w:sz w:val="32"/>
          <w:szCs w:val="32"/>
          <w:u w:val="single"/>
        </w:rPr>
        <w:t xml:space="preserve">                                                       </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该事项不适用行政许可申请人承诺制办理，将按以下方式处理：</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□转为按一般程序办理，自   年   月  日起受理。</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□申请终结。</w:t>
      </w:r>
    </w:p>
    <w:p>
      <w:pPr>
        <w:spacing w:line="600" w:lineRule="exact"/>
        <w:ind w:firstLine="640" w:firstLineChars="200"/>
        <w:rPr>
          <w:rFonts w:eastAsia="仿宋_GB2312"/>
          <w:color w:val="auto"/>
          <w:kern w:val="0"/>
          <w:sz w:val="32"/>
          <w:szCs w:val="32"/>
          <w:lang w:val="zh-CN"/>
        </w:rPr>
      </w:pPr>
      <w:r>
        <w:rPr>
          <w:rFonts w:hint="eastAsia" w:eastAsia="仿宋_GB2312"/>
          <w:color w:val="auto"/>
          <w:kern w:val="0"/>
          <w:sz w:val="32"/>
          <w:szCs w:val="32"/>
          <w:lang w:val="zh-CN"/>
        </w:rPr>
        <w:t>特此告知。</w:t>
      </w:r>
    </w:p>
    <w:p>
      <w:pPr>
        <w:spacing w:line="600" w:lineRule="exact"/>
        <w:ind w:firstLine="640" w:firstLineChars="200"/>
        <w:rPr>
          <w:rFonts w:eastAsia="仿宋_GB2312"/>
          <w:color w:val="auto"/>
          <w:kern w:val="0"/>
          <w:sz w:val="32"/>
          <w:szCs w:val="32"/>
          <w:lang w:val="zh-CN"/>
        </w:rPr>
      </w:pPr>
    </w:p>
    <w:p>
      <w:pPr>
        <w:spacing w:line="600" w:lineRule="exact"/>
        <w:ind w:firstLine="640" w:firstLineChars="200"/>
        <w:rPr>
          <w:rFonts w:eastAsia="仿宋_GB2312"/>
          <w:color w:val="auto"/>
          <w:kern w:val="0"/>
          <w:sz w:val="32"/>
          <w:szCs w:val="32"/>
          <w:lang w:val="zh-CN"/>
        </w:rPr>
      </w:pPr>
    </w:p>
    <w:p>
      <w:pPr>
        <w:spacing w:line="600" w:lineRule="exact"/>
        <w:ind w:right="1260" w:rightChars="600"/>
        <w:jc w:val="right"/>
        <w:rPr>
          <w:rFonts w:eastAsia="仿宋_GB2312"/>
          <w:color w:val="auto"/>
          <w:kern w:val="0"/>
          <w:sz w:val="32"/>
          <w:szCs w:val="32"/>
          <w:lang w:val="zh-CN"/>
        </w:rPr>
      </w:pPr>
      <w:r>
        <w:rPr>
          <w:rFonts w:hint="eastAsia" w:eastAsia="仿宋_GB2312"/>
          <w:color w:val="auto"/>
          <w:kern w:val="0"/>
          <w:sz w:val="32"/>
          <w:szCs w:val="32"/>
          <w:u w:val="single"/>
        </w:rPr>
        <w:t xml:space="preserve">        </w:t>
      </w:r>
      <w:r>
        <w:rPr>
          <w:rFonts w:hint="eastAsia" w:eastAsia="仿宋_GB2312"/>
          <w:color w:val="auto"/>
          <w:kern w:val="0"/>
          <w:sz w:val="32"/>
          <w:szCs w:val="32"/>
          <w:lang w:val="zh-CN"/>
        </w:rPr>
        <w:t>市场监督管理局</w:t>
      </w:r>
    </w:p>
    <w:p>
      <w:pPr>
        <w:spacing w:line="600" w:lineRule="exact"/>
        <w:ind w:right="1680" w:rightChars="800"/>
        <w:jc w:val="right"/>
        <w:rPr>
          <w:rFonts w:eastAsia="仿宋_GB2312"/>
          <w:color w:val="auto"/>
          <w:kern w:val="0"/>
          <w:sz w:val="32"/>
          <w:szCs w:val="32"/>
          <w:lang w:val="zh-CN"/>
        </w:rPr>
      </w:pPr>
      <w:r>
        <w:rPr>
          <w:rFonts w:hint="eastAsia" w:eastAsia="仿宋_GB2312"/>
          <w:color w:val="auto"/>
          <w:kern w:val="0"/>
          <w:sz w:val="32"/>
          <w:szCs w:val="32"/>
          <w:lang w:val="zh-CN"/>
        </w:rPr>
        <w:t>年  月  日</w:t>
      </w:r>
    </w:p>
    <w:p>
      <w:pPr>
        <w:spacing w:line="600" w:lineRule="exact"/>
        <w:ind w:firstLine="640" w:firstLineChars="200"/>
        <w:rPr>
          <w:rFonts w:eastAsia="仿宋_GB2312"/>
          <w:color w:val="auto"/>
          <w:kern w:val="0"/>
          <w:sz w:val="32"/>
          <w:szCs w:val="32"/>
          <w:lang w:val="zh-CN"/>
        </w:rPr>
      </w:pPr>
    </w:p>
    <w:p>
      <w:pPr>
        <w:spacing w:line="600" w:lineRule="exact"/>
        <w:ind w:firstLine="640" w:firstLineChars="200"/>
        <w:rPr>
          <w:rFonts w:eastAsia="仿宋_GB2312"/>
          <w:color w:val="auto"/>
          <w:kern w:val="0"/>
          <w:sz w:val="32"/>
          <w:szCs w:val="32"/>
          <w:lang w:val="zh-CN"/>
        </w:rPr>
      </w:pPr>
    </w:p>
    <w:p>
      <w:pPr>
        <w:spacing w:line="600" w:lineRule="exact"/>
        <w:rPr>
          <w:rFonts w:hint="eastAsia" w:eastAsia="黑体"/>
          <w:color w:val="auto"/>
          <w:kern w:val="0"/>
          <w:sz w:val="32"/>
          <w:szCs w:val="32"/>
          <w:lang w:val="zh-CN"/>
        </w:rPr>
      </w:pPr>
    </w:p>
    <w:p>
      <w:pPr>
        <w:spacing w:line="600" w:lineRule="exact"/>
        <w:rPr>
          <w:rFonts w:eastAsia="黑体"/>
          <w:color w:val="auto"/>
          <w:kern w:val="0"/>
          <w:sz w:val="32"/>
          <w:szCs w:val="32"/>
          <w:lang w:val="zh-CN"/>
        </w:rPr>
      </w:pPr>
      <w:r>
        <w:rPr>
          <w:rFonts w:hint="eastAsia" w:eastAsia="黑体"/>
          <w:color w:val="auto"/>
          <w:kern w:val="0"/>
          <w:sz w:val="32"/>
          <w:szCs w:val="32"/>
          <w:lang w:val="zh-CN"/>
        </w:rPr>
        <w:t>附件4</w:t>
      </w:r>
    </w:p>
    <w:p>
      <w:pPr>
        <w:spacing w:line="660" w:lineRule="exact"/>
        <w:jc w:val="center"/>
        <w:rPr>
          <w:rFonts w:eastAsia="方正小标宋简体"/>
          <w:color w:val="auto"/>
          <w:spacing w:val="9"/>
          <w:sz w:val="44"/>
          <w:szCs w:val="44"/>
          <w:lang w:val="zh-CN"/>
        </w:rPr>
      </w:pPr>
      <w:r>
        <w:rPr>
          <w:rFonts w:hint="eastAsia" w:eastAsia="方正小标宋简体"/>
          <w:color w:val="auto"/>
          <w:spacing w:val="9"/>
          <w:sz w:val="44"/>
          <w:szCs w:val="44"/>
          <w:lang w:val="zh-CN"/>
        </w:rPr>
        <w:t>承诺制实施情况统计表</w:t>
      </w:r>
    </w:p>
    <w:p>
      <w:pPr>
        <w:spacing w:line="600" w:lineRule="exact"/>
        <w:ind w:right="840" w:rightChars="400"/>
        <w:jc w:val="right"/>
        <w:rPr>
          <w:rFonts w:eastAsia="仿宋_GB2312"/>
          <w:color w:val="auto"/>
          <w:kern w:val="0"/>
          <w:sz w:val="28"/>
          <w:szCs w:val="28"/>
          <w:lang w:val="zh-CN"/>
        </w:rPr>
      </w:pPr>
      <w:r>
        <w:rPr>
          <w:rFonts w:hint="eastAsia" w:eastAsia="仿宋_GB2312"/>
          <w:color w:val="auto"/>
          <w:kern w:val="0"/>
          <w:sz w:val="28"/>
          <w:szCs w:val="28"/>
          <w:lang w:val="zh-CN"/>
        </w:rPr>
        <w:t>填报日期：</w:t>
      </w:r>
      <w:r>
        <w:rPr>
          <w:rFonts w:hint="eastAsia" w:eastAsia="仿宋_GB2312"/>
          <w:color w:val="auto"/>
          <w:kern w:val="0"/>
          <w:sz w:val="28"/>
          <w:szCs w:val="28"/>
        </w:rPr>
        <w:t xml:space="preserve">  </w:t>
      </w:r>
      <w:r>
        <w:rPr>
          <w:rFonts w:hint="eastAsia" w:eastAsia="仿宋_GB2312"/>
          <w:color w:val="auto"/>
          <w:kern w:val="0"/>
          <w:sz w:val="28"/>
          <w:szCs w:val="28"/>
          <w:lang w:val="zh-CN"/>
        </w:rPr>
        <w:t>月</w:t>
      </w:r>
    </w:p>
    <w:tbl>
      <w:tblPr>
        <w:tblStyle w:val="6"/>
        <w:tblW w:w="1087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36"/>
        <w:gridCol w:w="936"/>
        <w:gridCol w:w="601"/>
        <w:gridCol w:w="670"/>
        <w:gridCol w:w="855"/>
        <w:gridCol w:w="1141"/>
        <w:gridCol w:w="827"/>
        <w:gridCol w:w="954"/>
        <w:gridCol w:w="812"/>
        <w:gridCol w:w="992"/>
        <w:gridCol w:w="735"/>
        <w:gridCol w:w="8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98"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黑体"/>
                <w:color w:val="auto"/>
                <w:szCs w:val="21"/>
              </w:rPr>
            </w:pPr>
            <w:r>
              <w:rPr>
                <w:rFonts w:eastAsia="黑体"/>
                <w:color w:val="auto"/>
                <w:kern w:val="0"/>
                <w:szCs w:val="21"/>
                <w:lang w:bidi="ar"/>
              </w:rPr>
              <w:t>项目</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黑体"/>
                <w:color w:val="auto"/>
                <w:szCs w:val="21"/>
              </w:rPr>
            </w:pPr>
            <w:r>
              <w:rPr>
                <w:rFonts w:eastAsia="黑体"/>
                <w:color w:val="auto"/>
                <w:kern w:val="0"/>
                <w:szCs w:val="21"/>
                <w:lang w:bidi="ar"/>
              </w:rPr>
              <w:t>食品生产许可核发（仅3类）、延续、变更</w:t>
            </w: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黑体"/>
                <w:color w:val="auto"/>
                <w:szCs w:val="21"/>
              </w:rPr>
            </w:pPr>
            <w:r>
              <w:rPr>
                <w:rFonts w:eastAsia="黑体"/>
                <w:color w:val="auto"/>
                <w:kern w:val="0"/>
                <w:szCs w:val="21"/>
                <w:lang w:bidi="ar"/>
              </w:rPr>
              <w:t>其他的食品生产许可</w:t>
            </w: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黑体"/>
                <w:color w:val="auto"/>
                <w:szCs w:val="21"/>
              </w:rPr>
            </w:pPr>
            <w:r>
              <w:rPr>
                <w:rFonts w:eastAsia="黑体"/>
                <w:color w:val="auto"/>
                <w:kern w:val="0"/>
                <w:szCs w:val="21"/>
                <w:lang w:bidi="ar"/>
              </w:rPr>
              <w:t>食品经营许可延续、变更</w:t>
            </w: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黑体"/>
                <w:color w:val="auto"/>
                <w:szCs w:val="21"/>
              </w:rPr>
            </w:pPr>
            <w:r>
              <w:rPr>
                <w:rFonts w:eastAsia="黑体"/>
                <w:color w:val="auto"/>
                <w:kern w:val="0"/>
                <w:szCs w:val="21"/>
                <w:lang w:bidi="ar"/>
              </w:rPr>
              <w:t>食品销售经营者经营许可证核发</w:t>
            </w: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黑体"/>
                <w:color w:val="auto"/>
                <w:szCs w:val="21"/>
              </w:rPr>
            </w:pPr>
            <w:r>
              <w:rPr>
                <w:rFonts w:eastAsia="黑体"/>
                <w:color w:val="auto"/>
                <w:kern w:val="0"/>
                <w:szCs w:val="21"/>
                <w:lang w:bidi="ar"/>
              </w:rPr>
              <w:t>≤200㎡餐饮经营者、≤100㎡单位食堂经营许可证核发</w:t>
            </w: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黑体"/>
                <w:color w:val="auto"/>
                <w:szCs w:val="21"/>
              </w:rPr>
            </w:pPr>
            <w:r>
              <w:rPr>
                <w:rFonts w:eastAsia="黑体"/>
                <w:color w:val="auto"/>
                <w:kern w:val="0"/>
                <w:szCs w:val="21"/>
                <w:lang w:bidi="ar"/>
              </w:rPr>
              <w:t>其他的食品经营许可证核发</w:t>
            </w: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黑体"/>
                <w:color w:val="auto"/>
                <w:szCs w:val="21"/>
              </w:rPr>
            </w:pPr>
            <w:r>
              <w:rPr>
                <w:rFonts w:eastAsia="黑体"/>
                <w:color w:val="auto"/>
                <w:kern w:val="0"/>
                <w:szCs w:val="21"/>
                <w:lang w:bidi="ar"/>
              </w:rPr>
              <w:t>药品零售经营许可证换发、变更和新开筹建</w:t>
            </w: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黑体"/>
                <w:color w:val="auto"/>
                <w:szCs w:val="21"/>
              </w:rPr>
            </w:pPr>
            <w:r>
              <w:rPr>
                <w:rFonts w:eastAsia="黑体"/>
                <w:color w:val="auto"/>
                <w:kern w:val="0"/>
                <w:szCs w:val="21"/>
                <w:lang w:bidi="ar"/>
              </w:rPr>
              <w:t>其他的药品零售经营许可</w:t>
            </w:r>
          </w:p>
        </w:tc>
        <w:tc>
          <w:tcPr>
            <w:tcW w:w="99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黑体"/>
                <w:color w:val="auto"/>
                <w:szCs w:val="21"/>
              </w:rPr>
            </w:pPr>
            <w:r>
              <w:rPr>
                <w:rFonts w:eastAsia="黑体"/>
                <w:color w:val="auto"/>
                <w:kern w:val="0"/>
                <w:szCs w:val="21"/>
                <w:lang w:bidi="ar"/>
              </w:rPr>
              <w:t>医疗器械零售经营许可证核发、延续、变更、注销</w:t>
            </w: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黑体"/>
                <w:color w:val="auto"/>
                <w:szCs w:val="21"/>
              </w:rPr>
            </w:pPr>
            <w:r>
              <w:rPr>
                <w:rFonts w:eastAsia="黑体"/>
                <w:color w:val="auto"/>
                <w:kern w:val="0"/>
                <w:szCs w:val="21"/>
                <w:lang w:bidi="ar"/>
              </w:rPr>
              <w:t>其他的医疗器械零售经营许可</w:t>
            </w: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黑体"/>
                <w:color w:val="auto"/>
                <w:szCs w:val="21"/>
              </w:rPr>
            </w:pPr>
            <w:r>
              <w:rPr>
                <w:rFonts w:eastAsia="黑体"/>
                <w:color w:val="auto"/>
                <w:kern w:val="0"/>
                <w:szCs w:val="21"/>
                <w:lang w:bidi="ar"/>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3"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r>
              <w:rPr>
                <w:rFonts w:eastAsia="仿宋_GB2312"/>
                <w:color w:val="auto"/>
                <w:kern w:val="0"/>
                <w:szCs w:val="21"/>
                <w:lang w:bidi="ar"/>
              </w:rPr>
              <w:t>许可总数</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9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93"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r>
              <w:rPr>
                <w:rFonts w:eastAsia="仿宋_GB2312"/>
                <w:color w:val="auto"/>
                <w:kern w:val="0"/>
                <w:szCs w:val="21"/>
                <w:lang w:bidi="ar"/>
              </w:rPr>
              <w:t>其中申请人承诺制许许可数</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9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64"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r>
              <w:rPr>
                <w:rFonts w:eastAsia="仿宋_GB2312"/>
                <w:color w:val="auto"/>
                <w:kern w:val="0"/>
                <w:szCs w:val="21"/>
                <w:lang w:bidi="ar"/>
              </w:rPr>
              <w:t>被告知不适用承诺制家数</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9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0"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r>
              <w:rPr>
                <w:rFonts w:eastAsia="仿宋_GB2312"/>
                <w:color w:val="auto"/>
                <w:kern w:val="0"/>
                <w:szCs w:val="21"/>
                <w:lang w:bidi="ar"/>
              </w:rPr>
              <w:t>后续检查家数</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9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2"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r>
              <w:rPr>
                <w:rFonts w:eastAsia="仿宋_GB2312"/>
                <w:color w:val="auto"/>
                <w:kern w:val="0"/>
                <w:szCs w:val="21"/>
                <w:lang w:bidi="ar"/>
              </w:rPr>
              <w:t>其中符合要求家数</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9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1"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r>
              <w:rPr>
                <w:rFonts w:eastAsia="仿宋_GB2312"/>
                <w:color w:val="auto"/>
                <w:kern w:val="0"/>
                <w:szCs w:val="21"/>
                <w:lang w:bidi="ar"/>
              </w:rPr>
              <w:t>责令整改家数</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9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9"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r>
              <w:rPr>
                <w:rFonts w:eastAsia="仿宋_GB2312"/>
                <w:color w:val="auto"/>
                <w:kern w:val="0"/>
                <w:szCs w:val="21"/>
                <w:lang w:bidi="ar"/>
              </w:rPr>
              <w:t>经整改仍不符合家数</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9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26"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r>
              <w:rPr>
                <w:rFonts w:eastAsia="仿宋_GB2312"/>
                <w:color w:val="auto"/>
                <w:kern w:val="0"/>
                <w:szCs w:val="21"/>
                <w:lang w:bidi="ar"/>
              </w:rPr>
              <w:t>故意虚假承诺\提供虚假材料家数</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9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8"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r>
              <w:rPr>
                <w:rFonts w:eastAsia="仿宋_GB2312"/>
                <w:color w:val="auto"/>
                <w:kern w:val="0"/>
                <w:szCs w:val="21"/>
                <w:lang w:bidi="ar"/>
              </w:rPr>
              <w:t>撤销许可家数</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9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03"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r>
              <w:rPr>
                <w:rFonts w:eastAsia="仿宋_GB2312"/>
                <w:color w:val="auto"/>
                <w:kern w:val="0"/>
                <w:szCs w:val="21"/>
                <w:lang w:bidi="ar"/>
              </w:rPr>
              <w:t>其中因故意虚假承诺\提供虚假材料被撤销许可家数</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9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0"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r>
              <w:rPr>
                <w:rFonts w:eastAsia="仿宋_GB2312"/>
                <w:color w:val="auto"/>
                <w:kern w:val="0"/>
                <w:szCs w:val="21"/>
                <w:lang w:bidi="ar"/>
              </w:rPr>
              <w:t>承诺制许可占许可总数的比例</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92" w:type="dxa"/>
            <w:tcBorders>
              <w:tl2br w:val="nil"/>
              <w:tr2bl w:val="nil"/>
            </w:tcBorders>
            <w:tcMar>
              <w:top w:w="14" w:type="dxa"/>
              <w:left w:w="14" w:type="dxa"/>
              <w:right w:w="14" w:type="dxa"/>
            </w:tcMar>
            <w:vAlign w:val="center"/>
          </w:tcPr>
          <w:p>
            <w:pPr>
              <w:spacing w:line="300" w:lineRule="exact"/>
              <w:jc w:val="center"/>
              <w:rPr>
                <w:rFonts w:eastAsia="仿宋_GB2312"/>
                <w:color w:val="auto"/>
                <w:szCs w:val="21"/>
              </w:rPr>
            </w:pP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14"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r>
              <w:rPr>
                <w:rFonts w:eastAsia="仿宋_GB2312"/>
                <w:color w:val="auto"/>
                <w:kern w:val="0"/>
                <w:szCs w:val="21"/>
                <w:lang w:bidi="ar"/>
              </w:rPr>
              <w:t>抽查承诺制许可企业的比例</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92" w:type="dxa"/>
            <w:tcBorders>
              <w:tl2br w:val="nil"/>
              <w:tr2bl w:val="nil"/>
            </w:tcBorders>
            <w:tcMar>
              <w:top w:w="14" w:type="dxa"/>
              <w:left w:w="14" w:type="dxa"/>
              <w:right w:w="14" w:type="dxa"/>
            </w:tcMar>
            <w:vAlign w:val="center"/>
          </w:tcPr>
          <w:p>
            <w:pPr>
              <w:spacing w:line="300" w:lineRule="exact"/>
              <w:jc w:val="center"/>
              <w:rPr>
                <w:rFonts w:eastAsia="仿宋_GB2312"/>
                <w:color w:val="auto"/>
                <w:szCs w:val="21"/>
              </w:rPr>
            </w:pP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45" w:hRule="atLeast"/>
          <w:jc w:val="center"/>
        </w:trPr>
        <w:tc>
          <w:tcPr>
            <w:tcW w:w="15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r>
              <w:rPr>
                <w:rFonts w:eastAsia="仿宋_GB2312"/>
                <w:color w:val="auto"/>
                <w:kern w:val="0"/>
                <w:szCs w:val="21"/>
                <w:lang w:bidi="ar"/>
              </w:rPr>
              <w:t>抽查结果符合要求的比例</w:t>
            </w:r>
          </w:p>
        </w:tc>
        <w:tc>
          <w:tcPr>
            <w:tcW w:w="936"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0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670"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5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114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27"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54"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992"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735"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c>
          <w:tcPr>
            <w:tcW w:w="811" w:type="dxa"/>
            <w:tcBorders>
              <w:tl2br w:val="nil"/>
              <w:tr2bl w:val="nil"/>
            </w:tcBorders>
            <w:tcMar>
              <w:top w:w="14" w:type="dxa"/>
              <w:left w:w="14" w:type="dxa"/>
              <w:right w:w="14" w:type="dxa"/>
            </w:tcMar>
            <w:vAlign w:val="center"/>
          </w:tcPr>
          <w:p>
            <w:pPr>
              <w:widowControl/>
              <w:spacing w:line="300" w:lineRule="exact"/>
              <w:jc w:val="center"/>
              <w:textAlignment w:val="center"/>
              <w:rPr>
                <w:rFonts w:eastAsia="仿宋_GB2312"/>
                <w:color w:val="auto"/>
                <w:szCs w:val="21"/>
              </w:rPr>
            </w:pPr>
          </w:p>
        </w:tc>
      </w:tr>
    </w:tbl>
    <w:p>
      <w:pPr>
        <w:rPr>
          <w:color w:val="auto"/>
        </w:rPr>
      </w:pPr>
    </w:p>
    <w:sectPr>
      <w:pgSz w:w="11906" w:h="16838"/>
      <w:pgMar w:top="1440" w:right="1800" w:bottom="1440" w:left="1800" w:header="851" w:footer="992" w:gutter="0"/>
      <w:cols w:space="0" w:num="1"/>
      <w:rtlGutter w:val="0"/>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47"/>
    <w:rsid w:val="0007364E"/>
    <w:rsid w:val="002E416B"/>
    <w:rsid w:val="00882C4B"/>
    <w:rsid w:val="00931223"/>
    <w:rsid w:val="00CA1D60"/>
    <w:rsid w:val="00F81047"/>
    <w:rsid w:val="080F7750"/>
    <w:rsid w:val="351209D5"/>
    <w:rsid w:val="444717A0"/>
    <w:rsid w:val="458411A8"/>
    <w:rsid w:val="6637304D"/>
    <w:rsid w:val="73BB7DFA"/>
    <w:rsid w:val="782946F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1016</Words>
  <Characters>5793</Characters>
  <Lines>48</Lines>
  <Paragraphs>13</Paragraphs>
  <ScaleCrop>false</ScaleCrop>
  <LinksUpToDate>false</LinksUpToDate>
  <CharactersWithSpaces>6796</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2019-05-29T03:23:00Z</dcterms:created>
  <dc:creator>张捷兴</dc:creator>
  <cp:lastModifiedBy>张敏华</cp:lastModifiedBy>
  <cp:lastPrinted>2019-05-29T06:55:00Z</cp:lastPrinted>
  <dcterms:modified xsi:type="dcterms:W3CDTF">2019-06-10T02:45:13Z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