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D2" w:rsidRDefault="005944C8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/>
          <w:sz w:val="44"/>
          <w:szCs w:val="44"/>
        </w:rPr>
        <w:t>江门市推进生育保险和基本医疗保险合并实施工作清单表</w:t>
      </w:r>
    </w:p>
    <w:p w:rsidR="00BE7AD2" w:rsidRDefault="00BE7AD2">
      <w:pPr>
        <w:ind w:right="1280"/>
        <w:jc w:val="center"/>
        <w:rPr>
          <w:rFonts w:ascii="方正小标宋简体" w:eastAsia="方正小标宋简体" w:hAnsi="微软雅黑 Light"/>
          <w:sz w:val="32"/>
          <w:szCs w:val="32"/>
        </w:rPr>
      </w:pP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1056"/>
        <w:gridCol w:w="5289"/>
        <w:gridCol w:w="1527"/>
        <w:gridCol w:w="2159"/>
        <w:gridCol w:w="4536"/>
      </w:tblGrid>
      <w:tr w:rsidR="00BE7AD2">
        <w:trPr>
          <w:trHeight w:val="530"/>
        </w:trPr>
        <w:tc>
          <w:tcPr>
            <w:tcW w:w="1056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方正黑体简体" w:eastAsia="方正黑体简体" w:hAnsi="楷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方正黑体简体" w:eastAsia="方正黑体简体" w:hAnsi="楷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楷体" w:hint="eastAsia"/>
                <w:b/>
                <w:sz w:val="28"/>
                <w:szCs w:val="28"/>
              </w:rPr>
              <w:t>工作任务内容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方正黑体简体" w:eastAsia="方正黑体简体" w:hAnsi="楷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楷体" w:hint="eastAsia"/>
                <w:b/>
                <w:sz w:val="28"/>
                <w:szCs w:val="28"/>
              </w:rPr>
              <w:t>时间节点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方正黑体简体" w:eastAsia="方正黑体简体" w:hAnsi="楷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楷体"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4536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方正黑体简体" w:eastAsia="方正黑体简体" w:hAnsi="楷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BE7AD2">
        <w:trPr>
          <w:trHeight w:val="530"/>
        </w:trPr>
        <w:tc>
          <w:tcPr>
            <w:tcW w:w="1056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289" w:type="dxa"/>
            <w:vAlign w:val="center"/>
          </w:tcPr>
          <w:p w:rsidR="00BE7AD2" w:rsidRDefault="005944C8">
            <w:pPr>
              <w:spacing w:line="3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启动实施阶段</w:t>
            </w:r>
          </w:p>
        </w:tc>
        <w:tc>
          <w:tcPr>
            <w:tcW w:w="8222" w:type="dxa"/>
            <w:gridSpan w:val="3"/>
            <w:vAlign w:val="center"/>
          </w:tcPr>
          <w:p w:rsidR="00BE7AD2" w:rsidRDefault="005944C8">
            <w:pPr>
              <w:spacing w:line="3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2019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年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12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月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1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日至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12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月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31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日</w:t>
            </w:r>
          </w:p>
        </w:tc>
      </w:tr>
      <w:tr w:rsidR="00BE7AD2">
        <w:trPr>
          <w:trHeight w:val="1981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（一）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对两项保险参保人数、基金收支情况、服务管理情况开展分析测算和调查研究，公布两项保险2020年度的缴费标准和待遇标准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2019年</w:t>
            </w:r>
            <w:r>
              <w:rPr>
                <w:rFonts w:ascii="仿宋_GB2312" w:eastAsia="仿宋_GB2312" w:hAnsi="楷体"/>
                <w:sz w:val="24"/>
                <w:szCs w:val="28"/>
                <w:u w:val="single"/>
              </w:rPr>
              <w:t>12月3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1日前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市医疗保障局、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市财政局、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市卫生健康局、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市税务局、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（二）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两项保险合并实施财政专户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记账</w:t>
            </w:r>
            <w:r>
              <w:rPr>
                <w:rFonts w:ascii="仿宋_GB2312" w:eastAsia="仿宋_GB2312" w:hAnsi="楷体" w:hint="eastAsia"/>
                <w:sz w:val="24"/>
                <w:szCs w:val="28"/>
              </w:rPr>
              <w:t>调整工作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2019年12月31日前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市财政局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（三）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两项保险合并实施基金财务记账调整工作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2019年12月31日前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（四）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指导各市（区）做好</w:t>
            </w:r>
            <w:r>
              <w:rPr>
                <w:rFonts w:ascii="仿宋_GB2312" w:eastAsia="仿宋_GB2312" w:hAnsi="楷体"/>
                <w:sz w:val="24"/>
                <w:szCs w:val="28"/>
              </w:rPr>
              <w:t>2020年度定点服务机构服务协议签订工作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2019年12月31日前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（五）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启动社保信息系统调整工作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2019年12月31日前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tabs>
                <w:tab w:val="center" w:pos="971"/>
              </w:tabs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</w:t>
            </w:r>
            <w:r>
              <w:rPr>
                <w:rFonts w:ascii="仿宋_GB2312" w:eastAsia="仿宋_GB2312" w:hAnsi="楷体" w:hint="eastAsia"/>
                <w:sz w:val="24"/>
                <w:szCs w:val="28"/>
              </w:rPr>
              <w:tab/>
              <w:t>、</w:t>
            </w:r>
          </w:p>
          <w:p w:rsidR="00BE7AD2" w:rsidRDefault="005944C8">
            <w:pPr>
              <w:tabs>
                <w:tab w:val="center" w:pos="971"/>
              </w:tabs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</w:t>
            </w:r>
            <w:proofErr w:type="gramStart"/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医</w:t>
            </w:r>
            <w:proofErr w:type="gramEnd"/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保局、</w:t>
            </w:r>
          </w:p>
          <w:p w:rsidR="00BE7AD2" w:rsidRDefault="005944C8">
            <w:pPr>
              <w:tabs>
                <w:tab w:val="center" w:pos="971"/>
              </w:tabs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市财政局、</w:t>
            </w:r>
          </w:p>
          <w:p w:rsidR="00BE7AD2" w:rsidRDefault="005944C8">
            <w:pPr>
              <w:tabs>
                <w:tab w:val="center" w:pos="971"/>
              </w:tabs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市政务数据管理局</w:t>
            </w:r>
          </w:p>
        </w:tc>
        <w:tc>
          <w:tcPr>
            <w:tcW w:w="4536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1．市社保局将社保信息系统升级改造经费纳入</w:t>
            </w:r>
            <w:r>
              <w:rPr>
                <w:rFonts w:ascii="仿宋_GB2312" w:eastAsia="仿宋_GB2312" w:hAnsi="楷体"/>
                <w:sz w:val="24"/>
                <w:szCs w:val="28"/>
                <w:u w:val="single"/>
              </w:rPr>
              <w:t>2020年度预算安排，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并报送</w:t>
            </w:r>
            <w:r>
              <w:rPr>
                <w:rFonts w:ascii="仿宋_GB2312" w:eastAsia="仿宋_GB2312" w:hAnsi="楷体"/>
                <w:sz w:val="24"/>
                <w:szCs w:val="28"/>
                <w:u w:val="single"/>
              </w:rPr>
              <w:t>市财政局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；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2</w:t>
            </w:r>
            <w:r>
              <w:rPr>
                <w:rFonts w:ascii="仿宋_GB2312" w:eastAsia="仿宋_GB2312" w:hAnsi="楷体"/>
                <w:sz w:val="24"/>
                <w:szCs w:val="28"/>
                <w:u w:val="single"/>
              </w:rPr>
              <w:t>.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市社保局会同市</w:t>
            </w:r>
            <w:proofErr w:type="gramStart"/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医</w:t>
            </w:r>
            <w:proofErr w:type="gramEnd"/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保局制定系统建设方案和具体项目建设工作，市政数局负责项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lastRenderedPageBreak/>
              <w:t>目方案技术审核工作，会同市财政局统筹落实系统建设经费。</w:t>
            </w: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两项保险征收管理系统的调整工作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2019年12月31日前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市税务局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（七）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做好两项保险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合并实施</w:t>
            </w:r>
            <w:r>
              <w:rPr>
                <w:rFonts w:ascii="仿宋_GB2312" w:eastAsia="仿宋_GB2312" w:hAnsi="楷体" w:hint="eastAsia"/>
                <w:sz w:val="24"/>
                <w:szCs w:val="28"/>
              </w:rPr>
              <w:t>政策宣传工作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2019年12月31日前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市医疗保障局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二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spacing w:line="34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过渡实施阶段</w:t>
            </w:r>
          </w:p>
        </w:tc>
        <w:tc>
          <w:tcPr>
            <w:tcW w:w="8222" w:type="dxa"/>
            <w:gridSpan w:val="3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2020年1月1日至6月30日</w:t>
            </w:r>
          </w:p>
        </w:tc>
      </w:tr>
      <w:tr w:rsidR="00BE7AD2">
        <w:trPr>
          <w:trHeight w:val="609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（一）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按照</w:t>
            </w:r>
            <w:proofErr w:type="gramStart"/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省推进</w:t>
            </w:r>
            <w:proofErr w:type="gramEnd"/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基本医疗保险省级统筹和职工生育保险规定修订等工作的统一部署，对我市两项保险政策文件进行梳理修订，完善相关政策措施，进一步整合两项保险管理资源，提升管理综合效能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2020</w:t>
            </w:r>
            <w:r>
              <w:rPr>
                <w:rFonts w:ascii="仿宋_GB2312" w:eastAsia="仿宋_GB2312" w:hAnsi="楷体"/>
                <w:sz w:val="24"/>
                <w:szCs w:val="28"/>
                <w:u w:val="single"/>
              </w:rPr>
              <w:t>年</w:t>
            </w: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6</w:t>
            </w:r>
            <w:r>
              <w:rPr>
                <w:rFonts w:ascii="仿宋_GB2312" w:eastAsia="仿宋_GB2312" w:hAnsi="楷体"/>
                <w:sz w:val="24"/>
                <w:szCs w:val="28"/>
                <w:u w:val="single"/>
              </w:rPr>
              <w:t>月30日前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市医疗保障局、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市财政局、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市卫生健康局、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市税务局、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市社保局</w:t>
            </w:r>
          </w:p>
        </w:tc>
        <w:tc>
          <w:tcPr>
            <w:tcW w:w="4536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根据《广东省职工生育保险规定》修订情况，结合我市实际，提出我市两项保险相关配套文件修订、废止或保留的意见。</w:t>
            </w:r>
          </w:p>
        </w:tc>
      </w:tr>
      <w:tr w:rsidR="00BE7AD2">
        <w:trPr>
          <w:trHeight w:val="903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（二）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按规定升级修改医疗保险和生育保险信息系统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/>
                <w:sz w:val="24"/>
                <w:szCs w:val="28"/>
              </w:rPr>
              <w:t>2020年</w:t>
            </w:r>
            <w:r>
              <w:rPr>
                <w:rFonts w:ascii="仿宋_GB2312" w:eastAsia="仿宋_GB2312" w:hAnsi="楷体" w:hint="eastAsia"/>
                <w:sz w:val="24"/>
                <w:szCs w:val="28"/>
              </w:rPr>
              <w:t>6</w:t>
            </w:r>
            <w:r>
              <w:rPr>
                <w:rFonts w:ascii="仿宋_GB2312" w:eastAsia="仿宋_GB2312" w:hAnsi="楷体"/>
                <w:sz w:val="24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4"/>
                <w:szCs w:val="28"/>
              </w:rPr>
              <w:t>30</w:t>
            </w:r>
            <w:r>
              <w:rPr>
                <w:rFonts w:ascii="仿宋_GB2312" w:eastAsia="仿宋_GB2312" w:hAnsi="楷体"/>
                <w:sz w:val="24"/>
                <w:szCs w:val="28"/>
              </w:rPr>
              <w:t>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市税务局、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市医疗保障局、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市卫生健康局、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市财政局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市政务数据管理局、</w:t>
            </w:r>
          </w:p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结合《广东省职工生育保险规定》修订情况，提出信息系统调整、升级需求。</w:t>
            </w:r>
          </w:p>
        </w:tc>
      </w:tr>
      <w:tr w:rsidR="00BE7AD2">
        <w:trPr>
          <w:trHeight w:val="595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（三）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组织拟订《江门市生育保险服务规程》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省出台《生育保险管理服务规程》后的</w:t>
            </w:r>
            <w:r>
              <w:rPr>
                <w:rFonts w:ascii="仿宋_GB2312" w:eastAsia="仿宋_GB2312" w:hAnsi="楷体"/>
                <w:sz w:val="24"/>
                <w:szCs w:val="28"/>
              </w:rPr>
              <w:t>3个月内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市医疗保障局、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市社保局、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市税务局</w:t>
            </w:r>
          </w:p>
        </w:tc>
        <w:tc>
          <w:tcPr>
            <w:tcW w:w="4536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具体牵头单位随着机构改革进行调整。</w:t>
            </w:r>
          </w:p>
        </w:tc>
      </w:tr>
      <w:tr w:rsidR="00BE7AD2">
        <w:trPr>
          <w:trHeight w:val="595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（四）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全面实现两项保险统一征收管理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/>
                <w:sz w:val="24"/>
                <w:szCs w:val="28"/>
              </w:rPr>
              <w:t>2020年</w:t>
            </w:r>
            <w:r>
              <w:rPr>
                <w:rFonts w:ascii="仿宋_GB2312" w:eastAsia="仿宋_GB2312" w:hAnsi="楷体" w:hint="eastAsia"/>
                <w:sz w:val="24"/>
                <w:szCs w:val="28"/>
              </w:rPr>
              <w:t>6</w:t>
            </w:r>
            <w:r>
              <w:rPr>
                <w:rFonts w:ascii="仿宋_GB2312" w:eastAsia="仿宋_GB2312" w:hAnsi="楷体"/>
                <w:sz w:val="24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4"/>
                <w:szCs w:val="28"/>
              </w:rPr>
              <w:t>30</w:t>
            </w:r>
            <w:r>
              <w:rPr>
                <w:rFonts w:ascii="仿宋_GB2312" w:eastAsia="仿宋_GB2312" w:hAnsi="楷体"/>
                <w:sz w:val="24"/>
                <w:szCs w:val="28"/>
              </w:rPr>
              <w:t>日前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市税务局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595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（五）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持续做好两项保险政策宣传工作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长期性工作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市医疗保障局、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595"/>
        </w:trPr>
        <w:tc>
          <w:tcPr>
            <w:tcW w:w="1056" w:type="dxa"/>
            <w:vAlign w:val="center"/>
          </w:tcPr>
          <w:p w:rsidR="00BE7AD2" w:rsidRDefault="005944C8">
            <w:pPr>
              <w:spacing w:line="34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spacing w:line="34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全面实施阶段</w:t>
            </w:r>
          </w:p>
        </w:tc>
        <w:tc>
          <w:tcPr>
            <w:tcW w:w="8222" w:type="dxa"/>
            <w:gridSpan w:val="3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2020年7月1日起</w:t>
            </w:r>
          </w:p>
        </w:tc>
      </w:tr>
      <w:tr w:rsidR="00BE7AD2">
        <w:trPr>
          <w:trHeight w:val="595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（一）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进一步梳理两项保险合并实施过程中存在的问题，继续优化细化两项保险工作措施，完善工作机制，继续加强</w:t>
            </w:r>
            <w:proofErr w:type="gramStart"/>
            <w:r>
              <w:rPr>
                <w:rFonts w:ascii="仿宋_GB2312" w:eastAsia="仿宋_GB2312" w:hAnsi="楷体" w:hint="eastAsia"/>
                <w:sz w:val="24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楷体" w:hint="eastAsia"/>
                <w:sz w:val="24"/>
                <w:szCs w:val="28"/>
              </w:rPr>
              <w:t>保政策宣传工作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/>
                <w:sz w:val="24"/>
                <w:szCs w:val="28"/>
              </w:rPr>
              <w:t>2020年7月1日起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市医疗保障局、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595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（二）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进一步做好基金监管工作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/>
                <w:sz w:val="24"/>
                <w:szCs w:val="28"/>
              </w:rPr>
              <w:t>2020年7月1日起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市财政局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595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（三）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加强指导医疗机构规范生育医疗服务行为，建立</w:t>
            </w:r>
            <w:proofErr w:type="gramStart"/>
            <w:r>
              <w:rPr>
                <w:rFonts w:ascii="仿宋_GB2312" w:eastAsia="仿宋_GB2312" w:hAnsi="楷体" w:hint="eastAsia"/>
                <w:sz w:val="24"/>
                <w:szCs w:val="28"/>
              </w:rPr>
              <w:t>完善控制</w:t>
            </w:r>
            <w:proofErr w:type="gramEnd"/>
            <w:r>
              <w:rPr>
                <w:rFonts w:ascii="仿宋_GB2312" w:eastAsia="仿宋_GB2312" w:hAnsi="楷体" w:hint="eastAsia"/>
                <w:sz w:val="24"/>
                <w:szCs w:val="28"/>
              </w:rPr>
              <w:t>医疗费用过快增长的约束措施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/>
                <w:sz w:val="24"/>
                <w:szCs w:val="28"/>
              </w:rPr>
              <w:t>2020年7月1日起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市卫生健康局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846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（四）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继续完善两项保险征收管理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/>
                <w:sz w:val="24"/>
                <w:szCs w:val="28"/>
              </w:rPr>
              <w:t>2020年7月1日起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市税务局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  <w:tr w:rsidR="00BE7AD2">
        <w:trPr>
          <w:trHeight w:val="846"/>
        </w:trPr>
        <w:tc>
          <w:tcPr>
            <w:tcW w:w="1056" w:type="dxa"/>
            <w:vAlign w:val="center"/>
          </w:tcPr>
          <w:p w:rsidR="00BE7AD2" w:rsidRDefault="005944C8">
            <w:pPr>
              <w:pStyle w:val="a8"/>
              <w:ind w:firstLineChars="0" w:firstLine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（五）</w:t>
            </w:r>
          </w:p>
        </w:tc>
        <w:tc>
          <w:tcPr>
            <w:tcW w:w="528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持续做好两项保险政策宣传工作</w:t>
            </w:r>
          </w:p>
        </w:tc>
        <w:tc>
          <w:tcPr>
            <w:tcW w:w="1527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  <w:u w:val="single"/>
              </w:rPr>
              <w:t>长期性工作</w:t>
            </w:r>
          </w:p>
        </w:tc>
        <w:tc>
          <w:tcPr>
            <w:tcW w:w="2159" w:type="dxa"/>
            <w:vAlign w:val="center"/>
          </w:tcPr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市医疗保障局、</w:t>
            </w:r>
          </w:p>
          <w:p w:rsidR="00BE7AD2" w:rsidRDefault="005944C8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  <w:r>
              <w:rPr>
                <w:rFonts w:ascii="仿宋_GB2312" w:eastAsia="仿宋_GB2312" w:hAnsi="楷体" w:hint="eastAsia"/>
                <w:sz w:val="24"/>
                <w:szCs w:val="28"/>
              </w:rPr>
              <w:t>市社保局</w:t>
            </w:r>
          </w:p>
        </w:tc>
        <w:tc>
          <w:tcPr>
            <w:tcW w:w="4536" w:type="dxa"/>
            <w:vAlign w:val="center"/>
          </w:tcPr>
          <w:p w:rsidR="00BE7AD2" w:rsidRDefault="00BE7AD2">
            <w:pPr>
              <w:jc w:val="left"/>
              <w:rPr>
                <w:rFonts w:ascii="仿宋_GB2312" w:eastAsia="仿宋_GB2312" w:hAnsi="楷体"/>
                <w:sz w:val="24"/>
                <w:szCs w:val="28"/>
              </w:rPr>
            </w:pPr>
          </w:p>
        </w:tc>
      </w:tr>
    </w:tbl>
    <w:p w:rsidR="00BE7AD2" w:rsidRDefault="00BE7AD2">
      <w:pPr>
        <w:spacing w:line="480" w:lineRule="auto"/>
        <w:ind w:firstLineChars="201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BE7AD2" w:rsidRDefault="00BE7AD2">
      <w:pPr>
        <w:spacing w:line="480" w:lineRule="auto"/>
        <w:ind w:firstLineChars="201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BE7AD2" w:rsidRDefault="00BE7AD2" w:rsidP="00D955D9">
      <w:pPr>
        <w:spacing w:line="480" w:lineRule="auto"/>
        <w:ind w:firstLineChars="201" w:firstLine="643"/>
        <w:contextualSpacing/>
        <w:rPr>
          <w:rFonts w:eastAsia="仿宋_GB2312" w:cs="Times New Roman"/>
          <w:sz w:val="32"/>
          <w:szCs w:val="32"/>
        </w:rPr>
      </w:pPr>
    </w:p>
    <w:sectPr w:rsidR="00BE7AD2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FA" w:rsidRDefault="00621EFA">
      <w:r>
        <w:separator/>
      </w:r>
    </w:p>
  </w:endnote>
  <w:endnote w:type="continuationSeparator" w:id="0">
    <w:p w:rsidR="00621EFA" w:rsidRDefault="0062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D2" w:rsidRDefault="00BE7AD2">
    <w:pPr>
      <w:pStyle w:val="a4"/>
      <w:jc w:val="center"/>
    </w:pPr>
  </w:p>
  <w:p w:rsidR="00BE7AD2" w:rsidRDefault="005944C8">
    <w:pPr>
      <w:pStyle w:val="a4"/>
    </w:pPr>
    <w:r w:rsidRPr="00D955D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34D0E" wp14:editId="1C700D0C">
              <wp:simplePos x="0" y="0"/>
              <wp:positionH relativeFrom="margin">
                <wp:posOffset>2617470</wp:posOffset>
              </wp:positionH>
              <wp:positionV relativeFrom="paragraph">
                <wp:posOffset>55245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505202101"/>
                          </w:sdtPr>
                          <w:sdtEndPr/>
                          <w:sdtContent>
                            <w:p w:rsidR="00BE7AD2" w:rsidRPr="00D955D9" w:rsidRDefault="005944C8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955D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D955D9">
                                <w:rPr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D955D9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955D9" w:rsidRPr="00D955D9">
                                <w:rPr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 w:rsidRPr="00D955D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E7AD2" w:rsidRPr="00D955D9" w:rsidRDefault="00BE7AD2">
                          <w:pPr>
                            <w:rPr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6.1pt;margin-top:4.3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32Y4m9wAAAAJAQAADwAAAGRycy9kb3ducmV2LnhtbEyPzU7D&#10;MBCE70i8g7VI3KjdCDU/xKkAwaUX1BaJqxsvSYS9jmI3DW/PcoLjaEYz39TbxTsx4xSHQBrWKwUC&#10;qQ12oE7D+/H1rgARkyFrXCDU8I0Rts31VW0qGy60x/mQOsElFCujoU9prKSMbY/exFUYkdj7DJM3&#10;ieXUSTuZC5d7JzOlNtKbgXihNyM+99h+Hc6ed3fuYw5l2rdyfrFPS1HS267U+vZmeXwAkXBJf2H4&#10;xWd0aJjpFM5ko3Aa7tdZxlENRQ6C/Vwp1icNWbnJQTa1/P+g+QEAAP//AwBQSwECLQAUAAYACAAA&#10;ACEAtoM4kv4AAADhAQAAEwAAAAAAAAAAAAAAAAAAAAAAW0NvbnRlbnRfVHlwZXNdLnhtbFBLAQIt&#10;ABQABgAIAAAAIQA4/SH/1gAAAJQBAAALAAAAAAAAAAAAAAAAAC8BAABfcmVscy8ucmVsc1BLAQIt&#10;ABQABgAIAAAAIQBZ8VdXBQMAAMwGAAAOAAAAAAAAAAAAAAAAAC4CAABkcnMvZTJvRG9jLnhtbFBL&#10;AQItABQABgAIAAAAIQDfZjib3AAAAAkBAAAPAAAAAAAAAAAAAAAAAF8FAABkcnMvZG93bnJldi54&#10;bWxQSwUGAAAAAAQABADzAAAAaAYAAAAA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sz w:val="24"/>
                        <w:szCs w:val="24"/>
                      </w:rPr>
                      <w:id w:val="-1505202101"/>
                    </w:sdtPr>
                    <w:sdtEndPr/>
                    <w:sdtContent>
                      <w:p w:rsidR="00BE7AD2" w:rsidRPr="00D955D9" w:rsidRDefault="005944C8">
                        <w:pPr>
                          <w:pStyle w:val="a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955D9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D955D9">
                          <w:rPr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D955D9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D955D9" w:rsidRPr="00D955D9">
                          <w:rPr>
                            <w:noProof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 w:rsidRPr="00D955D9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BE7AD2" w:rsidRPr="00D955D9" w:rsidRDefault="00BE7AD2">
                    <w:pPr>
                      <w:rPr>
                        <w:sz w:val="32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FA" w:rsidRDefault="00621EFA">
      <w:r>
        <w:separator/>
      </w:r>
    </w:p>
  </w:footnote>
  <w:footnote w:type="continuationSeparator" w:id="0">
    <w:p w:rsidR="00621EFA" w:rsidRDefault="00621EF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余晓彤">
    <w15:presenceInfo w15:providerId="None" w15:userId="余晓彤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B1"/>
    <w:rsid w:val="00012EB6"/>
    <w:rsid w:val="00071B8A"/>
    <w:rsid w:val="000B60F4"/>
    <w:rsid w:val="00124152"/>
    <w:rsid w:val="00164433"/>
    <w:rsid w:val="00182727"/>
    <w:rsid w:val="00183C4B"/>
    <w:rsid w:val="00194144"/>
    <w:rsid w:val="00196B91"/>
    <w:rsid w:val="001A278B"/>
    <w:rsid w:val="001E5154"/>
    <w:rsid w:val="00200C09"/>
    <w:rsid w:val="00250E91"/>
    <w:rsid w:val="002B7560"/>
    <w:rsid w:val="002F16E0"/>
    <w:rsid w:val="002F2A87"/>
    <w:rsid w:val="003741BC"/>
    <w:rsid w:val="00390C40"/>
    <w:rsid w:val="00493250"/>
    <w:rsid w:val="004D6308"/>
    <w:rsid w:val="00541E1E"/>
    <w:rsid w:val="005938CA"/>
    <w:rsid w:val="005944C8"/>
    <w:rsid w:val="005C4393"/>
    <w:rsid w:val="005D73F6"/>
    <w:rsid w:val="0060252E"/>
    <w:rsid w:val="00621EFA"/>
    <w:rsid w:val="00671018"/>
    <w:rsid w:val="0069381B"/>
    <w:rsid w:val="00704F8A"/>
    <w:rsid w:val="00786CAE"/>
    <w:rsid w:val="00797C80"/>
    <w:rsid w:val="007D7948"/>
    <w:rsid w:val="007F20EA"/>
    <w:rsid w:val="00814756"/>
    <w:rsid w:val="008860E0"/>
    <w:rsid w:val="00963E9F"/>
    <w:rsid w:val="009A2B46"/>
    <w:rsid w:val="009A2C4A"/>
    <w:rsid w:val="009E6A02"/>
    <w:rsid w:val="00A26DAD"/>
    <w:rsid w:val="00A329E0"/>
    <w:rsid w:val="00A410CC"/>
    <w:rsid w:val="00A85295"/>
    <w:rsid w:val="00AB2710"/>
    <w:rsid w:val="00B47CD3"/>
    <w:rsid w:val="00BE7AD2"/>
    <w:rsid w:val="00C13A6D"/>
    <w:rsid w:val="00C33AC1"/>
    <w:rsid w:val="00CB7BCE"/>
    <w:rsid w:val="00CC009A"/>
    <w:rsid w:val="00CC35C4"/>
    <w:rsid w:val="00D24B1F"/>
    <w:rsid w:val="00D25AD3"/>
    <w:rsid w:val="00D44695"/>
    <w:rsid w:val="00D955D9"/>
    <w:rsid w:val="00DD6A3A"/>
    <w:rsid w:val="00E65AB1"/>
    <w:rsid w:val="00EE2FDA"/>
    <w:rsid w:val="00FB0A52"/>
    <w:rsid w:val="00FB5BAE"/>
    <w:rsid w:val="00FC6D93"/>
    <w:rsid w:val="00FD75F5"/>
    <w:rsid w:val="4448287F"/>
    <w:rsid w:val="4A377C41"/>
    <w:rsid w:val="616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7"/>
    <customShpInfo spid="_x0000_s1038"/>
    <customShpInfo spid="_x0000_s1036"/>
    <customShpInfo spid="_x0000_s1041"/>
    <customShpInfo spid="_x0000_s1042"/>
    <customShpInfo spid="_x0000_s1040"/>
    <customShpInfo spid="_x0000_s1043"/>
    <customShpInfo spid="_x0000_s1039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HP Inc.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萍水缘</dc:creator>
  <cp:lastModifiedBy>胡英文</cp:lastModifiedBy>
  <cp:revision>4</cp:revision>
  <cp:lastPrinted>2019-12-30T00:40:00Z</cp:lastPrinted>
  <dcterms:created xsi:type="dcterms:W3CDTF">2019-12-31T10:15:00Z</dcterms:created>
  <dcterms:modified xsi:type="dcterms:W3CDTF">2019-12-31T10:21:00Z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