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C7EDCC" w:themeColor="background1"/>
  <w:body>
    <w:p>
      <w:pPr>
        <w:pStyle w:val="104"/>
        <w:topLinePunct w:val="0"/>
        <w:autoSpaceDE/>
        <w:autoSpaceDN/>
        <w:adjustRightInd/>
        <w:textAlignment w:val="auto"/>
        <w:rPr>
          <w:rFonts w:hint="default" w:ascii="Times New Roman" w:hAnsi="Times New Roman" w:eastAsia="宋体" w:cs="Times New Roman"/>
          <w:color w:val="FF0000"/>
          <w:kern w:val="2"/>
          <w:position w:val="0"/>
          <w:szCs w:val="24"/>
        </w:rPr>
      </w:pPr>
      <w:r>
        <w:rPr>
          <w:rFonts w:hint="default" w:ascii="Times New Roman" w:hAnsi="Times New Roman" w:cs="Times New Roman"/>
          <w:color w:val="FF0000"/>
          <w:sz w:val="20"/>
          <w:shd w:val="clear" w:color="auto" w:fill="auto"/>
        </w:rPr>
        <w:pict>
          <v:rect id="_x0000_s2050" o:spid="_x0000_s2050" o:spt="1" style="position:absolute;left:0pt;margin-left:338.7pt;margin-top:19.15pt;height:70.2pt;width:126pt;z-index:251662336;mso-width-relative:page;mso-height-relative:page;" fillcolor="#FFFFFF" filled="t" stroked="t" coordsize="21600,21600">
            <v:path/>
            <v:fill on="t" color2="#FFFFFF" focussize="0,0"/>
            <v:stroke color="#000000" joinstyle="miter"/>
            <v:imagedata o:title=""/>
            <o:lock v:ext="edit" aspectratio="f"/>
            <v:textbox>
              <w:txbxContent>
                <w:p>
                  <w:pPr>
                    <w:pStyle w:val="104"/>
                    <w:topLinePunct w:val="0"/>
                    <w:autoSpaceDE/>
                    <w:autoSpaceDN/>
                    <w:adjustRightInd/>
                    <w:spacing w:after="0" w:line="240" w:lineRule="auto"/>
                    <w:textAlignment w:val="auto"/>
                    <w:rPr>
                      <w:rFonts w:ascii="楷体_GB2312" w:hAnsi="宋体" w:eastAsia="楷体_GB2312"/>
                      <w:kern w:val="2"/>
                      <w:position w:val="0"/>
                      <w:sz w:val="24"/>
                      <w:szCs w:val="24"/>
                    </w:rPr>
                  </w:pPr>
                  <w:r>
                    <w:rPr>
                      <w:rFonts w:hint="eastAsia" w:ascii="楷体_GB2312" w:hAnsi="Times New Roman" w:eastAsia="楷体_GB2312"/>
                      <w:kern w:val="2"/>
                      <w:position w:val="0"/>
                      <w:sz w:val="24"/>
                      <w:szCs w:val="24"/>
                    </w:rPr>
                    <w:t xml:space="preserve"> </w:t>
                  </w:r>
                  <w:r>
                    <w:rPr>
                      <w:rFonts w:hint="eastAsia" w:ascii="楷体_GB2312" w:hAnsi="宋体" w:eastAsia="楷体_GB2312"/>
                      <w:kern w:val="2"/>
                      <w:position w:val="0"/>
                      <w:sz w:val="24"/>
                      <w:szCs w:val="24"/>
                    </w:rPr>
                    <w:t>报告表编号</w:t>
                  </w:r>
                </w:p>
                <w:p>
                  <w:pPr>
                    <w:spacing w:after="0" w:line="240" w:lineRule="auto"/>
                    <w:rPr>
                      <w:rFonts w:ascii="楷体_GB2312" w:hAnsi="宋体" w:eastAsia="楷体_GB2312"/>
                    </w:rPr>
                  </w:pPr>
                  <w:r>
                    <w:rPr>
                      <w:rFonts w:hint="eastAsia" w:ascii="楷体_GB2312" w:hAnsi="宋体" w:eastAsia="楷体_GB2312"/>
                    </w:rPr>
                    <w:t xml:space="preserve">       </w:t>
                  </w:r>
                  <w:r>
                    <w:rPr>
                      <w:rFonts w:hint="eastAsia" w:ascii="楷体_GB2312" w:hAnsi="宋体" w:eastAsia="楷体_GB2312"/>
                      <w:u w:val="single"/>
                    </w:rPr>
                    <w:t xml:space="preserve">         </w:t>
                  </w:r>
                  <w:r>
                    <w:rPr>
                      <w:rFonts w:hint="eastAsia" w:ascii="楷体_GB2312" w:hAnsi="宋体" w:eastAsia="楷体_GB2312"/>
                    </w:rPr>
                    <w:t xml:space="preserve"> 年</w:t>
                  </w:r>
                </w:p>
                <w:p>
                  <w:pPr>
                    <w:pStyle w:val="104"/>
                    <w:topLinePunct w:val="0"/>
                    <w:autoSpaceDE/>
                    <w:autoSpaceDN/>
                    <w:adjustRightInd/>
                    <w:spacing w:after="0" w:line="240" w:lineRule="auto"/>
                    <w:jc w:val="both"/>
                    <w:textAlignment w:val="auto"/>
                    <w:rPr>
                      <w:rFonts w:ascii="楷体_GB2312" w:hAnsi="宋体" w:eastAsia="楷体_GB2312"/>
                      <w:kern w:val="2"/>
                      <w:position w:val="0"/>
                      <w:szCs w:val="24"/>
                      <w:u w:val="single"/>
                    </w:rPr>
                  </w:pPr>
                  <w:r>
                    <w:rPr>
                      <w:rFonts w:hint="eastAsia" w:ascii="楷体_GB2312" w:hAnsi="宋体" w:eastAsia="楷体_GB2312"/>
                      <w:kern w:val="2"/>
                      <w:position w:val="0"/>
                      <w:sz w:val="24"/>
                      <w:szCs w:val="24"/>
                    </w:rPr>
                    <w:t>编号：</w:t>
                  </w:r>
                  <w:r>
                    <w:rPr>
                      <w:rFonts w:hint="eastAsia" w:ascii="楷体_GB2312" w:hAnsi="宋体" w:eastAsia="楷体_GB2312"/>
                      <w:kern w:val="2"/>
                      <w:position w:val="0"/>
                      <w:sz w:val="24"/>
                      <w:szCs w:val="24"/>
                      <w:u w:val="single"/>
                    </w:rPr>
                    <w:t xml:space="preserve">         </w:t>
                  </w:r>
                  <w:r>
                    <w:rPr>
                      <w:rFonts w:hint="eastAsia" w:ascii="楷体_GB2312" w:hAnsi="宋体" w:eastAsia="楷体_GB2312"/>
                      <w:kern w:val="2"/>
                      <w:position w:val="0"/>
                      <w:sz w:val="24"/>
                      <w:szCs w:val="24"/>
                    </w:rPr>
                    <w:t xml:space="preserve"> </w:t>
                  </w:r>
                </w:p>
              </w:txbxContent>
            </v:textbox>
          </v:rect>
        </w:pict>
      </w:r>
    </w:p>
    <w:p>
      <w:pPr>
        <w:jc w:val="center"/>
        <w:rPr>
          <w:rFonts w:hint="default" w:ascii="Times New Roman" w:hAnsi="Times New Roman" w:cs="Times New Roman"/>
          <w:color w:val="FF0000"/>
        </w:rPr>
      </w:pPr>
    </w:p>
    <w:p>
      <w:pPr>
        <w:jc w:val="center"/>
        <w:rPr>
          <w:rFonts w:hint="default" w:ascii="Times New Roman" w:hAnsi="Times New Roman" w:cs="Times New Roman"/>
          <w:color w:val="FF0000"/>
        </w:rPr>
      </w:pPr>
    </w:p>
    <w:p>
      <w:pPr>
        <w:jc w:val="center"/>
        <w:rPr>
          <w:rFonts w:hint="default" w:ascii="Times New Roman" w:hAnsi="Times New Roman" w:cs="Times New Roman"/>
          <w:color w:val="FF0000"/>
        </w:rPr>
      </w:pPr>
    </w:p>
    <w:p>
      <w:pPr>
        <w:jc w:val="center"/>
        <w:rPr>
          <w:rFonts w:hint="default" w:ascii="Times New Roman" w:hAnsi="Times New Roman" w:cs="Times New Roman"/>
          <w:color w:val="FF0000"/>
        </w:rPr>
      </w:pPr>
    </w:p>
    <w:p>
      <w:pPr>
        <w:jc w:val="center"/>
        <w:rPr>
          <w:rFonts w:hint="default" w:ascii="Times New Roman" w:hAnsi="Times New Roman" w:cs="Times New Roman"/>
          <w:color w:val="FF0000"/>
        </w:rPr>
      </w:pPr>
    </w:p>
    <w:p>
      <w:pPr>
        <w:spacing w:before="240" w:beforeLines="100" w:after="240" w:afterLines="100"/>
        <w:jc w:val="center"/>
        <w:rPr>
          <w:rFonts w:hint="default" w:ascii="Times New Roman" w:hAnsi="Times New Roman" w:cs="Times New Roman"/>
          <w:b/>
          <w:bCs/>
          <w:color w:val="auto"/>
          <w:spacing w:val="30"/>
          <w:sz w:val="72"/>
          <w:shd w:val="clear" w:color="auto" w:fill="auto"/>
        </w:rPr>
      </w:pPr>
      <w:r>
        <w:rPr>
          <w:rFonts w:hint="default" w:ascii="Times New Roman" w:hAnsi="Times New Roman" w:cs="Times New Roman"/>
          <w:b/>
          <w:bCs/>
          <w:color w:val="auto"/>
          <w:spacing w:val="30"/>
          <w:sz w:val="72"/>
          <w:shd w:val="clear" w:color="auto" w:fill="auto"/>
        </w:rPr>
        <w:t>建设项目环境影响报告表</w:t>
      </w:r>
    </w:p>
    <w:p>
      <w:pPr>
        <w:spacing w:line="360" w:lineRule="auto"/>
        <w:rPr>
          <w:rFonts w:hint="default" w:ascii="Times New Roman" w:hAnsi="Times New Roman" w:cs="Times New Roman"/>
          <w:b/>
          <w:bCs/>
          <w:color w:val="auto"/>
          <w:sz w:val="28"/>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widowControl w:val="0"/>
        <w:spacing w:after="0" w:line="480" w:lineRule="auto"/>
        <w:ind w:left="2216" w:leftChars="268" w:hanging="1626" w:hangingChars="506"/>
        <w:jc w:val="both"/>
        <w:rPr>
          <w:rFonts w:hint="default" w:ascii="Times New Roman" w:hAnsi="Times New Roman" w:eastAsia="宋体" w:cs="Times New Roman"/>
          <w:b/>
          <w:color w:val="auto"/>
          <w:kern w:val="2"/>
          <w:sz w:val="32"/>
          <w:szCs w:val="32"/>
          <w:u w:val="single"/>
        </w:rPr>
      </w:pPr>
    </w:p>
    <w:p>
      <w:pPr>
        <w:widowControl w:val="0"/>
        <w:spacing w:after="0" w:line="480" w:lineRule="auto"/>
        <w:ind w:left="2216" w:leftChars="268" w:hanging="1626" w:hangingChars="506"/>
        <w:jc w:val="center"/>
        <w:rPr>
          <w:rFonts w:hint="default" w:ascii="Times New Roman" w:hAnsi="Times New Roman" w:eastAsia="宋体" w:cs="Times New Roman"/>
          <w:b/>
          <w:color w:val="auto"/>
          <w:kern w:val="2"/>
          <w:sz w:val="32"/>
          <w:szCs w:val="32"/>
          <w:u w:val="single"/>
          <w:lang w:eastAsia="zh-CN"/>
        </w:rPr>
      </w:pPr>
      <w:r>
        <w:rPr>
          <w:rFonts w:hint="default" w:ascii="Times New Roman" w:hAnsi="Times New Roman" w:eastAsia="宋体" w:cs="Times New Roman"/>
          <w:b/>
          <w:color w:val="auto"/>
          <w:kern w:val="2"/>
          <w:sz w:val="32"/>
          <w:szCs w:val="32"/>
        </w:rPr>
        <w:t>项目名称：</w:t>
      </w:r>
      <w:r>
        <w:rPr>
          <w:rFonts w:hint="default" w:ascii="Times New Roman" w:hAnsi="Times New Roman" w:eastAsia="宋体" w:cs="Times New Roman"/>
          <w:b/>
          <w:color w:val="auto"/>
          <w:kern w:val="2"/>
          <w:sz w:val="32"/>
          <w:szCs w:val="32"/>
          <w:u w:val="thick"/>
          <w:lang w:eastAsia="zh-CN"/>
        </w:rPr>
        <w:t>开平市水口镇方剑卫浴制品厂年产五金卫浴</w:t>
      </w:r>
    </w:p>
    <w:p>
      <w:pPr>
        <w:widowControl w:val="0"/>
        <w:spacing w:after="0" w:line="480" w:lineRule="auto"/>
        <w:ind w:left="2216" w:leftChars="268" w:hanging="1626" w:hangingChars="506"/>
        <w:jc w:val="center"/>
        <w:rPr>
          <w:rFonts w:hint="default" w:ascii="Times New Roman" w:hAnsi="Times New Roman" w:eastAsia="宋体" w:cs="Times New Roman"/>
          <w:b/>
          <w:color w:val="auto"/>
          <w:kern w:val="2"/>
          <w:sz w:val="32"/>
          <w:szCs w:val="32"/>
          <w:u w:val="single"/>
        </w:rPr>
      </w:pPr>
      <w:r>
        <w:rPr>
          <w:rFonts w:hint="eastAsia" w:ascii="Times New Roman" w:hAnsi="Times New Roman" w:eastAsia="宋体" w:cs="Times New Roman"/>
          <w:b/>
          <w:color w:val="auto"/>
          <w:kern w:val="2"/>
          <w:sz w:val="32"/>
          <w:szCs w:val="32"/>
          <w:u w:val="none"/>
          <w:lang w:val="en-US" w:eastAsia="zh-CN"/>
        </w:rPr>
        <w:t xml:space="preserve">      </w:t>
      </w:r>
      <w:r>
        <w:rPr>
          <w:rFonts w:hint="default" w:ascii="Times New Roman" w:hAnsi="Times New Roman" w:eastAsia="宋体" w:cs="Times New Roman"/>
          <w:b/>
          <w:color w:val="auto"/>
          <w:kern w:val="2"/>
          <w:sz w:val="32"/>
          <w:szCs w:val="32"/>
          <w:u w:val="single"/>
          <w:lang w:eastAsia="zh-CN"/>
        </w:rPr>
        <w:t>配件44万套</w:t>
      </w:r>
      <w:r>
        <w:rPr>
          <w:rFonts w:hint="eastAsia" w:ascii="Times New Roman" w:hAnsi="Times New Roman" w:eastAsia="宋体" w:cs="Times New Roman"/>
          <w:b/>
          <w:color w:val="auto"/>
          <w:kern w:val="2"/>
          <w:sz w:val="32"/>
          <w:szCs w:val="32"/>
          <w:u w:val="single"/>
          <w:lang w:eastAsia="zh-CN"/>
        </w:rPr>
        <w:t>新建</w:t>
      </w:r>
      <w:r>
        <w:rPr>
          <w:rFonts w:hint="default" w:ascii="Times New Roman" w:hAnsi="Times New Roman" w:eastAsia="宋体" w:cs="Times New Roman"/>
          <w:b/>
          <w:color w:val="auto"/>
          <w:kern w:val="2"/>
          <w:sz w:val="32"/>
          <w:szCs w:val="32"/>
          <w:u w:val="single"/>
          <w:lang w:eastAsia="zh-CN"/>
        </w:rPr>
        <w:t>项目</w:t>
      </w:r>
    </w:p>
    <w:p>
      <w:pPr>
        <w:widowControl w:val="0"/>
        <w:spacing w:after="0" w:line="480" w:lineRule="auto"/>
        <w:ind w:left="2216" w:leftChars="268" w:hanging="1626" w:hangingChars="506"/>
        <w:jc w:val="center"/>
        <w:rPr>
          <w:rFonts w:hint="default" w:ascii="Times New Roman" w:hAnsi="Times New Roman" w:cs="Times New Roman"/>
          <w:b/>
          <w:color w:val="auto"/>
          <w:sz w:val="32"/>
          <w:szCs w:val="32"/>
        </w:rPr>
      </w:pPr>
      <w:r>
        <w:rPr>
          <w:rFonts w:hint="default" w:ascii="Times New Roman" w:hAnsi="Times New Roman" w:eastAsia="宋体" w:cs="Times New Roman"/>
          <w:b/>
          <w:color w:val="auto"/>
          <w:kern w:val="2"/>
          <w:sz w:val="32"/>
          <w:szCs w:val="32"/>
        </w:rPr>
        <w:t>建设单位(盖章)：</w:t>
      </w:r>
      <w:r>
        <w:rPr>
          <w:rFonts w:hint="default" w:ascii="Times New Roman" w:hAnsi="Times New Roman" w:eastAsia="宋体" w:cs="Times New Roman"/>
          <w:b/>
          <w:color w:val="auto"/>
          <w:kern w:val="2"/>
          <w:sz w:val="32"/>
          <w:szCs w:val="32"/>
          <w:u w:val="single"/>
        </w:rPr>
        <w:t xml:space="preserve"> 开平市水口镇方剑卫浴制品厂</w:t>
      </w:r>
    </w:p>
    <w:p>
      <w:pPr>
        <w:spacing w:line="360" w:lineRule="auto"/>
        <w:rPr>
          <w:rFonts w:hint="default" w:ascii="Times New Roman" w:hAnsi="Times New Roman" w:cs="Times New Roman"/>
          <w:color w:val="auto"/>
          <w:sz w:val="28"/>
          <w:szCs w:val="28"/>
        </w:rPr>
      </w:pPr>
    </w:p>
    <w:p>
      <w:pPr>
        <w:spacing w:line="360" w:lineRule="auto"/>
        <w:rPr>
          <w:rFonts w:hint="default" w:ascii="Times New Roman" w:hAnsi="Times New Roman" w:cs="Times New Roman"/>
          <w:color w:val="FF0000"/>
          <w:sz w:val="28"/>
          <w:szCs w:val="28"/>
        </w:rPr>
      </w:pPr>
    </w:p>
    <w:p>
      <w:pPr>
        <w:widowControl w:val="0"/>
        <w:spacing w:after="0" w:line="360" w:lineRule="auto"/>
        <w:jc w:val="center"/>
        <w:rPr>
          <w:rFonts w:hint="default" w:ascii="Times New Roman" w:hAnsi="Times New Roman" w:eastAsia="宋体" w:cs="Times New Roman"/>
          <w:b/>
          <w:color w:val="FF0000"/>
          <w:kern w:val="2"/>
          <w:sz w:val="28"/>
          <w:szCs w:val="28"/>
        </w:rPr>
      </w:pPr>
    </w:p>
    <w:p>
      <w:pPr>
        <w:widowControl w:val="0"/>
        <w:spacing w:after="0" w:line="360" w:lineRule="auto"/>
        <w:jc w:val="center"/>
        <w:rPr>
          <w:rFonts w:hint="default" w:ascii="Times New Roman" w:hAnsi="Times New Roman" w:eastAsia="宋体" w:cs="Times New Roman"/>
          <w:b/>
          <w:color w:val="auto"/>
          <w:kern w:val="2"/>
          <w:sz w:val="28"/>
          <w:szCs w:val="28"/>
        </w:rPr>
      </w:pPr>
      <w:r>
        <w:rPr>
          <w:rFonts w:hint="default" w:ascii="Times New Roman" w:hAnsi="Times New Roman" w:eastAsia="宋体" w:cs="Times New Roman"/>
          <w:b/>
          <w:color w:val="auto"/>
          <w:kern w:val="2"/>
          <w:sz w:val="28"/>
          <w:szCs w:val="28"/>
        </w:rPr>
        <w:t>编制日期：2019年</w:t>
      </w:r>
      <w:r>
        <w:rPr>
          <w:rFonts w:hint="default" w:ascii="Times New Roman" w:hAnsi="Times New Roman" w:eastAsia="宋体" w:cs="Times New Roman"/>
          <w:b/>
          <w:color w:val="auto"/>
          <w:kern w:val="2"/>
          <w:sz w:val="28"/>
          <w:szCs w:val="28"/>
          <w:lang w:val="en-US" w:eastAsia="zh-CN"/>
        </w:rPr>
        <w:t>11</w:t>
      </w:r>
      <w:r>
        <w:rPr>
          <w:rFonts w:hint="default" w:ascii="Times New Roman" w:hAnsi="Times New Roman" w:eastAsia="宋体" w:cs="Times New Roman"/>
          <w:b/>
          <w:color w:val="auto"/>
          <w:kern w:val="2"/>
          <w:sz w:val="28"/>
          <w:szCs w:val="28"/>
        </w:rPr>
        <w:t>月</w:t>
      </w:r>
    </w:p>
    <w:p>
      <w:pPr>
        <w:widowControl w:val="0"/>
        <w:spacing w:after="0" w:line="360" w:lineRule="auto"/>
        <w:jc w:val="center"/>
        <w:rPr>
          <w:rFonts w:hint="default" w:ascii="Times New Roman" w:hAnsi="Times New Roman" w:eastAsia="宋体" w:cs="Times New Roman"/>
          <w:b/>
          <w:color w:val="auto"/>
          <w:kern w:val="2"/>
          <w:sz w:val="28"/>
          <w:szCs w:val="28"/>
        </w:rPr>
        <w:sectPr>
          <w:headerReference r:id="rId4" w:type="first"/>
          <w:footerReference r:id="rId5" w:type="first"/>
          <w:headerReference r:id="rId3" w:type="default"/>
          <w:pgSz w:w="11906" w:h="16838"/>
          <w:pgMar w:top="1304" w:right="1134" w:bottom="1134" w:left="1304" w:header="851" w:footer="851" w:gutter="0"/>
          <w:pgBorders>
            <w:top w:val="none" w:sz="0" w:space="0"/>
            <w:left w:val="none" w:sz="0" w:space="0"/>
            <w:bottom w:val="none" w:sz="0" w:space="0"/>
            <w:right w:val="none" w:sz="0" w:space="0"/>
          </w:pgBorders>
          <w:pgNumType w:start="1"/>
          <w:cols w:space="720" w:num="1"/>
          <w:docGrid w:type="lines" w:linePitch="312" w:charSpace="0"/>
        </w:sectPr>
      </w:pPr>
      <w:r>
        <w:rPr>
          <w:rFonts w:hint="default" w:ascii="Times New Roman" w:hAnsi="Times New Roman" w:eastAsia="宋体" w:cs="Times New Roman"/>
          <w:b/>
          <w:color w:val="auto"/>
          <w:kern w:val="2"/>
          <w:sz w:val="28"/>
          <w:szCs w:val="28"/>
        </w:rPr>
        <w:t>国家生态环境部制</w:t>
      </w:r>
      <w:r>
        <w:drawing>
          <wp:inline distT="0" distB="0" distL="114300" distR="114300">
            <wp:extent cx="6009640" cy="8484870"/>
            <wp:effectExtent l="0" t="0" r="10160" b="11430"/>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16"/>
                    <a:stretch>
                      <a:fillRect/>
                    </a:stretch>
                  </pic:blipFill>
                  <pic:spPr>
                    <a:xfrm>
                      <a:off x="0" y="0"/>
                      <a:ext cx="6009640" cy="8484870"/>
                    </a:xfrm>
                    <a:prstGeom prst="rect">
                      <a:avLst/>
                    </a:prstGeom>
                    <a:noFill/>
                    <a:ln>
                      <a:noFill/>
                    </a:ln>
                  </pic:spPr>
                </pic:pic>
              </a:graphicData>
            </a:graphic>
          </wp:inline>
        </w:drawing>
      </w:r>
      <w:r>
        <w:drawing>
          <wp:inline distT="0" distB="0" distL="114300" distR="114300">
            <wp:extent cx="6009640" cy="8484870"/>
            <wp:effectExtent l="0" t="0" r="10160" b="1143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17"/>
                    <a:stretch>
                      <a:fillRect/>
                    </a:stretch>
                  </pic:blipFill>
                  <pic:spPr>
                    <a:xfrm>
                      <a:off x="0" y="0"/>
                      <a:ext cx="6009640" cy="8484870"/>
                    </a:xfrm>
                    <a:prstGeom prst="rect">
                      <a:avLst/>
                    </a:prstGeom>
                    <a:noFill/>
                    <a:ln>
                      <a:noFill/>
                    </a:ln>
                  </pic:spPr>
                </pic:pic>
              </a:graphicData>
            </a:graphic>
          </wp:inline>
        </w:drawing>
      </w:r>
      <w:r>
        <w:drawing>
          <wp:inline distT="0" distB="0" distL="114300" distR="114300">
            <wp:extent cx="6009640" cy="8484870"/>
            <wp:effectExtent l="0" t="0" r="10160" b="11430"/>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18"/>
                    <a:stretch>
                      <a:fillRect/>
                    </a:stretch>
                  </pic:blipFill>
                  <pic:spPr>
                    <a:xfrm>
                      <a:off x="0" y="0"/>
                      <a:ext cx="6009640" cy="8484870"/>
                    </a:xfrm>
                    <a:prstGeom prst="rect">
                      <a:avLst/>
                    </a:prstGeom>
                    <a:noFill/>
                    <a:ln>
                      <a:noFill/>
                    </a:ln>
                  </pic:spPr>
                </pic:pic>
              </a:graphicData>
            </a:graphic>
          </wp:inline>
        </w:drawing>
      </w:r>
      <w:r>
        <w:drawing>
          <wp:inline distT="0" distB="0" distL="114300" distR="114300">
            <wp:extent cx="6009640" cy="8484870"/>
            <wp:effectExtent l="0" t="0" r="10160" b="11430"/>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19"/>
                    <a:stretch>
                      <a:fillRect/>
                    </a:stretch>
                  </pic:blipFill>
                  <pic:spPr>
                    <a:xfrm>
                      <a:off x="0" y="0"/>
                      <a:ext cx="6009640" cy="8484870"/>
                    </a:xfrm>
                    <a:prstGeom prst="rect">
                      <a:avLst/>
                    </a:prstGeom>
                    <a:noFill/>
                    <a:ln>
                      <a:noFill/>
                    </a:ln>
                  </pic:spPr>
                </pic:pic>
              </a:graphicData>
            </a:graphic>
          </wp:inline>
        </w:drawing>
      </w:r>
      <w:r>
        <w:drawing>
          <wp:inline distT="0" distB="0" distL="114300" distR="114300">
            <wp:extent cx="6009640" cy="8484870"/>
            <wp:effectExtent l="0" t="0" r="10160" b="1143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20"/>
                    <a:stretch>
                      <a:fillRect/>
                    </a:stretch>
                  </pic:blipFill>
                  <pic:spPr>
                    <a:xfrm>
                      <a:off x="0" y="0"/>
                      <a:ext cx="6009640" cy="8484870"/>
                    </a:xfrm>
                    <a:prstGeom prst="rect">
                      <a:avLst/>
                    </a:prstGeom>
                    <a:noFill/>
                    <a:ln>
                      <a:noFill/>
                    </a:ln>
                  </pic:spPr>
                </pic:pic>
              </a:graphicData>
            </a:graphic>
          </wp:inline>
        </w:drawing>
      </w:r>
      <w:r>
        <w:drawing>
          <wp:inline distT="0" distB="0" distL="114300" distR="114300">
            <wp:extent cx="6009640" cy="8484870"/>
            <wp:effectExtent l="0" t="0" r="10160" b="1143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21"/>
                    <a:stretch>
                      <a:fillRect/>
                    </a:stretch>
                  </pic:blipFill>
                  <pic:spPr>
                    <a:xfrm>
                      <a:off x="0" y="0"/>
                      <a:ext cx="6009640" cy="8484870"/>
                    </a:xfrm>
                    <a:prstGeom prst="rect">
                      <a:avLst/>
                    </a:prstGeom>
                    <a:noFill/>
                    <a:ln>
                      <a:noFill/>
                    </a:ln>
                  </pic:spPr>
                </pic:pic>
              </a:graphicData>
            </a:graphic>
          </wp:inline>
        </w:drawing>
      </w:r>
    </w:p>
    <w:p>
      <w:pPr>
        <w:widowControl w:val="0"/>
        <w:spacing w:before="120" w:after="0" w:line="240" w:lineRule="auto"/>
        <w:ind w:firstLine="425"/>
        <w:jc w:val="center"/>
        <w:rPr>
          <w:rFonts w:hint="default" w:ascii="Times New Roman" w:hAnsi="Times New Roman" w:eastAsia="宋体" w:cs="Times New Roman"/>
          <w:b/>
          <w:color w:val="auto"/>
          <w:kern w:val="2"/>
          <w:sz w:val="32"/>
          <w:szCs w:val="20"/>
        </w:rPr>
      </w:pPr>
      <w:r>
        <w:rPr>
          <w:rFonts w:hint="default" w:ascii="Times New Roman" w:hAnsi="Times New Roman" w:eastAsia="宋体" w:cs="Times New Roman"/>
          <w:b/>
          <w:color w:val="auto"/>
          <w:kern w:val="2"/>
          <w:sz w:val="32"/>
          <w:szCs w:val="20"/>
        </w:rPr>
        <w:t>《建设项目环境影响报告表》编制说明</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《建设项目环境影响报告表》由具有从事环境影响评价工作资质的单位编制。</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1.项目名称——指项目立项批复时的名称，应不超过30个字(两个英文字段作一个汉字)。</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2.建设地点——指项目所在地详细地址，公路、铁路应填写起止地点。</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3.行业类别——按国标填写。</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4.总投资——指项目投资总额。</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5.主要环境保护目标——指项目周围一定范围内集中居民住宅区、学校、医院、保护文物、风景名胜区、水源地和生态敏感点等，应尽可能给出保护目标、性质、规模和距厂界距离等。</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6.结论与建议——给出本项目清洁生产、达标排放和总量控制的分析结论，确定污染防止措施的有效性，说明本项目对环境造成的影响，给出建设项目环境可行性的明确结论。同时提出减少环境影响的其它建议。</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7.预审意见——由行业主管部门填写答复意见,无主管部门项目,可不填。</w:t>
      </w:r>
    </w:p>
    <w:p>
      <w:pPr>
        <w:pStyle w:val="29"/>
        <w:widowControl w:val="0"/>
        <w:adjustRightInd w:val="0"/>
        <w:spacing w:after="0" w:line="360" w:lineRule="auto"/>
        <w:ind w:firstLine="527"/>
        <w:jc w:val="both"/>
        <w:rPr>
          <w:rFonts w:hint="default" w:ascii="Times New Roman" w:hAnsi="Times New Roman" w:eastAsia="宋体" w:cs="Times New Roman"/>
          <w:color w:val="auto"/>
          <w:kern w:val="2"/>
          <w:sz w:val="28"/>
          <w:szCs w:val="20"/>
        </w:rPr>
      </w:pPr>
      <w:r>
        <w:rPr>
          <w:rFonts w:hint="default" w:ascii="Times New Roman" w:hAnsi="Times New Roman" w:eastAsia="宋体" w:cs="Times New Roman"/>
          <w:color w:val="auto"/>
          <w:kern w:val="2"/>
          <w:sz w:val="28"/>
          <w:szCs w:val="20"/>
        </w:rPr>
        <w:t>8.审批意见——由负责审批该项目的环境保护行政主管部门批复。</w:t>
      </w:r>
    </w:p>
    <w:p>
      <w:pPr>
        <w:pStyle w:val="29"/>
        <w:widowControl w:val="0"/>
        <w:adjustRightInd w:val="0"/>
        <w:spacing w:line="480" w:lineRule="auto"/>
        <w:ind w:firstLine="527"/>
        <w:jc w:val="both"/>
        <w:rPr>
          <w:rFonts w:hint="default" w:ascii="Times New Roman" w:hAnsi="Times New Roman" w:eastAsia="宋体" w:cs="Times New Roman"/>
          <w:color w:val="auto"/>
          <w:kern w:val="2"/>
          <w:sz w:val="28"/>
          <w:szCs w:val="20"/>
        </w:rPr>
        <w:sectPr>
          <w:headerReference r:id="rId6" w:type="default"/>
          <w:pgSz w:w="11906" w:h="16838"/>
          <w:pgMar w:top="1304" w:right="1134" w:bottom="1134" w:left="1304" w:header="851" w:footer="851" w:gutter="0"/>
          <w:pgBorders>
            <w:top w:val="none" w:sz="0" w:space="0"/>
            <w:left w:val="none" w:sz="0" w:space="0"/>
            <w:bottom w:val="none" w:sz="0" w:space="0"/>
            <w:right w:val="none" w:sz="0" w:space="0"/>
          </w:pgBorders>
          <w:pgNumType w:start="1"/>
          <w:cols w:space="720" w:num="1"/>
          <w:docGrid w:type="lines" w:linePitch="312" w:charSpace="0"/>
        </w:sectPr>
      </w:pPr>
    </w:p>
    <w:p>
      <w:pPr>
        <w:ind w:firstLine="4099" w:firstLineChars="1276"/>
        <w:rPr>
          <w:rFonts w:hint="default" w:ascii="Times New Roman" w:hAnsi="Times New Roman" w:cs="Times New Roman"/>
          <w:b/>
          <w:color w:val="auto"/>
          <w:sz w:val="32"/>
          <w:szCs w:val="32"/>
        </w:rPr>
      </w:pPr>
      <w:r>
        <w:rPr>
          <w:rFonts w:hint="default" w:ascii="Times New Roman" w:hAnsi="Times New Roman" w:cs="Times New Roman"/>
          <w:b/>
          <w:color w:val="auto"/>
          <w:sz w:val="32"/>
          <w:szCs w:val="32"/>
        </w:rPr>
        <w:t>目 录</w:t>
      </w:r>
    </w:p>
    <w:p>
      <w:pPr>
        <w:pStyle w:val="37"/>
        <w:widowControl w:val="0"/>
        <w:tabs>
          <w:tab w:val="right" w:leader="dot" w:pos="9458"/>
        </w:tabs>
        <w:spacing w:after="0" w:line="360" w:lineRule="auto"/>
        <w:rPr>
          <w:rStyle w:val="49"/>
          <w:rFonts w:hint="default" w:ascii="Times New Roman" w:hAnsi="Times New Roman" w:cs="Times New Roman"/>
          <w:color w:val="auto"/>
        </w:rPr>
      </w:pPr>
      <w:r>
        <w:rPr>
          <w:rStyle w:val="49"/>
          <w:rFonts w:hint="default" w:ascii="Times New Roman" w:hAnsi="Times New Roman" w:eastAsia="宋体" w:cs="Times New Roman"/>
          <w:color w:val="FF0000"/>
          <w:kern w:val="2"/>
          <w:sz w:val="24"/>
          <w:szCs w:val="24"/>
        </w:rPr>
        <w:fldChar w:fldCharType="begin"/>
      </w:r>
      <w:r>
        <w:rPr>
          <w:rStyle w:val="49"/>
          <w:rFonts w:hint="default" w:ascii="Times New Roman" w:hAnsi="Times New Roman" w:eastAsia="宋体" w:cs="Times New Roman"/>
          <w:color w:val="FF0000"/>
          <w:kern w:val="2"/>
          <w:sz w:val="24"/>
          <w:szCs w:val="24"/>
        </w:rPr>
        <w:instrText xml:space="preserve">TOC \o "1-1" \h \z \u</w:instrText>
      </w:r>
      <w:r>
        <w:rPr>
          <w:rStyle w:val="49"/>
          <w:rFonts w:hint="default" w:ascii="Times New Roman" w:hAnsi="Times New Roman" w:eastAsia="宋体" w:cs="Times New Roman"/>
          <w:color w:val="FF0000"/>
          <w:kern w:val="2"/>
          <w:sz w:val="24"/>
          <w:szCs w:val="24"/>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"_Toc514773518"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一、建设项目基本情况</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_Toc514773518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1</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"_Toc514773519"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二、建设项目所在地自然环境简况</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_Toc514773519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7</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"_Toc514773520"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三、环境质量状况</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_Toc514773520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11</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"_Toc514773521"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四、评价适用标准</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_Toc514773521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18</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"_Toc514773522"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五、建设项目工程分析</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_Toc514773522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21</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"_Toc514773523"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六、项目主要污染物产生及预计排放情况</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_Toc514773523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28</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"_Toc514773524"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七、环境影响分析</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_Toc514773524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29</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"_Toc514773525"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八、建设项目采取的防治措施及预期治理效果</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_Toc514773525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51</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Style w:val="49"/>
          <w:rFonts w:hint="default" w:ascii="Times New Roman" w:hAnsi="Times New Roman" w:cs="Times New Roman"/>
          <w:color w:val="FF0000"/>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"_Toc514773526" </w:instrText>
      </w:r>
      <w:r>
        <w:rPr>
          <w:rFonts w:hint="default" w:ascii="Times New Roman" w:hAnsi="Times New Roman" w:cs="Times New Roman"/>
          <w:color w:val="auto"/>
        </w:rPr>
        <w:fldChar w:fldCharType="separate"/>
      </w:r>
      <w:r>
        <w:rPr>
          <w:rStyle w:val="49"/>
          <w:rFonts w:hint="default" w:ascii="Times New Roman" w:hAnsi="Times New Roman" w:cs="Times New Roman"/>
          <w:color w:val="auto"/>
          <w:sz w:val="24"/>
          <w:szCs w:val="24"/>
        </w:rPr>
        <w:t>九、结论与建议</w:t>
      </w:r>
      <w:r>
        <w:rPr>
          <w:rStyle w:val="49"/>
          <w:rFonts w:hint="default" w:ascii="Times New Roman" w:hAnsi="Times New Roman" w:cs="Times New Roman"/>
          <w:color w:val="auto"/>
        </w:rPr>
        <w:tab/>
      </w:r>
      <w:r>
        <w:rPr>
          <w:rStyle w:val="49"/>
          <w:rFonts w:hint="default" w:ascii="Times New Roman" w:hAnsi="Times New Roman" w:cs="Times New Roman"/>
          <w:color w:val="auto"/>
        </w:rPr>
        <w:fldChar w:fldCharType="begin"/>
      </w:r>
      <w:r>
        <w:rPr>
          <w:rStyle w:val="49"/>
          <w:rFonts w:hint="default" w:ascii="Times New Roman" w:hAnsi="Times New Roman" w:cs="Times New Roman"/>
          <w:color w:val="auto"/>
        </w:rPr>
        <w:instrText xml:space="preserve"> PAGEREF _Toc514773526 \h </w:instrText>
      </w:r>
      <w:r>
        <w:rPr>
          <w:rStyle w:val="49"/>
          <w:rFonts w:hint="default" w:ascii="Times New Roman" w:hAnsi="Times New Roman" w:cs="Times New Roman"/>
          <w:color w:val="auto"/>
        </w:rPr>
        <w:fldChar w:fldCharType="separate"/>
      </w:r>
      <w:r>
        <w:rPr>
          <w:rStyle w:val="49"/>
          <w:rFonts w:hint="default" w:ascii="Times New Roman" w:hAnsi="Times New Roman" w:cs="Times New Roman"/>
          <w:color w:val="auto"/>
        </w:rPr>
        <w:t>52</w:t>
      </w:r>
      <w:r>
        <w:rPr>
          <w:rStyle w:val="49"/>
          <w:rFonts w:hint="default" w:ascii="Times New Roman" w:hAnsi="Times New Roman" w:cs="Times New Roman"/>
          <w:color w:val="auto"/>
        </w:rPr>
        <w:fldChar w:fldCharType="end"/>
      </w:r>
      <w:r>
        <w:rPr>
          <w:rStyle w:val="49"/>
          <w:rFonts w:hint="default" w:ascii="Times New Roman" w:hAnsi="Times New Roman" w:cs="Times New Roman"/>
          <w:color w:val="auto"/>
        </w:rPr>
        <w:fldChar w:fldCharType="end"/>
      </w:r>
    </w:p>
    <w:p>
      <w:pPr>
        <w:pStyle w:val="37"/>
        <w:widowControl w:val="0"/>
        <w:tabs>
          <w:tab w:val="right" w:leader="dot" w:pos="9458"/>
        </w:tabs>
        <w:spacing w:after="0" w:line="360" w:lineRule="auto"/>
        <w:rPr>
          <w:rFonts w:hint="default" w:ascii="Times New Roman" w:hAnsi="Times New Roman" w:cs="Times New Roman"/>
          <w:color w:val="FF0000"/>
        </w:rPr>
      </w:pPr>
      <w:r>
        <w:rPr>
          <w:rStyle w:val="49"/>
          <w:rFonts w:hint="default" w:ascii="Times New Roman" w:hAnsi="Times New Roman" w:eastAsia="宋体" w:cs="Times New Roman"/>
          <w:color w:val="FF0000"/>
          <w:kern w:val="2"/>
          <w:sz w:val="24"/>
          <w:szCs w:val="24"/>
        </w:rPr>
        <w:fldChar w:fldCharType="end"/>
      </w:r>
      <w:r>
        <w:rPr>
          <w:rFonts w:hint="default" w:ascii="Times New Roman" w:hAnsi="Times New Roman" w:cs="Times New Roman"/>
          <w:color w:val="FF0000"/>
        </w:rPr>
        <w:t xml:space="preserve"> </w:t>
      </w:r>
    </w:p>
    <w:p>
      <w:pPr>
        <w:spacing w:line="360" w:lineRule="auto"/>
        <w:jc w:val="center"/>
        <w:rPr>
          <w:rFonts w:hint="default" w:ascii="Times New Roman" w:hAnsi="Times New Roman" w:cs="Times New Roman"/>
          <w:b/>
          <w:color w:val="FF0000"/>
          <w:sz w:val="28"/>
          <w:szCs w:val="28"/>
        </w:rPr>
        <w:sectPr>
          <w:pgSz w:w="11906" w:h="16838"/>
          <w:pgMar w:top="1304" w:right="1134" w:bottom="1134" w:left="1304" w:header="851" w:footer="851" w:gutter="0"/>
          <w:pgBorders>
            <w:top w:val="none" w:sz="0" w:space="0"/>
            <w:left w:val="none" w:sz="0" w:space="0"/>
            <w:bottom w:val="none" w:sz="0" w:space="0"/>
            <w:right w:val="none" w:sz="0" w:space="0"/>
          </w:pgBorders>
          <w:pgNumType w:start="1"/>
          <w:cols w:space="720" w:num="1"/>
          <w:docGrid w:type="lines" w:linePitch="312" w:charSpace="0"/>
        </w:sectPr>
      </w:pPr>
    </w:p>
    <w:p>
      <w:pPr>
        <w:rPr>
          <w:rFonts w:hint="default" w:ascii="Times New Roman" w:hAnsi="Times New Roman" w:cs="Times New Roman"/>
          <w:color w:val="FF0000"/>
        </w:rPr>
        <w:sectPr>
          <w:footerReference r:id="rId7" w:type="default"/>
          <w:type w:val="continuous"/>
          <w:pgSz w:w="11906" w:h="16838"/>
          <w:pgMar w:top="1304" w:right="1134" w:bottom="1134" w:left="1304" w:header="851" w:footer="851" w:gutter="0"/>
          <w:pgBorders>
            <w:top w:val="none" w:sz="0" w:space="0"/>
            <w:left w:val="none" w:sz="0" w:space="0"/>
            <w:bottom w:val="none" w:sz="0" w:space="0"/>
            <w:right w:val="none" w:sz="0" w:space="0"/>
          </w:pgBorders>
          <w:pgNumType w:start="1"/>
          <w:cols w:space="720" w:num="1"/>
          <w:docGrid w:type="lines" w:linePitch="312" w:charSpace="0"/>
        </w:sectPr>
      </w:pPr>
      <w:bookmarkStart w:id="0" w:name="_Toc514773518"/>
      <w:bookmarkStart w:id="1" w:name="_Toc472601257"/>
    </w:p>
    <w:p>
      <w:pPr>
        <w:pStyle w:val="14"/>
        <w:pageBreakBefore/>
        <w:widowControl w:val="0"/>
        <w:spacing w:before="0" w:line="360" w:lineRule="auto"/>
        <w:rPr>
          <w:rFonts w:hint="default" w:ascii="Times New Roman" w:hAnsi="Times New Roman" w:eastAsia="宋体" w:cs="Times New Roman"/>
          <w:bCs w:val="0"/>
          <w:color w:val="auto"/>
          <w:kern w:val="44"/>
          <w:sz w:val="30"/>
          <w:szCs w:val="20"/>
        </w:rPr>
      </w:pPr>
      <w:r>
        <w:rPr>
          <w:rFonts w:hint="default" w:ascii="Times New Roman" w:hAnsi="Times New Roman" w:eastAsia="宋体" w:cs="Times New Roman"/>
          <w:bCs w:val="0"/>
          <w:color w:val="auto"/>
          <w:kern w:val="44"/>
          <w:sz w:val="30"/>
          <w:szCs w:val="20"/>
        </w:rPr>
        <w:t>一、建设项目基本情况</w:t>
      </w:r>
      <w:bookmarkEnd w:id="0"/>
      <w:bookmarkEnd w:id="1"/>
    </w:p>
    <w:tbl>
      <w:tblPr>
        <w:tblStyle w:val="43"/>
        <w:tblW w:w="9797"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93"/>
        <w:gridCol w:w="1560"/>
        <w:gridCol w:w="1417"/>
        <w:gridCol w:w="142"/>
        <w:gridCol w:w="1843"/>
        <w:gridCol w:w="1984"/>
        <w:gridCol w:w="115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项目名称</w:t>
            </w:r>
          </w:p>
        </w:tc>
        <w:tc>
          <w:tcPr>
            <w:tcW w:w="8104" w:type="dxa"/>
            <w:gridSpan w:val="6"/>
            <w:vAlign w:val="center"/>
          </w:tcPr>
          <w:p>
            <w:pPr>
              <w:widowControl w:val="0"/>
              <w:spacing w:after="0" w:line="240" w:lineRule="auto"/>
              <w:jc w:val="center"/>
              <w:rPr>
                <w:rFonts w:hint="default" w:ascii="Times New Roman" w:hAnsi="Times New Roman" w:eastAsia="宋体" w:cs="Times New Roman"/>
                <w:color w:val="auto"/>
                <w:kern w:val="2"/>
                <w:sz w:val="24"/>
                <w:szCs w:val="24"/>
                <w:lang w:eastAsia="zh-CN"/>
              </w:rPr>
            </w:pPr>
            <w:r>
              <w:rPr>
                <w:rFonts w:hint="eastAsia" w:ascii="Times New Roman" w:hAnsi="Times New Roman" w:eastAsia="宋体" w:cs="Times New Roman"/>
                <w:color w:val="auto"/>
                <w:kern w:val="2"/>
                <w:sz w:val="24"/>
                <w:szCs w:val="24"/>
                <w:lang w:eastAsia="zh-CN"/>
              </w:rPr>
              <w:t>开平市水口镇方剑卫浴制品厂年产五金卫浴配件44万套新建项目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建设单位</w:t>
            </w:r>
          </w:p>
        </w:tc>
        <w:tc>
          <w:tcPr>
            <w:tcW w:w="8104" w:type="dxa"/>
            <w:gridSpan w:val="6"/>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开平市水口镇方剑卫浴制品厂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法人代表</w:t>
            </w:r>
          </w:p>
        </w:tc>
        <w:tc>
          <w:tcPr>
            <w:tcW w:w="3119" w:type="dxa"/>
            <w:gridSpan w:val="3"/>
            <w:vAlign w:val="center"/>
          </w:tcPr>
          <w:p>
            <w:pPr>
              <w:widowControl w:val="0"/>
              <w:spacing w:after="0" w:line="240" w:lineRule="auto"/>
              <w:jc w:val="center"/>
              <w:rPr>
                <w:rFonts w:hint="default" w:ascii="Times New Roman" w:hAnsi="Times New Roman" w:cs="Times New Roman"/>
                <w:color w:val="auto"/>
                <w:sz w:val="24"/>
                <w:szCs w:val="24"/>
              </w:rPr>
            </w:pPr>
          </w:p>
        </w:tc>
        <w:tc>
          <w:tcPr>
            <w:tcW w:w="184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联系人</w:t>
            </w:r>
          </w:p>
        </w:tc>
        <w:tc>
          <w:tcPr>
            <w:tcW w:w="3142" w:type="dxa"/>
            <w:gridSpan w:val="2"/>
            <w:vAlign w:val="center"/>
          </w:tcPr>
          <w:p>
            <w:pPr>
              <w:widowControl w:val="0"/>
              <w:spacing w:after="0" w:line="240" w:lineRule="auto"/>
              <w:jc w:val="center"/>
              <w:rPr>
                <w:rFonts w:hint="default" w:ascii="Times New Roman" w:hAnsi="Times New Roman" w:eastAsia="宋体" w:cs="Times New Roman"/>
                <w:color w:val="auto"/>
                <w:kern w:val="2"/>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通讯地址</w:t>
            </w:r>
          </w:p>
        </w:tc>
        <w:tc>
          <w:tcPr>
            <w:tcW w:w="8104" w:type="dxa"/>
            <w:gridSpan w:val="6"/>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开平市水口镇内环东路第三工业园01号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联系电话</w:t>
            </w:r>
          </w:p>
        </w:tc>
        <w:tc>
          <w:tcPr>
            <w:tcW w:w="1560" w:type="dxa"/>
            <w:vAlign w:val="center"/>
          </w:tcPr>
          <w:p>
            <w:pPr>
              <w:widowControl w:val="0"/>
              <w:spacing w:after="0" w:line="240" w:lineRule="auto"/>
              <w:jc w:val="center"/>
              <w:rPr>
                <w:rFonts w:hint="default" w:ascii="Times New Roman" w:hAnsi="Times New Roman" w:cs="Times New Roman"/>
                <w:color w:val="auto"/>
                <w:sz w:val="24"/>
                <w:szCs w:val="24"/>
              </w:rPr>
            </w:pPr>
          </w:p>
        </w:tc>
        <w:tc>
          <w:tcPr>
            <w:tcW w:w="1559" w:type="dxa"/>
            <w:gridSpan w:val="2"/>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传真</w:t>
            </w:r>
          </w:p>
        </w:tc>
        <w:tc>
          <w:tcPr>
            <w:tcW w:w="1843" w:type="dxa"/>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w:t>
            </w:r>
            <w:r>
              <w:rPr>
                <w:rFonts w:hint="default" w:ascii="Times New Roman" w:hAnsi="Times New Roman" w:eastAsia="宋体" w:cs="Times New Roman"/>
                <w:color w:val="auto"/>
                <w:kern w:val="2"/>
                <w:sz w:val="24"/>
                <w:szCs w:val="24"/>
              </w:rPr>
              <w:t xml:space="preserve"> </w:t>
            </w:r>
          </w:p>
        </w:tc>
        <w:tc>
          <w:tcPr>
            <w:tcW w:w="1984" w:type="dxa"/>
            <w:vAlign w:val="center"/>
          </w:tcPr>
          <w:p>
            <w:pPr>
              <w:widowControl w:val="0"/>
              <w:spacing w:after="0" w:line="240" w:lineRule="auto"/>
              <w:jc w:val="center"/>
              <w:rPr>
                <w:rFonts w:hint="default" w:ascii="Times New Roman" w:hAnsi="Times New Roman" w:cs="Times New Roman"/>
                <w:b/>
                <w:color w:val="auto"/>
                <w:sz w:val="24"/>
                <w:szCs w:val="24"/>
              </w:rPr>
            </w:pPr>
            <w:r>
              <w:rPr>
                <w:rFonts w:hint="default" w:ascii="Times New Roman" w:hAnsi="Times New Roman" w:eastAsia="宋体" w:cs="Times New Roman"/>
                <w:b/>
                <w:color w:val="auto"/>
                <w:kern w:val="2"/>
                <w:sz w:val="24"/>
                <w:szCs w:val="24"/>
              </w:rPr>
              <w:t>邮政编码</w:t>
            </w:r>
          </w:p>
        </w:tc>
        <w:tc>
          <w:tcPr>
            <w:tcW w:w="1158" w:type="dxa"/>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529321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建设地点</w:t>
            </w:r>
          </w:p>
        </w:tc>
        <w:tc>
          <w:tcPr>
            <w:tcW w:w="8104" w:type="dxa"/>
            <w:gridSpan w:val="6"/>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开平市水口镇内环东路第三工业园01号</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立项审批部门</w:t>
            </w:r>
          </w:p>
        </w:tc>
        <w:tc>
          <w:tcPr>
            <w:tcW w:w="2977" w:type="dxa"/>
            <w:gridSpan w:val="2"/>
            <w:vAlign w:val="center"/>
          </w:tcPr>
          <w:p>
            <w:pPr>
              <w:widowControl w:val="0"/>
              <w:spacing w:after="0" w:line="240" w:lineRule="auto"/>
              <w:jc w:val="center"/>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w:t>
            </w:r>
          </w:p>
        </w:tc>
        <w:tc>
          <w:tcPr>
            <w:tcW w:w="1985" w:type="dxa"/>
            <w:gridSpan w:val="2"/>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批准文号</w:t>
            </w:r>
          </w:p>
        </w:tc>
        <w:tc>
          <w:tcPr>
            <w:tcW w:w="3142" w:type="dxa"/>
            <w:gridSpan w:val="2"/>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建设性质</w:t>
            </w:r>
          </w:p>
        </w:tc>
        <w:tc>
          <w:tcPr>
            <w:tcW w:w="2977" w:type="dxa"/>
            <w:gridSpan w:val="2"/>
            <w:vAlign w:val="center"/>
          </w:tcPr>
          <w:p>
            <w:pPr>
              <w:jc w:val="center"/>
              <w:rPr>
                <w:rFonts w:hint="default" w:ascii="Times New Roman" w:hAnsi="Times New Roman" w:eastAsia="宋体" w:cs="Times New Roman"/>
                <w:color w:val="auto"/>
                <w:kern w:val="2"/>
                <w:sz w:val="24"/>
                <w:szCs w:val="24"/>
              </w:rPr>
            </w:pPr>
            <w:r>
              <w:rPr>
                <w:rFonts w:hint="default" w:ascii="Times New Roman" w:hAnsi="Times New Roman" w:cs="Times New Roman"/>
                <w:color w:val="auto"/>
                <w:sz w:val="24"/>
                <w:shd w:val="clear" w:color="auto" w:fill="auto"/>
              </w:rPr>
              <w:t>新建</w:t>
            </w:r>
            <w:r>
              <w:rPr>
                <w:rFonts w:hint="default" w:ascii="Times New Roman" w:hAnsi="Times New Roman" w:cs="Times New Roman" w:eastAsiaTheme="minorEastAsia"/>
                <w:color w:val="auto"/>
                <w:sz w:val="24"/>
                <w:shd w:val="clear" w:color="auto" w:fill="auto"/>
              </w:rPr>
              <w:t>√</w:t>
            </w:r>
            <w:r>
              <w:rPr>
                <w:rFonts w:hint="default" w:ascii="Times New Roman" w:hAnsi="Times New Roman" w:cs="Times New Roman"/>
                <w:color w:val="auto"/>
                <w:sz w:val="24"/>
                <w:shd w:val="clear" w:color="auto" w:fill="auto"/>
              </w:rPr>
              <w:t>扩建</w:t>
            </w:r>
            <w:r>
              <w:rPr>
                <w:rFonts w:hint="default" w:ascii="Times New Roman" w:hAnsi="Times New Roman" w:cs="Times New Roman"/>
                <w:color w:val="auto"/>
                <w:sz w:val="24"/>
                <w:shd w:val="clear" w:color="auto" w:fill="auto"/>
              </w:rPr>
              <w:fldChar w:fldCharType="begin">
                <w:ffData>
                  <w:name w:val="Check3"/>
                  <w:enabled/>
                  <w:calcOnExit w:val="0"/>
                  <w:checkBox>
                    <w:sizeAuto/>
                    <w:default w:val="0"/>
                    <w:checked w:val="0"/>
                  </w:checkBox>
                </w:ffData>
              </w:fldChar>
            </w:r>
            <w:r>
              <w:rPr>
                <w:rFonts w:hint="default" w:ascii="Times New Roman" w:hAnsi="Times New Roman" w:cs="Times New Roman"/>
                <w:color w:val="auto"/>
                <w:sz w:val="24"/>
                <w:shd w:val="clear" w:color="auto" w:fill="auto"/>
              </w:rPr>
              <w:instrText xml:space="preserve"> FORMCHECKBOX </w:instrText>
            </w:r>
            <w:r>
              <w:rPr>
                <w:rFonts w:hint="default" w:ascii="Times New Roman" w:hAnsi="Times New Roman" w:cs="Times New Roman"/>
                <w:color w:val="auto"/>
                <w:sz w:val="24"/>
                <w:shd w:val="clear" w:color="auto" w:fill="auto"/>
              </w:rPr>
              <w:fldChar w:fldCharType="separate"/>
            </w:r>
            <w:r>
              <w:rPr>
                <w:rFonts w:hint="default" w:ascii="Times New Roman" w:hAnsi="Times New Roman" w:cs="Times New Roman"/>
                <w:color w:val="auto"/>
                <w:sz w:val="24"/>
                <w:shd w:val="clear" w:color="auto" w:fill="auto"/>
              </w:rPr>
              <w:fldChar w:fldCharType="end"/>
            </w:r>
            <w:r>
              <w:rPr>
                <w:rFonts w:hint="default" w:ascii="Times New Roman" w:hAnsi="Times New Roman" w:cs="Times New Roman"/>
                <w:color w:val="auto"/>
                <w:sz w:val="24"/>
                <w:shd w:val="clear" w:color="auto" w:fill="auto"/>
              </w:rPr>
              <w:t>技改</w:t>
            </w:r>
            <w:r>
              <w:rPr>
                <w:rFonts w:hint="default" w:ascii="Times New Roman" w:hAnsi="Times New Roman" w:cs="Times New Roman"/>
                <w:color w:val="auto"/>
                <w:sz w:val="24"/>
                <w:shd w:val="clear" w:color="auto" w:fill="auto"/>
              </w:rPr>
              <w:fldChar w:fldCharType="begin">
                <w:ffData>
                  <w:name w:val="Check3"/>
                  <w:enabled/>
                  <w:calcOnExit w:val="0"/>
                  <w:checkBox>
                    <w:sizeAuto/>
                    <w:default w:val="0"/>
                    <w:checked w:val="0"/>
                  </w:checkBox>
                </w:ffData>
              </w:fldChar>
            </w:r>
            <w:r>
              <w:rPr>
                <w:rFonts w:hint="default" w:ascii="Times New Roman" w:hAnsi="Times New Roman" w:cs="Times New Roman"/>
                <w:color w:val="auto"/>
                <w:sz w:val="24"/>
                <w:shd w:val="clear" w:color="auto" w:fill="auto"/>
              </w:rPr>
              <w:instrText xml:space="preserve"> FORMCHECKBOX </w:instrText>
            </w:r>
            <w:r>
              <w:rPr>
                <w:rFonts w:hint="default" w:ascii="Times New Roman" w:hAnsi="Times New Roman" w:cs="Times New Roman"/>
                <w:color w:val="auto"/>
                <w:sz w:val="24"/>
                <w:shd w:val="clear" w:color="auto" w:fill="auto"/>
              </w:rPr>
              <w:fldChar w:fldCharType="separate"/>
            </w:r>
            <w:r>
              <w:rPr>
                <w:rFonts w:hint="default" w:ascii="Times New Roman" w:hAnsi="Times New Roman" w:cs="Times New Roman"/>
                <w:color w:val="auto"/>
                <w:sz w:val="24"/>
                <w:shd w:val="clear" w:color="auto" w:fill="auto"/>
              </w:rPr>
              <w:fldChar w:fldCharType="end"/>
            </w:r>
          </w:p>
        </w:tc>
        <w:tc>
          <w:tcPr>
            <w:tcW w:w="1985" w:type="dxa"/>
            <w:gridSpan w:val="2"/>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行业类别及代码</w:t>
            </w:r>
          </w:p>
        </w:tc>
        <w:tc>
          <w:tcPr>
            <w:tcW w:w="3142" w:type="dxa"/>
            <w:gridSpan w:val="2"/>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C3383金属制卫生器具制造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占地面积</w:t>
            </w:r>
          </w:p>
        </w:tc>
        <w:tc>
          <w:tcPr>
            <w:tcW w:w="2977" w:type="dxa"/>
            <w:gridSpan w:val="2"/>
            <w:vAlign w:val="center"/>
          </w:tcPr>
          <w:p>
            <w:pPr>
              <w:widowControl w:val="0"/>
              <w:spacing w:after="0" w:line="240" w:lineRule="auto"/>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kern w:val="2"/>
                <w:sz w:val="24"/>
                <w:szCs w:val="24"/>
              </w:rPr>
              <w:t>1700m</w:t>
            </w:r>
            <w:r>
              <w:rPr>
                <w:rFonts w:hint="default" w:ascii="Times New Roman" w:hAnsi="Times New Roman" w:eastAsia="宋体" w:cs="Times New Roman"/>
                <w:color w:val="auto"/>
                <w:kern w:val="2"/>
                <w:sz w:val="24"/>
                <w:szCs w:val="24"/>
                <w:vertAlign w:val="superscript"/>
              </w:rPr>
              <w:t>2</w:t>
            </w:r>
          </w:p>
        </w:tc>
        <w:tc>
          <w:tcPr>
            <w:tcW w:w="1985" w:type="dxa"/>
            <w:gridSpan w:val="2"/>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建筑面积</w:t>
            </w:r>
          </w:p>
        </w:tc>
        <w:tc>
          <w:tcPr>
            <w:tcW w:w="3142" w:type="dxa"/>
            <w:gridSpan w:val="2"/>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3200m</w:t>
            </w:r>
            <w:r>
              <w:rPr>
                <w:rFonts w:hint="default" w:ascii="Times New Roman" w:hAnsi="Times New Roman" w:eastAsia="宋体" w:cs="Times New Roman"/>
                <w:color w:val="auto"/>
                <w:kern w:val="2"/>
                <w:sz w:val="24"/>
                <w:szCs w:val="24"/>
                <w:vertAlign w:val="superscript"/>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总投资</w:t>
            </w:r>
          </w:p>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(万元)</w:t>
            </w:r>
          </w:p>
        </w:tc>
        <w:tc>
          <w:tcPr>
            <w:tcW w:w="1560" w:type="dxa"/>
            <w:vAlign w:val="center"/>
          </w:tcPr>
          <w:p>
            <w:pPr>
              <w:widowControl w:val="0"/>
              <w:spacing w:after="0" w:line="240" w:lineRule="auto"/>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300</w:t>
            </w:r>
          </w:p>
        </w:tc>
        <w:tc>
          <w:tcPr>
            <w:tcW w:w="1417"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其中:环保投资(万元)</w:t>
            </w:r>
          </w:p>
        </w:tc>
        <w:tc>
          <w:tcPr>
            <w:tcW w:w="1985" w:type="dxa"/>
            <w:gridSpan w:val="2"/>
            <w:vAlign w:val="center"/>
          </w:tcPr>
          <w:p>
            <w:pPr>
              <w:widowControl w:val="0"/>
              <w:spacing w:after="0" w:line="240" w:lineRule="auto"/>
              <w:jc w:val="center"/>
              <w:rPr>
                <w:rFonts w:hint="default"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kern w:val="2"/>
                <w:sz w:val="24"/>
                <w:szCs w:val="24"/>
                <w:lang w:val="en-US" w:eastAsia="zh-CN"/>
              </w:rPr>
              <w:t>30</w:t>
            </w:r>
          </w:p>
        </w:tc>
        <w:tc>
          <w:tcPr>
            <w:tcW w:w="1984" w:type="dxa"/>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环保投资占总投资比例</w:t>
            </w:r>
          </w:p>
        </w:tc>
        <w:tc>
          <w:tcPr>
            <w:tcW w:w="1158" w:type="dxa"/>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lang w:val="en-US" w:eastAsia="zh-CN"/>
              </w:rPr>
              <w:t>10</w:t>
            </w:r>
            <w:r>
              <w:rPr>
                <w:rFonts w:hint="default" w:ascii="Times New Roman" w:hAnsi="Times New Roman" w:eastAsia="宋体" w:cs="Times New Roman"/>
                <w:color w:val="auto"/>
                <w:kern w:val="2"/>
                <w:sz w:val="24"/>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693" w:type="dxa"/>
            <w:tcBorders>
              <w:bottom w:val="nil"/>
            </w:tcBorders>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评价经费</w:t>
            </w:r>
          </w:p>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(万元)</w:t>
            </w:r>
          </w:p>
        </w:tc>
        <w:tc>
          <w:tcPr>
            <w:tcW w:w="1560" w:type="dxa"/>
            <w:tcBorders>
              <w:bottom w:val="nil"/>
            </w:tcBorders>
            <w:vAlign w:val="center"/>
          </w:tcPr>
          <w:p>
            <w:pPr>
              <w:widowControl w:val="0"/>
              <w:spacing w:after="0" w:line="240" w:lineRule="auto"/>
              <w:jc w:val="center"/>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1.2</w:t>
            </w:r>
          </w:p>
        </w:tc>
        <w:tc>
          <w:tcPr>
            <w:tcW w:w="1417" w:type="dxa"/>
            <w:tcBorders>
              <w:bottom w:val="nil"/>
            </w:tcBorders>
            <w:vAlign w:val="center"/>
          </w:tcPr>
          <w:p>
            <w:pPr>
              <w:widowControl w:val="0"/>
              <w:spacing w:after="0" w:line="24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投产日期</w:t>
            </w:r>
          </w:p>
        </w:tc>
        <w:tc>
          <w:tcPr>
            <w:tcW w:w="5127" w:type="dxa"/>
            <w:gridSpan w:val="4"/>
            <w:tcBorders>
              <w:bottom w:val="nil"/>
            </w:tcBorders>
            <w:vAlign w:val="center"/>
          </w:tcPr>
          <w:p>
            <w:pPr>
              <w:widowControl w:val="0"/>
              <w:spacing w:after="0" w:line="240" w:lineRule="auto"/>
              <w:jc w:val="center"/>
              <w:rPr>
                <w:rFonts w:hint="default" w:ascii="Times New Roman" w:hAnsi="Times New Roman" w:eastAsia="宋体" w:cs="Times New Roman"/>
                <w:color w:val="FF0000"/>
                <w:kern w:val="2"/>
                <w:sz w:val="24"/>
                <w:szCs w:val="24"/>
              </w:rPr>
            </w:pPr>
            <w:r>
              <w:rPr>
                <w:rFonts w:hint="default" w:ascii="Times New Roman" w:hAnsi="Times New Roman" w:eastAsia="宋体" w:cs="Times New Roman"/>
                <w:color w:val="auto"/>
                <w:kern w:val="2"/>
                <w:sz w:val="24"/>
                <w:szCs w:val="24"/>
              </w:rPr>
              <w:t>20</w:t>
            </w:r>
            <w:r>
              <w:rPr>
                <w:rFonts w:hint="default" w:ascii="Times New Roman" w:hAnsi="Times New Roman" w:eastAsia="宋体" w:cs="Times New Roman"/>
                <w:color w:val="auto"/>
                <w:kern w:val="2"/>
                <w:sz w:val="24"/>
                <w:szCs w:val="24"/>
                <w:lang w:val="en-US" w:eastAsia="zh-CN"/>
              </w:rPr>
              <w:t>20</w:t>
            </w:r>
            <w:r>
              <w:rPr>
                <w:rFonts w:hint="default" w:ascii="Times New Roman" w:hAnsi="Times New Roman" w:eastAsia="宋体" w:cs="Times New Roman"/>
                <w:color w:val="auto"/>
                <w:kern w:val="2"/>
                <w:sz w:val="24"/>
                <w:szCs w:val="24"/>
              </w:rPr>
              <w:t>年</w:t>
            </w:r>
            <w:r>
              <w:rPr>
                <w:rFonts w:hint="default" w:ascii="Times New Roman" w:hAnsi="Times New Roman" w:eastAsia="宋体" w:cs="Times New Roman"/>
                <w:color w:val="auto"/>
                <w:kern w:val="2"/>
                <w:sz w:val="24"/>
                <w:szCs w:val="24"/>
                <w:lang w:val="en-US" w:eastAsia="zh-CN"/>
              </w:rPr>
              <w:t>2</w:t>
            </w:r>
            <w:r>
              <w:rPr>
                <w:rFonts w:hint="default" w:ascii="Times New Roman" w:hAnsi="Times New Roman" w:eastAsia="宋体" w:cs="Times New Roman"/>
                <w:color w:val="auto"/>
                <w:kern w:val="2"/>
                <w:sz w:val="24"/>
                <w:szCs w:val="24"/>
              </w:rPr>
              <w:t>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04" w:hRule="atLeast"/>
        </w:trPr>
        <w:tc>
          <w:tcPr>
            <w:tcW w:w="9797" w:type="dxa"/>
            <w:gridSpan w:val="7"/>
          </w:tcPr>
          <w:p>
            <w:pPr>
              <w:widowControl w:val="0"/>
              <w:adjustRightInd w:val="0"/>
              <w:spacing w:after="0" w:line="360" w:lineRule="auto"/>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工程内容及规模：</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1、项目由来</w:t>
            </w:r>
          </w:p>
          <w:p>
            <w:pPr>
              <w:widowControl w:val="0"/>
              <w:spacing w:after="0" w:line="360" w:lineRule="auto"/>
              <w:ind w:firstLine="480" w:firstLineChars="200"/>
              <w:jc w:val="both"/>
              <w:textAlignment w:val="baseline"/>
              <w:rPr>
                <w:rFonts w:hint="default" w:ascii="Times New Roman" w:hAnsi="Times New Roman" w:eastAsia="宋体" w:cs="Times New Roman"/>
                <w:color w:val="FF0000"/>
                <w:kern w:val="2"/>
                <w:sz w:val="24"/>
              </w:rPr>
            </w:pPr>
            <w:r>
              <w:rPr>
                <w:rFonts w:hint="eastAsia" w:ascii="Times New Roman" w:hAnsi="Times New Roman" w:eastAsia="宋体" w:cs="Times New Roman"/>
                <w:color w:val="auto"/>
                <w:kern w:val="2"/>
                <w:sz w:val="24"/>
                <w:szCs w:val="24"/>
                <w:lang w:eastAsia="zh-CN"/>
              </w:rPr>
              <w:t>开平市水口镇方剑卫浴制品厂年产五金卫浴配件44万套新建项目</w:t>
            </w:r>
            <w:r>
              <w:rPr>
                <w:rFonts w:hint="default" w:ascii="Times New Roman" w:hAnsi="Times New Roman" w:eastAsia="宋体" w:cs="Times New Roman"/>
                <w:color w:val="auto"/>
                <w:kern w:val="2"/>
                <w:sz w:val="24"/>
              </w:rPr>
              <w:t>（以下简称“项目”）位于开平市水口镇内环东路第三工业园01号，占地面积约1700m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，中心地理坐标为N22.459438°、E112.781336°，建设项目地理位置图详见附图1。公司主要从事</w:t>
            </w:r>
            <w:r>
              <w:rPr>
                <w:rFonts w:hint="default" w:ascii="Times New Roman" w:hAnsi="Times New Roman" w:eastAsia="宋体" w:cs="Times New Roman"/>
                <w:color w:val="auto"/>
                <w:kern w:val="2"/>
                <w:sz w:val="24"/>
                <w:lang w:eastAsia="zh-CN"/>
              </w:rPr>
              <w:t>五金</w:t>
            </w:r>
            <w:r>
              <w:rPr>
                <w:rFonts w:hint="default" w:ascii="Times New Roman" w:hAnsi="Times New Roman" w:eastAsia="宋体" w:cs="Times New Roman"/>
                <w:color w:val="auto"/>
                <w:kern w:val="2"/>
                <w:sz w:val="24"/>
              </w:rPr>
              <w:t>卫浴配件的生产，不含磷化、喷漆等表面处理工艺，总投资</w:t>
            </w:r>
            <w:r>
              <w:rPr>
                <w:rFonts w:hint="default" w:ascii="Times New Roman" w:hAnsi="Times New Roman" w:eastAsia="宋体" w:cs="Times New Roman"/>
                <w:color w:val="auto"/>
                <w:kern w:val="2"/>
                <w:sz w:val="24"/>
                <w:lang w:val="en-US" w:eastAsia="zh-CN"/>
              </w:rPr>
              <w:t>300</w:t>
            </w:r>
            <w:r>
              <w:rPr>
                <w:rFonts w:hint="default" w:ascii="Times New Roman" w:hAnsi="Times New Roman" w:eastAsia="宋体" w:cs="Times New Roman"/>
                <w:color w:val="auto"/>
                <w:kern w:val="2"/>
                <w:sz w:val="24"/>
              </w:rPr>
              <w:t>万元，其中环保投资</w:t>
            </w:r>
            <w:r>
              <w:rPr>
                <w:rFonts w:hint="eastAsia" w:ascii="Times New Roman" w:hAnsi="Times New Roman" w:eastAsia="宋体" w:cs="Times New Roman"/>
                <w:color w:val="auto"/>
                <w:kern w:val="2"/>
                <w:sz w:val="24"/>
                <w:lang w:val="en-US" w:eastAsia="zh-CN"/>
              </w:rPr>
              <w:t>30</w:t>
            </w:r>
            <w:r>
              <w:rPr>
                <w:rFonts w:hint="default" w:ascii="Times New Roman" w:hAnsi="Times New Roman" w:eastAsia="宋体" w:cs="Times New Roman"/>
                <w:color w:val="auto"/>
                <w:kern w:val="2"/>
                <w:sz w:val="24"/>
              </w:rPr>
              <w:t>万元。</w:t>
            </w:r>
          </w:p>
          <w:p>
            <w:pPr>
              <w:widowControl w:val="0"/>
              <w:spacing w:after="0" w:line="360" w:lineRule="auto"/>
              <w:ind w:firstLine="480" w:firstLineChars="200"/>
              <w:jc w:val="both"/>
              <w:textAlignment w:val="baseline"/>
              <w:rPr>
                <w:rFonts w:hint="default" w:ascii="Times New Roman" w:hAnsi="Times New Roman" w:eastAsia="宋体" w:cs="Times New Roman"/>
                <w:color w:val="FF0000"/>
                <w:kern w:val="2"/>
                <w:sz w:val="24"/>
              </w:rPr>
            </w:pPr>
            <w:r>
              <w:rPr>
                <w:rFonts w:hint="default" w:ascii="Times New Roman" w:hAnsi="Times New Roman" w:cs="Times New Roman"/>
                <w:b w:val="0"/>
                <w:bCs/>
                <w:color w:val="auto"/>
                <w:sz w:val="24"/>
                <w:shd w:val="clear" w:color="auto" w:fill="auto"/>
              </w:rPr>
              <w:t>根据《中华人民共和国环境影响评价法》、《建设项目环境影响评价分类管理名录》（</w:t>
            </w:r>
            <w:r>
              <w:rPr>
                <w:rFonts w:hint="default" w:ascii="Times New Roman" w:hAnsi="Times New Roman" w:eastAsia="宋体" w:cs="Times New Roman"/>
                <w:color w:val="auto"/>
                <w:sz w:val="24"/>
              </w:rPr>
              <w:t>环境保护部令第</w:t>
            </w:r>
            <w:r>
              <w:rPr>
                <w:rFonts w:hint="default" w:ascii="Times New Roman" w:hAnsi="Times New Roman" w:eastAsia="TimesNewRomanPSMT" w:cs="Times New Roman"/>
                <w:color w:val="auto"/>
                <w:sz w:val="24"/>
              </w:rPr>
              <w:t>44</w:t>
            </w:r>
            <w:r>
              <w:rPr>
                <w:rFonts w:hint="default" w:ascii="Times New Roman" w:hAnsi="Times New Roman" w:eastAsia="宋体" w:cs="Times New Roman"/>
                <w:color w:val="auto"/>
                <w:sz w:val="24"/>
              </w:rPr>
              <w:t>号，</w:t>
            </w:r>
            <w:r>
              <w:rPr>
                <w:rFonts w:hint="default" w:ascii="Times New Roman" w:hAnsi="Times New Roman" w:eastAsia="TimesNewRomanPSMT" w:cs="Times New Roman"/>
                <w:color w:val="auto"/>
                <w:sz w:val="24"/>
              </w:rPr>
              <w:t>2018</w:t>
            </w:r>
            <w:r>
              <w:rPr>
                <w:rFonts w:hint="default" w:ascii="Times New Roman" w:hAnsi="Times New Roman" w:eastAsia="宋体" w:cs="Times New Roman"/>
                <w:color w:val="auto"/>
                <w:sz w:val="24"/>
              </w:rPr>
              <w:t>年</w:t>
            </w:r>
            <w:r>
              <w:rPr>
                <w:rFonts w:hint="default" w:ascii="Times New Roman" w:hAnsi="Times New Roman" w:eastAsia="TimesNewRomanPSMT" w:cs="Times New Roman"/>
                <w:color w:val="auto"/>
                <w:sz w:val="24"/>
              </w:rPr>
              <w:t>4</w:t>
            </w:r>
            <w:r>
              <w:rPr>
                <w:rFonts w:hint="default" w:ascii="Times New Roman" w:hAnsi="Times New Roman" w:eastAsia="宋体" w:cs="Times New Roman"/>
                <w:color w:val="auto"/>
                <w:sz w:val="24"/>
              </w:rPr>
              <w:t>月</w:t>
            </w:r>
            <w:r>
              <w:rPr>
                <w:rFonts w:hint="default" w:ascii="Times New Roman" w:hAnsi="Times New Roman" w:eastAsia="TimesNewRomanPSMT" w:cs="Times New Roman"/>
                <w:color w:val="auto"/>
                <w:sz w:val="24"/>
              </w:rPr>
              <w:t>28</w:t>
            </w:r>
            <w:r>
              <w:rPr>
                <w:rFonts w:hint="default" w:ascii="Times New Roman" w:hAnsi="Times New Roman" w:eastAsia="宋体" w:cs="Times New Roman"/>
                <w:color w:val="auto"/>
                <w:sz w:val="24"/>
              </w:rPr>
              <w:t>日修订</w:t>
            </w:r>
            <w:r>
              <w:rPr>
                <w:rFonts w:hint="default" w:ascii="Times New Roman" w:hAnsi="Times New Roman" w:cs="Times New Roman"/>
                <w:b w:val="0"/>
                <w:bCs/>
                <w:color w:val="auto"/>
                <w:sz w:val="24"/>
                <w:shd w:val="clear" w:color="auto" w:fill="auto"/>
              </w:rPr>
              <w:t>）的规定和要求，一切可能对环境产生影响的新建、扩建或改建项目必须实行环境影响评价。根据</w:t>
            </w:r>
            <w:r>
              <w:rPr>
                <w:rFonts w:hint="default" w:ascii="Times New Roman" w:hAnsi="Times New Roman" w:eastAsia="宋体" w:cs="Times New Roman"/>
                <w:color w:val="auto"/>
                <w:kern w:val="2"/>
                <w:sz w:val="24"/>
              </w:rPr>
              <w:t>《建设项目环境影响评价分类管理名录》（环境保护部令第44号）及《关于修改&lt;建设项目环境影响评价分类管理名录&gt;部分内容的决定》（生态环境部令第1号），本项目属于“二十二-金属制品业-67-金属制品加工制造”中的 “其他（仅切割组装除外）”类别，需编制建设项目环境影响报告表。</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2、项目概况</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2.1工程规模</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本项目租用开平市水口镇内环东路第三工业园01号进行经营，占地面积1700m</w:t>
            </w:r>
            <w:r>
              <w:rPr>
                <w:rFonts w:hint="default" w:ascii="Times New Roman" w:hAnsi="Times New Roman" w:eastAsia="宋体" w:cs="Times New Roman"/>
                <w:color w:val="auto"/>
                <w:spacing w:val="2"/>
                <w:kern w:val="2"/>
                <w:sz w:val="24"/>
                <w:szCs w:val="20"/>
                <w:vertAlign w:val="superscript"/>
              </w:rPr>
              <w:t>2</w:t>
            </w:r>
            <w:r>
              <w:rPr>
                <w:rFonts w:hint="default" w:ascii="Times New Roman" w:hAnsi="Times New Roman" w:eastAsia="宋体" w:cs="Times New Roman"/>
                <w:color w:val="auto"/>
                <w:spacing w:val="2"/>
                <w:kern w:val="2"/>
                <w:sz w:val="24"/>
                <w:szCs w:val="20"/>
              </w:rPr>
              <w:t>，建筑面积3200 m</w:t>
            </w:r>
            <w:r>
              <w:rPr>
                <w:rFonts w:hint="default" w:ascii="Times New Roman" w:hAnsi="Times New Roman" w:eastAsia="宋体" w:cs="Times New Roman"/>
                <w:color w:val="auto"/>
                <w:spacing w:val="2"/>
                <w:kern w:val="2"/>
                <w:sz w:val="24"/>
                <w:szCs w:val="20"/>
                <w:vertAlign w:val="superscript"/>
              </w:rPr>
              <w:t>2</w:t>
            </w:r>
            <w:r>
              <w:rPr>
                <w:rFonts w:hint="default" w:ascii="Times New Roman" w:hAnsi="Times New Roman" w:eastAsia="宋体" w:cs="Times New Roman"/>
                <w:color w:val="auto"/>
                <w:spacing w:val="2"/>
                <w:kern w:val="2"/>
                <w:sz w:val="24"/>
                <w:szCs w:val="20"/>
              </w:rPr>
              <w:t>，包括主体工程、辅助工程、储运工程、公用工程、环保工程等。其中主体工程为厂房，辅助工程为办公室（位于厂房内），储运工程包括半成品仓、包材仓、成品仓、固废暂存区（位于厂房内），公用工程包括供水设施、供电设施，环保工程包括三级化粪池等，厂内平面布置详见附图6。项目主要工程组装如下表所示：</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项目工程组成一览表</w:t>
            </w:r>
          </w:p>
          <w:tbl>
            <w:tblPr>
              <w:tblStyle w:val="43"/>
              <w:tblW w:w="95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1012"/>
              <w:gridCol w:w="1277"/>
              <w:gridCol w:w="850"/>
              <w:gridCol w:w="64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工程类别</w:t>
                  </w:r>
                </w:p>
              </w:tc>
              <w:tc>
                <w:tcPr>
                  <w:tcW w:w="1277"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指标名称</w:t>
                  </w:r>
                </w:p>
              </w:tc>
              <w:tc>
                <w:tcPr>
                  <w:tcW w:w="85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规模</w:t>
                  </w:r>
                </w:p>
              </w:tc>
              <w:tc>
                <w:tcPr>
                  <w:tcW w:w="643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90" w:hRule="atLeast"/>
                <w:jc w:val="center"/>
              </w:trPr>
              <w:tc>
                <w:tcPr>
                  <w:tcW w:w="1012"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1F生产车间</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1700m</w:t>
                  </w:r>
                  <w:r>
                    <w:rPr>
                      <w:rFonts w:hint="default" w:ascii="Times New Roman" w:hAnsi="Times New Roman" w:eastAsia="宋体" w:cs="Times New Roman"/>
                      <w:color w:val="auto"/>
                      <w:sz w:val="21"/>
                      <w:szCs w:val="21"/>
                      <w:vertAlign w:val="superscript"/>
                    </w:rPr>
                    <w:t>2</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1层生产车间，内含机加工车间、半成品仓、模具房、红冲车间、半成品仓、办公室等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2F生产车间</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1500m</w:t>
                  </w:r>
                  <w:r>
                    <w:rPr>
                      <w:rFonts w:hint="default" w:ascii="Times New Roman" w:hAnsi="Times New Roman" w:eastAsia="宋体" w:cs="Times New Roman"/>
                      <w:color w:val="auto"/>
                      <w:sz w:val="21"/>
                      <w:szCs w:val="21"/>
                      <w:vertAlign w:val="superscript"/>
                    </w:rPr>
                    <w:t>2</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2层生产车间，内含包材仓、组装车间、组装材料仓、成品仓等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仓库</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位于生产车间内，用于储存原材料和成品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办公区</w:t>
                  </w:r>
                </w:p>
              </w:tc>
              <w:tc>
                <w:tcPr>
                  <w:tcW w:w="850" w:type="dxa"/>
                  <w:shd w:val="clear" w:color="auto" w:fill="auto"/>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位于生产车间内，用于日常办公使用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供电系统</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一套</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rPr>
                    <w:t>由市政电网提供，年用电量13.94万kW·h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供水系统</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一套</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rPr>
                    <w:t>由市政给水管网提供，用水量</w:t>
                  </w:r>
                  <w:r>
                    <w:rPr>
                      <w:rFonts w:hint="eastAsia" w:ascii="Times New Roman" w:hAnsi="Times New Roman" w:eastAsia="宋体" w:cs="Times New Roman"/>
                      <w:color w:val="auto"/>
                      <w:kern w:val="2"/>
                      <w:sz w:val="21"/>
                      <w:szCs w:val="21"/>
                      <w:lang w:val="en-US" w:eastAsia="zh-CN"/>
                    </w:rPr>
                    <w:t>610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排水系统</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一套</w:t>
                  </w:r>
                </w:p>
              </w:tc>
              <w:tc>
                <w:tcPr>
                  <w:tcW w:w="6432" w:type="dxa"/>
                  <w:shd w:val="clear" w:color="auto" w:fill="auto"/>
                </w:tcPr>
                <w:p>
                  <w:pPr>
                    <w:widowControl w:val="0"/>
                    <w:spacing w:after="0"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24"/>
                      <w:position w:val="0"/>
                      <w:sz w:val="21"/>
                      <w:szCs w:val="21"/>
                      <w:highlight w:val="none"/>
                      <w:lang w:val="en-US" w:eastAsia="zh-CN" w:bidi="ar-SA"/>
                    </w:rPr>
                    <w:t>测试用水</w:t>
                  </w:r>
                  <w:r>
                    <w:rPr>
                      <w:rFonts w:hint="eastAsia" w:ascii="Times New Roman" w:hAnsi="Times New Roman" w:eastAsia="宋体" w:cs="Times New Roman"/>
                      <w:color w:val="auto"/>
                      <w:kern w:val="2"/>
                      <w:sz w:val="21"/>
                      <w:szCs w:val="21"/>
                      <w:highlight w:val="none"/>
                    </w:rPr>
                    <w:t>循环使用，定期补充，不外排</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4"/>
                      <w:position w:val="0"/>
                      <w:sz w:val="21"/>
                      <w:szCs w:val="21"/>
                      <w:highlight w:val="none"/>
                      <w:lang w:val="en-US" w:eastAsia="zh-CN" w:bidi="ar-SA"/>
                    </w:rPr>
                    <w:t>喷淋废水</w:t>
                  </w:r>
                  <w:r>
                    <w:rPr>
                      <w:rFonts w:hint="eastAsia" w:ascii="Times New Roman" w:hAnsi="宋体" w:eastAsia="宋体" w:cs="Times New Roman"/>
                      <w:color w:val="auto"/>
                      <w:kern w:val="2"/>
                      <w:sz w:val="21"/>
                      <w:szCs w:val="21"/>
                      <w:highlight w:val="none"/>
                    </w:rPr>
                    <w:t>经收集后定期交有资质单位处理，不外</w:t>
                  </w:r>
                  <w:r>
                    <w:rPr>
                      <w:rFonts w:hint="eastAsia" w:ascii="Times New Roman" w:hAnsi="Times New Roman" w:eastAsia="宋体" w:cs="Times New Roman"/>
                      <w:color w:val="auto"/>
                      <w:kern w:val="2"/>
                      <w:sz w:val="21"/>
                      <w:szCs w:val="21"/>
                      <w:highlight w:val="none"/>
                      <w:lang w:eastAsia="zh-CN"/>
                    </w:rPr>
                    <w:t>排；</w:t>
                  </w:r>
                  <w:r>
                    <w:rPr>
                      <w:rFonts w:hint="default" w:ascii="Times New Roman" w:hAnsi="Times New Roman" w:eastAsia="宋体" w:cs="Times New Roman"/>
                      <w:color w:val="auto"/>
                      <w:kern w:val="2"/>
                      <w:sz w:val="21"/>
                      <w:szCs w:val="21"/>
                    </w:rPr>
                    <w:t>生活污水经三级化粪池预处理达标后经市政污水管网排入</w:t>
                  </w:r>
                  <w:r>
                    <w:rPr>
                      <w:rFonts w:hint="default" w:ascii="Times New Roman" w:hAnsi="Times New Roman" w:eastAsia="宋体" w:cs="Times New Roman"/>
                      <w:color w:val="auto"/>
                      <w:kern w:val="2"/>
                      <w:sz w:val="21"/>
                      <w:szCs w:val="21"/>
                      <w:lang w:eastAsia="zh-CN"/>
                    </w:rPr>
                    <w:t>开平市水口污水处理厂</w:t>
                  </w:r>
                  <w:r>
                    <w:rPr>
                      <w:rFonts w:hint="default" w:ascii="Times New Roman" w:hAnsi="Times New Roman" w:eastAsia="宋体" w:cs="Times New Roman"/>
                      <w:color w:val="auto"/>
                      <w:kern w:val="2"/>
                      <w:sz w:val="21"/>
                      <w:szCs w:val="21"/>
                    </w:rPr>
                    <w:t>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污水处理工程</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一套</w:t>
                  </w:r>
                </w:p>
              </w:tc>
              <w:tc>
                <w:tcPr>
                  <w:tcW w:w="6432" w:type="dxa"/>
                  <w:shd w:val="clear" w:color="auto" w:fill="auto"/>
                </w:tcPr>
                <w:p>
                  <w:pPr>
                    <w:widowControl w:val="0"/>
                    <w:spacing w:after="0"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24"/>
                      <w:position w:val="0"/>
                      <w:sz w:val="21"/>
                      <w:szCs w:val="21"/>
                      <w:highlight w:val="none"/>
                      <w:lang w:val="en-US" w:eastAsia="zh-CN" w:bidi="ar-SA"/>
                    </w:rPr>
                    <w:t>测试用水</w:t>
                  </w:r>
                  <w:r>
                    <w:rPr>
                      <w:rFonts w:hint="eastAsia" w:ascii="Times New Roman" w:hAnsi="Times New Roman" w:eastAsia="宋体" w:cs="Times New Roman"/>
                      <w:color w:val="auto"/>
                      <w:kern w:val="2"/>
                      <w:sz w:val="21"/>
                      <w:szCs w:val="21"/>
                      <w:highlight w:val="none"/>
                    </w:rPr>
                    <w:t>循环使用，定期补充，不外排</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4"/>
                      <w:position w:val="0"/>
                      <w:sz w:val="21"/>
                      <w:szCs w:val="21"/>
                      <w:highlight w:val="none"/>
                      <w:lang w:val="en-US" w:eastAsia="zh-CN" w:bidi="ar-SA"/>
                    </w:rPr>
                    <w:t>喷淋废水</w:t>
                  </w:r>
                  <w:r>
                    <w:rPr>
                      <w:rFonts w:hint="eastAsia" w:ascii="Times New Roman" w:hAnsi="宋体" w:eastAsia="宋体" w:cs="Times New Roman"/>
                      <w:color w:val="auto"/>
                      <w:kern w:val="2"/>
                      <w:sz w:val="21"/>
                      <w:szCs w:val="21"/>
                      <w:highlight w:val="none"/>
                    </w:rPr>
                    <w:t>经收集后定期交有资质单位处理，不外</w:t>
                  </w:r>
                  <w:r>
                    <w:rPr>
                      <w:rFonts w:hint="eastAsia" w:ascii="Times New Roman" w:hAnsi="Times New Roman" w:eastAsia="宋体" w:cs="Times New Roman"/>
                      <w:color w:val="auto"/>
                      <w:kern w:val="2"/>
                      <w:sz w:val="21"/>
                      <w:szCs w:val="21"/>
                      <w:highlight w:val="none"/>
                      <w:lang w:eastAsia="zh-CN"/>
                    </w:rPr>
                    <w:t>排；</w:t>
                  </w:r>
                  <w:r>
                    <w:rPr>
                      <w:rFonts w:hint="default" w:ascii="Times New Roman" w:hAnsi="Times New Roman" w:eastAsia="宋体" w:cs="Times New Roman"/>
                      <w:color w:val="auto"/>
                      <w:kern w:val="2"/>
                      <w:sz w:val="21"/>
                      <w:szCs w:val="21"/>
                    </w:rPr>
                    <w:t>生活污水经三级化粪池预处理达标后经市政污水管网排入</w:t>
                  </w:r>
                  <w:r>
                    <w:rPr>
                      <w:rFonts w:hint="default" w:ascii="Times New Roman" w:hAnsi="Times New Roman" w:eastAsia="宋体" w:cs="Times New Roman"/>
                      <w:color w:val="auto"/>
                      <w:kern w:val="2"/>
                      <w:sz w:val="21"/>
                      <w:szCs w:val="21"/>
                      <w:lang w:eastAsia="zh-CN"/>
                    </w:rPr>
                    <w:t>开平市水口污水处理厂</w:t>
                  </w:r>
                  <w:r>
                    <w:rPr>
                      <w:rFonts w:hint="default" w:ascii="Times New Roman" w:hAnsi="Times New Roman" w:eastAsia="宋体" w:cs="Times New Roman"/>
                      <w:color w:val="auto"/>
                      <w:kern w:val="2"/>
                      <w:sz w:val="21"/>
                      <w:szCs w:val="21"/>
                    </w:rPr>
                    <w:t>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噪声控制</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rPr>
                    <w:t>生产设备均选用低噪声设备，采用基础减震、隔声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固废处理</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432"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生活垃圾</w:t>
                  </w:r>
                  <w:r>
                    <w:rPr>
                      <w:rFonts w:ascii="Times New Roman" w:hAnsi="Times New Roman" w:eastAsia="宋体" w:cs="Times New Roman"/>
                      <w:color w:val="auto"/>
                      <w:kern w:val="0"/>
                      <w:sz w:val="21"/>
                      <w:szCs w:val="21"/>
                      <w:highlight w:val="none"/>
                    </w:rPr>
                    <w:t>交环卫部门处理</w:t>
                  </w:r>
                  <w:r>
                    <w:rPr>
                      <w:rFonts w:hint="default" w:ascii="Times New Roman" w:hAnsi="Times New Roman" w:cs="Times New Roman"/>
                      <w:color w:val="auto"/>
                      <w:sz w:val="21"/>
                      <w:szCs w:val="21"/>
                    </w:rPr>
                    <w:t>；</w:t>
                  </w:r>
                  <w:r>
                    <w:rPr>
                      <w:rFonts w:hint="default" w:ascii="Times New Roman" w:hAnsi="Times New Roman" w:eastAsia="宋体" w:cs="Times New Roman"/>
                      <w:color w:val="auto"/>
                      <w:kern w:val="24"/>
                      <w:position w:val="0"/>
                      <w:sz w:val="21"/>
                      <w:szCs w:val="21"/>
                      <w:highlight w:val="none"/>
                      <w:lang w:val="en-US" w:eastAsia="zh-CN" w:bidi="ar-SA"/>
                    </w:rPr>
                    <w:t>一般固体废</w:t>
                  </w:r>
                  <w:r>
                    <w:rPr>
                      <w:rFonts w:hint="eastAsia" w:ascii="Times New Roman" w:hAnsi="Times New Roman" w:eastAsia="宋体" w:cs="Times New Roman"/>
                      <w:color w:val="auto"/>
                      <w:kern w:val="24"/>
                      <w:position w:val="0"/>
                      <w:sz w:val="21"/>
                      <w:szCs w:val="21"/>
                      <w:highlight w:val="none"/>
                      <w:lang w:val="en-US" w:eastAsia="zh-CN" w:bidi="ar-SA"/>
                    </w:rPr>
                    <w:t>物</w:t>
                  </w:r>
                  <w:r>
                    <w:rPr>
                      <w:rFonts w:hint="default" w:ascii="Times New Roman" w:hAnsi="Times New Roman" w:eastAsia="宋体" w:cs="Times New Roman"/>
                      <w:color w:val="auto"/>
                      <w:kern w:val="2"/>
                      <w:sz w:val="21"/>
                      <w:szCs w:val="21"/>
                      <w:lang w:val="en-US" w:eastAsia="zh-CN"/>
                    </w:rPr>
                    <w:t>交专业公司回收处理</w:t>
                  </w:r>
                  <w:r>
                    <w:rPr>
                      <w:rFonts w:hint="eastAsia" w:ascii="Times New Roman" w:hAnsi="Times New Roman" w:eastAsia="宋体" w:cs="Times New Roman"/>
                      <w:color w:val="auto"/>
                      <w:kern w:val="2"/>
                      <w:sz w:val="21"/>
                      <w:szCs w:val="21"/>
                      <w:lang w:val="en-US" w:eastAsia="zh-CN"/>
                    </w:rPr>
                    <w:t>；</w:t>
                  </w:r>
                  <w:r>
                    <w:rPr>
                      <w:rFonts w:hint="default" w:ascii="Times New Roman" w:hAnsi="Times New Roman" w:cs="Times New Roman"/>
                      <w:color w:val="auto"/>
                      <w:sz w:val="21"/>
                      <w:szCs w:val="21"/>
                    </w:rPr>
                    <w:t>危险废物交有资质单位回收处置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1012"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rPr>
                  </w:pPr>
                </w:p>
              </w:tc>
              <w:tc>
                <w:tcPr>
                  <w:tcW w:w="127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废气措施</w:t>
                  </w:r>
                </w:p>
              </w:tc>
              <w:tc>
                <w:tcPr>
                  <w:tcW w:w="85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432" w:type="dxa"/>
                  <w:shd w:val="clear" w:color="auto" w:fill="auto"/>
                  <w:vAlign w:val="center"/>
                </w:tcPr>
                <w:p>
                  <w:pPr>
                    <w:widowControl w:val="0"/>
                    <w:spacing w:after="0" w:line="240" w:lineRule="auto"/>
                    <w:jc w:val="center"/>
                    <w:rPr>
                      <w:rFonts w:hint="eastAsia" w:ascii="Times New Roman" w:hAnsi="Times New Roman" w:eastAsia="宋体" w:cs="Times New Roman"/>
                      <w:color w:val="FF0000"/>
                      <w:sz w:val="21"/>
                      <w:szCs w:val="21"/>
                      <w:lang w:eastAsia="zh-CN"/>
                    </w:rPr>
                  </w:pPr>
                  <w:r>
                    <w:rPr>
                      <w:rFonts w:hint="eastAsia" w:ascii="Times New Roman" w:hAnsi="Times New Roman" w:eastAsia="宋体" w:cs="Times New Roman"/>
                      <w:color w:val="auto"/>
                      <w:kern w:val="24"/>
                      <w:sz w:val="21"/>
                      <w:szCs w:val="21"/>
                      <w:highlight w:val="none"/>
                      <w:lang w:val="en-US" w:eastAsia="zh-CN" w:bidi="ar-SA"/>
                    </w:rPr>
                    <w:t>开料、机加工工序：</w:t>
                  </w:r>
                  <w:r>
                    <w:rPr>
                      <w:rFonts w:hint="eastAsia" w:ascii="Times New Roman" w:hAnsi="Times New Roman" w:eastAsia="宋体" w:cs="Times New Roman"/>
                      <w:color w:val="auto"/>
                      <w:kern w:val="2"/>
                      <w:sz w:val="21"/>
                      <w:szCs w:val="21"/>
                      <w:highlight w:val="none"/>
                      <w:lang w:eastAsia="zh-CN"/>
                    </w:rPr>
                    <w:t>加强机械通风措施；</w:t>
                  </w:r>
                  <w:r>
                    <w:rPr>
                      <w:rFonts w:hint="eastAsia" w:ascii="Times New Roman" w:hAnsi="Times New Roman" w:eastAsia="宋体" w:cs="Times New Roman"/>
                      <w:color w:val="auto"/>
                      <w:kern w:val="2"/>
                      <w:sz w:val="21"/>
                      <w:szCs w:val="21"/>
                      <w:highlight w:val="none"/>
                      <w:lang w:val="en-US" w:eastAsia="zh-CN" w:bidi="ar-SA"/>
                    </w:rPr>
                    <w:t>红冲</w:t>
                  </w:r>
                  <w:r>
                    <w:rPr>
                      <w:rFonts w:ascii="Times New Roman" w:hAnsi="Times New Roman" w:eastAsia="宋体" w:cs="Times New Roman"/>
                      <w:color w:val="auto"/>
                      <w:kern w:val="2"/>
                      <w:sz w:val="21"/>
                      <w:szCs w:val="21"/>
                      <w:highlight w:val="none"/>
                      <w:lang w:val="en-US" w:eastAsia="zh-CN" w:bidi="ar-SA"/>
                    </w:rPr>
                    <w:t>工序</w:t>
                  </w:r>
                  <w:r>
                    <w:rPr>
                      <w:rFonts w:hint="eastAsia"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rPr>
                    <w:t>设置集气装置将废气进行收集后引至</w:t>
                  </w:r>
                  <w:r>
                    <w:rPr>
                      <w:rFonts w:hint="eastAsia" w:ascii="Times New Roman" w:hAnsi="宋体" w:eastAsia="宋体" w:cs="Times New Roman"/>
                      <w:color w:val="auto"/>
                      <w:kern w:val="2"/>
                      <w:sz w:val="21"/>
                      <w:szCs w:val="21"/>
                      <w:highlight w:val="none"/>
                      <w:lang w:eastAsia="zh-CN"/>
                    </w:rPr>
                    <w:t>水喷淋</w:t>
                  </w:r>
                  <w:r>
                    <w:rPr>
                      <w:rFonts w:hint="eastAsia" w:ascii="Times New Roman" w:hAnsi="宋体" w:eastAsia="宋体" w:cs="Times New Roman"/>
                      <w:color w:val="auto"/>
                      <w:kern w:val="2"/>
                      <w:sz w:val="21"/>
                      <w:szCs w:val="21"/>
                      <w:highlight w:val="none"/>
                      <w:lang w:val="en-US" w:eastAsia="zh-CN"/>
                    </w:rPr>
                    <w:t>+活性炭吸附装置</w:t>
                  </w:r>
                  <w:r>
                    <w:rPr>
                      <w:rFonts w:ascii="Times New Roman" w:hAnsi="Times New Roman" w:eastAsia="宋体" w:cs="Times New Roman"/>
                      <w:color w:val="auto"/>
                      <w:kern w:val="2"/>
                      <w:sz w:val="21"/>
                      <w:szCs w:val="21"/>
                      <w:highlight w:val="none"/>
                    </w:rPr>
                    <w:t>进行处理</w:t>
                  </w:r>
                  <w:r>
                    <w:rPr>
                      <w:rFonts w:hint="eastAsia" w:ascii="Times New Roman" w:hAnsi="Times New Roman" w:eastAsia="宋体" w:cs="Times New Roman"/>
                      <w:color w:val="auto"/>
                      <w:kern w:val="2"/>
                      <w:sz w:val="21"/>
                      <w:szCs w:val="21"/>
                      <w:highlight w:val="none"/>
                    </w:rPr>
                    <w:t>后高空排放</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4"/>
                      <w:sz w:val="21"/>
                      <w:szCs w:val="21"/>
                      <w:highlight w:val="none"/>
                    </w:rPr>
                    <w:t>燃料废气</w:t>
                  </w:r>
                  <w:r>
                    <w:rPr>
                      <w:rFonts w:hint="eastAsia" w:ascii="Times New Roman" w:hAnsi="Times New Roman" w:eastAsia="宋体" w:cs="Times New Roman"/>
                      <w:color w:val="auto"/>
                      <w:kern w:val="24"/>
                      <w:sz w:val="21"/>
                      <w:szCs w:val="21"/>
                      <w:highlight w:val="none"/>
                      <w:lang w:eastAsia="zh-CN"/>
                    </w:rPr>
                    <w:t>：</w:t>
                  </w:r>
                  <w:r>
                    <w:rPr>
                      <w:rFonts w:hint="eastAsia" w:ascii="宋体" w:hAnsi="宋体" w:eastAsia="宋体" w:cs="Times New Roman"/>
                      <w:color w:val="auto"/>
                      <w:kern w:val="2"/>
                      <w:sz w:val="21"/>
                      <w:szCs w:val="21"/>
                      <w:highlight w:val="none"/>
                    </w:rPr>
                    <w:t>设置</w:t>
                  </w:r>
                  <w:r>
                    <w:rPr>
                      <w:rFonts w:ascii="Times New Roman" w:hAnsi="宋体" w:eastAsia="宋体" w:cs="Times New Roman"/>
                      <w:color w:val="auto"/>
                      <w:kern w:val="2"/>
                      <w:sz w:val="21"/>
                      <w:szCs w:val="21"/>
                      <w:highlight w:val="none"/>
                    </w:rPr>
                    <w:t>集气装置收集后引至楼顶高空排放</w:t>
                  </w:r>
                  <w:r>
                    <w:rPr>
                      <w:rFonts w:hint="eastAsia" w:ascii="Times New Roman" w:hAnsi="宋体" w:eastAsia="宋体" w:cs="Times New Roman"/>
                      <w:color w:val="auto"/>
                      <w:kern w:val="2"/>
                      <w:sz w:val="21"/>
                      <w:szCs w:val="21"/>
                      <w:highlight w:val="none"/>
                      <w:lang w:eastAsia="zh-CN"/>
                    </w:rPr>
                    <w:t>；</w:t>
                  </w:r>
                  <w:r>
                    <w:rPr>
                      <w:rFonts w:ascii="Times New Roman" w:hAnsi="Times New Roman" w:eastAsia="宋体" w:cs="Times New Roman"/>
                      <w:color w:val="auto"/>
                      <w:kern w:val="2"/>
                      <w:sz w:val="21"/>
                      <w:szCs w:val="21"/>
                      <w:highlight w:val="none"/>
                      <w:lang w:val="en-US" w:eastAsia="zh-CN" w:bidi="ar-SA"/>
                    </w:rPr>
                    <w:t>抛光工序</w:t>
                  </w:r>
                  <w:r>
                    <w:rPr>
                      <w:rFonts w:hint="eastAsia" w:ascii="Times New Roman" w:hAnsi="Times New Roman" w:eastAsia="宋体" w:cs="Times New Roman"/>
                      <w:color w:val="auto"/>
                      <w:kern w:val="2"/>
                      <w:sz w:val="21"/>
                      <w:szCs w:val="21"/>
                      <w:highlight w:val="none"/>
                      <w:lang w:val="en-US" w:eastAsia="zh-CN" w:bidi="ar-SA"/>
                    </w:rPr>
                    <w:t>：</w:t>
                  </w:r>
                  <w:r>
                    <w:rPr>
                      <w:rFonts w:ascii="Times New Roman" w:hAnsi="Times New Roman" w:eastAsia="宋体" w:cs="Times New Roman"/>
                      <w:color w:val="auto"/>
                      <w:kern w:val="2"/>
                      <w:sz w:val="21"/>
                      <w:szCs w:val="21"/>
                      <w:highlight w:val="none"/>
                    </w:rPr>
                    <w:t>设置集气装置将粉尘收集后引至布袋除尘装置进行处理后高空排放</w:t>
                  </w:r>
                </w:p>
              </w:tc>
            </w:tr>
          </w:tbl>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2.2主要产品及年产量</w:t>
            </w:r>
          </w:p>
          <w:p>
            <w:pPr>
              <w:widowControl w:val="0"/>
              <w:spacing w:after="0" w:line="360" w:lineRule="auto"/>
              <w:ind w:firstLine="488" w:firstLineChars="200"/>
              <w:jc w:val="both"/>
              <w:textAlignment w:val="baseline"/>
              <w:rPr>
                <w:rFonts w:hint="default" w:ascii="Times New Roman" w:hAnsi="Times New Roman" w:cs="Times New Roman"/>
                <w:color w:val="auto"/>
                <w:spacing w:val="2"/>
              </w:rPr>
            </w:pPr>
            <w:r>
              <w:rPr>
                <w:rFonts w:hint="default" w:ascii="Times New Roman" w:hAnsi="Times New Roman" w:eastAsia="宋体" w:cs="Times New Roman"/>
                <w:color w:val="auto"/>
                <w:spacing w:val="2"/>
                <w:kern w:val="2"/>
                <w:sz w:val="24"/>
                <w:szCs w:val="20"/>
              </w:rPr>
              <w:t>本项目主要从事</w:t>
            </w:r>
            <w:r>
              <w:rPr>
                <w:rFonts w:hint="default" w:ascii="Times New Roman" w:hAnsi="Times New Roman" w:eastAsia="宋体" w:cs="Times New Roman"/>
                <w:color w:val="auto"/>
                <w:spacing w:val="2"/>
                <w:kern w:val="2"/>
                <w:sz w:val="24"/>
                <w:szCs w:val="20"/>
                <w:lang w:eastAsia="zh-CN"/>
              </w:rPr>
              <w:t>五金</w:t>
            </w:r>
            <w:r>
              <w:rPr>
                <w:rFonts w:hint="default" w:ascii="Times New Roman" w:hAnsi="Times New Roman" w:eastAsia="宋体" w:cs="Times New Roman"/>
                <w:color w:val="auto"/>
                <w:spacing w:val="2"/>
                <w:kern w:val="2"/>
                <w:sz w:val="24"/>
                <w:szCs w:val="20"/>
              </w:rPr>
              <w:t>卫浴配件的生产，不含磷化、喷漆等表面处理工艺，项目生产规模如下：</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项目生产规模一览表</w:t>
            </w:r>
          </w:p>
          <w:tbl>
            <w:tblPr>
              <w:tblStyle w:val="43"/>
              <w:tblW w:w="9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2265"/>
              <w:gridCol w:w="3688"/>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61" w:type="dxa"/>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5953" w:type="dxa"/>
                  <w:gridSpan w:val="2"/>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工程内容</w:t>
                  </w:r>
                </w:p>
              </w:tc>
              <w:tc>
                <w:tcPr>
                  <w:tcW w:w="2125" w:type="dxa"/>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161" w:type="dxa"/>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953" w:type="dxa"/>
                  <w:gridSpan w:val="2"/>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总投资（万元）</w:t>
                  </w:r>
                </w:p>
              </w:tc>
              <w:tc>
                <w:tcPr>
                  <w:tcW w:w="2125" w:type="dxa"/>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61" w:type="dxa"/>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5953" w:type="dxa"/>
                  <w:gridSpan w:val="2"/>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2125" w:type="dxa"/>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61" w:type="dxa"/>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5953" w:type="dxa"/>
                  <w:gridSpan w:val="2"/>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建筑面积（m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2125" w:type="dxa"/>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6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26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产品及方案</w:t>
                  </w:r>
                </w:p>
              </w:tc>
              <w:tc>
                <w:tcPr>
                  <w:tcW w:w="3688" w:type="dxa"/>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五金卫浴配件（</w:t>
                  </w:r>
                  <w:r>
                    <w:rPr>
                      <w:rFonts w:hint="default" w:ascii="Times New Roman" w:hAnsi="Times New Roman" w:eastAsia="宋体" w:cs="Times New Roman"/>
                      <w:color w:val="auto"/>
                      <w:sz w:val="21"/>
                      <w:szCs w:val="21"/>
                      <w:lang w:eastAsia="zh-CN"/>
                    </w:rPr>
                    <w:t>万套</w:t>
                  </w:r>
                  <w:r>
                    <w:rPr>
                      <w:rFonts w:hint="default" w:ascii="Times New Roman" w:hAnsi="Times New Roman" w:eastAsia="宋体" w:cs="Times New Roman"/>
                      <w:color w:val="auto"/>
                      <w:sz w:val="21"/>
                      <w:szCs w:val="21"/>
                    </w:rPr>
                    <w:t>/年）</w:t>
                  </w:r>
                </w:p>
              </w:tc>
              <w:tc>
                <w:tcPr>
                  <w:tcW w:w="212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44</w:t>
                  </w:r>
                </w:p>
              </w:tc>
            </w:tr>
          </w:tbl>
          <w:p>
            <w:pPr>
              <w:spacing w:line="240" w:lineRule="auto"/>
              <w:ind w:firstLine="422" w:firstLineChars="200"/>
              <w:rPr>
                <w:rFonts w:hint="default" w:ascii="Times New Roman" w:hAnsi="Times New Roman" w:cs="Times New Roman"/>
                <w:b/>
                <w:color w:val="auto"/>
                <w:sz w:val="21"/>
                <w:szCs w:val="21"/>
                <w:shd w:val="clear" w:color="auto" w:fill="auto"/>
                <w:lang w:val="en-US" w:eastAsia="zh-CN"/>
              </w:rPr>
            </w:pPr>
            <w:r>
              <w:rPr>
                <w:rFonts w:hint="default" w:ascii="Times New Roman" w:hAnsi="Times New Roman" w:cs="Times New Roman"/>
                <w:b/>
                <w:color w:val="auto"/>
                <w:sz w:val="21"/>
                <w:szCs w:val="21"/>
                <w:shd w:val="clear" w:color="auto" w:fill="auto"/>
                <w:lang w:eastAsia="zh-CN"/>
              </w:rPr>
              <w:t>说明：项目产品</w:t>
            </w:r>
            <w:r>
              <w:rPr>
                <w:rFonts w:hint="eastAsia" w:ascii="Times New Roman" w:hAnsi="Times New Roman" w:cs="Times New Roman"/>
                <w:b/>
                <w:color w:val="auto"/>
                <w:sz w:val="21"/>
                <w:szCs w:val="21"/>
                <w:shd w:val="clear" w:color="auto" w:fill="auto"/>
                <w:lang w:val="en-US" w:eastAsia="zh-CN"/>
              </w:rPr>
              <w:t>44</w:t>
            </w:r>
            <w:r>
              <w:rPr>
                <w:rFonts w:hint="default" w:ascii="Times New Roman" w:hAnsi="Times New Roman" w:cs="Times New Roman"/>
                <w:b/>
                <w:color w:val="auto"/>
                <w:sz w:val="21"/>
                <w:szCs w:val="21"/>
                <w:shd w:val="clear" w:color="auto" w:fill="auto"/>
                <w:lang w:val="en-US" w:eastAsia="zh-CN"/>
              </w:rPr>
              <w:t>万</w:t>
            </w:r>
            <w:r>
              <w:rPr>
                <w:rFonts w:hint="eastAsia" w:ascii="Times New Roman" w:hAnsi="Times New Roman" w:cs="Times New Roman"/>
                <w:b/>
                <w:color w:val="auto"/>
                <w:sz w:val="21"/>
                <w:szCs w:val="21"/>
                <w:shd w:val="clear" w:color="auto" w:fill="auto"/>
                <w:lang w:val="en-US" w:eastAsia="zh-CN"/>
              </w:rPr>
              <w:t>套</w:t>
            </w:r>
            <w:r>
              <w:rPr>
                <w:rFonts w:hint="default" w:ascii="Times New Roman" w:hAnsi="Times New Roman" w:cs="Times New Roman"/>
                <w:b/>
                <w:color w:val="auto"/>
                <w:sz w:val="21"/>
                <w:szCs w:val="21"/>
                <w:shd w:val="clear" w:color="auto" w:fill="auto"/>
                <w:lang w:val="en-US" w:eastAsia="zh-CN"/>
              </w:rPr>
              <w:t>/年，折合</w:t>
            </w:r>
            <w:r>
              <w:rPr>
                <w:rFonts w:hint="eastAsia" w:ascii="Times New Roman" w:hAnsi="Times New Roman" w:cs="Times New Roman"/>
                <w:b/>
                <w:color w:val="auto"/>
                <w:sz w:val="21"/>
                <w:szCs w:val="21"/>
                <w:shd w:val="clear" w:color="auto" w:fill="auto"/>
                <w:lang w:val="en-US" w:eastAsia="zh-CN"/>
              </w:rPr>
              <w:t>238</w:t>
            </w:r>
            <w:r>
              <w:rPr>
                <w:rFonts w:hint="default" w:ascii="Times New Roman" w:hAnsi="Times New Roman" w:cs="Times New Roman"/>
                <w:b/>
                <w:color w:val="auto"/>
                <w:sz w:val="21"/>
                <w:szCs w:val="21"/>
                <w:shd w:val="clear" w:color="auto" w:fill="auto"/>
                <w:lang w:val="en-US" w:eastAsia="zh-CN"/>
              </w:rPr>
              <w:t>吨/年。</w:t>
            </w:r>
          </w:p>
          <w:p>
            <w:pPr>
              <w:spacing w:line="24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项目物料平衡图如下：</w:t>
            </w:r>
          </w:p>
          <w:p>
            <w:pPr>
              <w:widowControl w:val="0"/>
              <w:spacing w:after="0" w:line="360" w:lineRule="auto"/>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bCs/>
                <w:color w:val="auto"/>
                <w:sz w:val="24"/>
                <w:highlight w:val="none"/>
              </w:rPr>
              <w:pict>
                <v:group id="画布 2251" o:spid="_x0000_s2086" o:spt="203" style="height:104.6pt;width:419.75pt;" coordorigin="1317,2834" coordsize="8395,2086" editas="canvas">
                  <o:lock v:ext="edit"/>
                  <v:shape id="画布 2251" o:spid="_x0000_s2087" o:spt="75" type="#_x0000_t75" style="position:absolute;left:1317;top:2834;height:2086;width:8395;" filled="f" stroked="f" coordsize="21600,21600">
                    <v:path/>
                    <v:fill on="f" focussize="0,0"/>
                    <v:stroke on="f" joinstyle="miter"/>
                    <v:imagedata o:title=""/>
                    <o:lock v:ext="edit" rotation="t" text="t" aspectratio="f"/>
                  </v:shape>
                  <v:shape id="文本框 2260" o:spid="_x0000_s2088" o:spt="202" type="#_x0000_t202" style="position:absolute;left:4633;top:2849;height:443;width:2048;" filled="f" stroked="f" coordsize="21600,21600">
                    <v:path/>
                    <v:fill on="f" focussize="0,0"/>
                    <v:stroke on="f"/>
                    <v:imagedata o:title=""/>
                    <o:lock v:ext="edit" aspectratio="f"/>
                    <v:textbox>
                      <w:txbxContent>
                        <w:p>
                          <w:pPr>
                            <w:jc w:val="center"/>
                            <w:rPr>
                              <w:rFonts w:hint="default" w:ascii="Times New Roman" w:hAnsi="Times New Roman" w:eastAsia="宋体" w:cs="Times New Roman"/>
                              <w:lang w:val="en-US" w:eastAsia="zh-CN"/>
                            </w:rPr>
                          </w:pPr>
                          <w:r>
                            <w:rPr>
                              <w:rFonts w:hint="default" w:ascii="Times New Roman" w:hAnsi="Times New Roman" w:cs="Times New Roman"/>
                              <w:lang w:eastAsia="zh-CN"/>
                            </w:rPr>
                            <w:t>进入固废</w:t>
                          </w:r>
                          <w:r>
                            <w:rPr>
                              <w:rFonts w:hint="eastAsia" w:ascii="Times New Roman" w:hAnsi="Times New Roman" w:cs="Times New Roman"/>
                              <w:lang w:val="en-US" w:eastAsia="zh-CN"/>
                            </w:rPr>
                            <w:t>12.225</w:t>
                          </w:r>
                          <w:r>
                            <w:rPr>
                              <w:rFonts w:hint="default" w:ascii="Times New Roman" w:hAnsi="Times New Roman" w:eastAsia="宋体" w:cs="Times New Roman"/>
                              <w:lang w:val="en-US" w:eastAsia="zh-CN"/>
                            </w:rPr>
                            <w:t>t/a</w:t>
                          </w:r>
                        </w:p>
                      </w:txbxContent>
                    </v:textbox>
                  </v:shape>
                  <v:shape id="文本框 2262" o:spid="_x0000_s2089" o:spt="202" type="#_x0000_t202" style="position:absolute;left:4937;top:3630;height:465;width:1441;"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全部工序</w:t>
                          </w:r>
                        </w:p>
                      </w:txbxContent>
                    </v:textbox>
                  </v:shape>
                  <v:shape id="自选图形 2700" o:spid="_x0000_s2090" o:spt="32" type="#_x0000_t32" style="position:absolute;left:4053;top:3880;height:6;width:886;" filled="f" stroked="t" coordsize="21600,21600">
                    <v:path arrowok="t"/>
                    <v:fill on="f" focussize="0,0"/>
                    <v:stroke weight="0.25pt" color="#000000" endarrow="block"/>
                    <v:imagedata o:title=""/>
                    <o:lock v:ext="edit" aspectratio="f"/>
                  </v:shape>
                  <v:shape id="自选图形 2700" o:spid="_x0000_s2091" o:spt="32" type="#_x0000_t32" style="position:absolute;left:6393;top:3888;flip:y;height:4;width:690;" filled="f" stroked="t" coordsize="21600,21600">
                    <v:path arrowok="t"/>
                    <v:fill on="f" focussize="0,0"/>
                    <v:stroke weight="0.25pt" color="#000000" endarrow="block"/>
                    <v:imagedata o:title=""/>
                    <o:lock v:ext="edit" aspectratio="f"/>
                  </v:shape>
                  <v:shape id="文本框 2265" o:spid="_x0000_s2092" o:spt="202" type="#_x0000_t202" style="position:absolute;left:6865;top:3688;height:440;width:2257;"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eastAsia="宋体"/>
                              <w:color w:val="auto"/>
                              <w:lang w:val="en-US" w:eastAsia="zh-CN"/>
                            </w:rPr>
                            <w:t>进入产品</w:t>
                          </w:r>
                          <w:r>
                            <w:rPr>
                              <w:rFonts w:hint="eastAsia"/>
                              <w:color w:val="auto"/>
                              <w:lang w:val="en-US" w:eastAsia="zh-CN"/>
                            </w:rPr>
                            <w:t>约</w:t>
                          </w:r>
                          <w:r>
                            <w:rPr>
                              <w:rFonts w:hint="eastAsia" w:ascii="Times New Roman" w:hAnsi="Times New Roman" w:cs="Times New Roman"/>
                              <w:lang w:val="en-US" w:eastAsia="zh-CN"/>
                            </w:rPr>
                            <w:t>238</w:t>
                          </w:r>
                          <w:r>
                            <w:rPr>
                              <w:rFonts w:hint="default" w:ascii="Times New Roman" w:hAnsi="Times New Roman" w:eastAsia="宋体" w:cs="Times New Roman"/>
                              <w:lang w:val="en-US" w:eastAsia="zh-CN"/>
                            </w:rPr>
                            <w:t>t/a</w:t>
                          </w:r>
                        </w:p>
                        <w:p>
                          <w:pPr>
                            <w:jc w:val="center"/>
                            <w:rPr>
                              <w:rFonts w:hint="eastAsia" w:eastAsia="宋体"/>
                              <w:color w:val="auto"/>
                              <w:lang w:val="en-US" w:eastAsia="zh-CN"/>
                            </w:rPr>
                          </w:pPr>
                        </w:p>
                      </w:txbxContent>
                    </v:textbox>
                  </v:shape>
                  <v:shape id="文本框 2258" o:spid="_x0000_s2093" o:spt="202" type="#_x0000_t202" style="position:absolute;left:2336;top:3596;height:607;width:1849;" filled="f" stroked="f" coordsize="21600,21600">
                    <v:path/>
                    <v:fill on="f" focussize="0,0"/>
                    <v:stroke on="f" weight="0.25pt"/>
                    <v:imagedata o:title=""/>
                    <o:lock v:ext="edit" aspectratio="f"/>
                    <v:textbox>
                      <w:txbxContent>
                        <w:p>
                          <w:pPr>
                            <w:jc w:val="center"/>
                            <w:rPr>
                              <w:rFonts w:hint="eastAsia"/>
                              <w:lang w:val="en-US" w:eastAsia="zh-CN"/>
                            </w:rPr>
                          </w:pPr>
                          <w:r>
                            <w:rPr>
                              <w:rFonts w:hint="eastAsia"/>
                              <w:color w:val="auto"/>
                              <w:sz w:val="21"/>
                              <w:szCs w:val="21"/>
                              <w:lang w:eastAsia="zh-CN"/>
                            </w:rPr>
                            <w:t>黄铜棒</w:t>
                          </w:r>
                          <w:r>
                            <w:rPr>
                              <w:rFonts w:hint="eastAsia" w:ascii="Times New Roman" w:hAnsi="Times New Roman" w:cs="Times New Roman"/>
                              <w:color w:val="auto"/>
                              <w:sz w:val="21"/>
                              <w:szCs w:val="21"/>
                              <w:lang w:val="en-US" w:eastAsia="zh-CN"/>
                            </w:rPr>
                            <w:t>250</w:t>
                          </w:r>
                          <w:r>
                            <w:rPr>
                              <w:rFonts w:hint="default" w:ascii="Times New Roman" w:hAnsi="Times New Roman" w:eastAsia="宋体" w:cs="Times New Roman"/>
                              <w:lang w:val="en-US" w:eastAsia="zh-CN"/>
                            </w:rPr>
                            <w:t>t/a</w:t>
                          </w:r>
                        </w:p>
                        <w:p>
                          <w:pPr>
                            <w:jc w:val="center"/>
                            <w:rPr>
                              <w:rFonts w:hint="default" w:ascii="Times New Roman" w:hAnsi="Times New Roman" w:cs="Times New Roman"/>
                              <w:sz w:val="21"/>
                              <w:szCs w:val="21"/>
                              <w:lang w:val="en-US" w:eastAsia="zh-CN"/>
                            </w:rPr>
                          </w:pPr>
                          <w:r>
                            <w:rPr>
                              <w:rFonts w:hint="eastAsia" w:cs="Times New Roman"/>
                              <w:color w:val="auto"/>
                              <w:sz w:val="21"/>
                              <w:szCs w:val="21"/>
                              <w:lang w:val="en-US" w:eastAsia="zh-CN"/>
                            </w:rPr>
                            <w:t>铜带15</w:t>
                          </w:r>
                          <w:r>
                            <w:rPr>
                              <w:rFonts w:hint="eastAsia" w:ascii="Times New Roman" w:hAnsi="Times New Roman" w:cs="Times New Roman"/>
                              <w:color w:val="auto"/>
                              <w:sz w:val="21"/>
                              <w:szCs w:val="21"/>
                              <w:lang w:val="en-US" w:eastAsia="zh-CN"/>
                            </w:rPr>
                            <w:t>t/a</w:t>
                          </w:r>
                        </w:p>
                      </w:txbxContent>
                    </v:textbox>
                  </v:shape>
                  <v:shape id="文本框 2258" o:spid="_x0000_s2094" o:spt="202" type="#_x0000_t202" style="position:absolute;left:3790;top:3491;height:459;width:1290;" filled="f" stroked="f" coordsize="21600,21600">
                    <v:path/>
                    <v:fill on="f" focussize="0,0"/>
                    <v:stroke on="f" weight="0.25pt"/>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 xml:space="preserve">250 </w:t>
                          </w:r>
                          <w:r>
                            <w:rPr>
                              <w:rFonts w:hint="default" w:ascii="Times New Roman" w:hAnsi="Times New Roman" w:eastAsia="宋体" w:cs="Times New Roman"/>
                              <w:lang w:val="en-US" w:eastAsia="zh-CN"/>
                            </w:rPr>
                            <w:t>t/a</w:t>
                          </w:r>
                        </w:p>
                      </w:txbxContent>
                    </v:textbox>
                  </v:shape>
                  <v:shape id="自选图形 2700" o:spid="_x0000_s2095" o:spt="32" type="#_x0000_t32" style="position:absolute;left:5642;top:4109;height:482;width:1;" filled="f" stroked="t" coordsize="21600,21600">
                    <v:path arrowok="t"/>
                    <v:fill on="f" focussize="0,0"/>
                    <v:stroke weight="0.25pt" color="#000000" endarrow="block"/>
                    <v:imagedata o:title=""/>
                    <o:lock v:ext="edit" aspectratio="f"/>
                  </v:shape>
                  <v:shape id="文本框 2265" o:spid="_x0000_s2096" o:spt="202" type="#_x0000_t202" style="position:absolute;left:4690;top:4524;height:439;width:2100;"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eastAsia="宋体"/>
                              <w:color w:val="auto"/>
                              <w:lang w:val="en-US" w:eastAsia="zh-CN"/>
                            </w:rPr>
                            <w:t>进入大气</w:t>
                          </w:r>
                          <w:r>
                            <w:rPr>
                              <w:rFonts w:hint="eastAsia" w:ascii="Times New Roman" w:hAnsi="Times New Roman" w:cs="Times New Roman"/>
                              <w:color w:val="auto"/>
                              <w:lang w:val="en-US" w:eastAsia="zh-CN"/>
                            </w:rPr>
                            <w:t>0.104</w:t>
                          </w:r>
                          <w:r>
                            <w:rPr>
                              <w:rFonts w:hint="default" w:ascii="Times New Roman" w:hAnsi="Times New Roman" w:eastAsia="宋体" w:cs="Times New Roman"/>
                              <w:color w:val="auto"/>
                              <w:lang w:val="en-US" w:eastAsia="zh-CN"/>
                            </w:rPr>
                            <w:t>t/a</w:t>
                          </w:r>
                        </w:p>
                        <w:p>
                          <w:pPr>
                            <w:jc w:val="center"/>
                            <w:rPr>
                              <w:rFonts w:hint="eastAsia" w:eastAsia="宋体"/>
                              <w:color w:val="auto"/>
                              <w:lang w:val="en-US" w:eastAsia="zh-CN"/>
                            </w:rPr>
                          </w:pPr>
                        </w:p>
                      </w:txbxContent>
                    </v:textbox>
                  </v:shape>
                  <v:shape id="自选图形 2700" o:spid="_x0000_s2097" o:spt="32" type="#_x0000_t32" style="position:absolute;left:5628;top:3185;flip:y;height:442;width:0;" filled="f" stroked="t" coordsize="21600,21600">
                    <v:path arrowok="t"/>
                    <v:fill on="f" focussize="0,0"/>
                    <v:stroke weight="0.25pt" color="#000000" endarrow="block"/>
                    <v:imagedata o:title=""/>
                    <o:lock v:ext="edit" aspectratio="f"/>
                  </v:shape>
                  <w10:wrap type="none"/>
                  <w10:anchorlock/>
                </v:group>
              </w:pic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项目</w:t>
            </w:r>
            <w:r>
              <w:rPr>
                <w:rFonts w:hint="default" w:ascii="Times New Roman" w:hAnsi="Times New Roman" w:eastAsia="宋体" w:cs="Times New Roman"/>
                <w:b/>
                <w:color w:val="auto"/>
                <w:sz w:val="21"/>
                <w:szCs w:val="21"/>
                <w:shd w:val="clear" w:color="auto" w:fill="auto"/>
                <w:lang w:eastAsia="zh-CN"/>
              </w:rPr>
              <w:t>产品详细</w:t>
            </w:r>
            <w:r>
              <w:rPr>
                <w:rFonts w:hint="default" w:ascii="Times New Roman" w:hAnsi="Times New Roman" w:eastAsia="宋体" w:cs="Times New Roman"/>
                <w:b/>
                <w:color w:val="auto"/>
                <w:sz w:val="21"/>
                <w:szCs w:val="21"/>
                <w:shd w:val="clear" w:color="auto" w:fill="auto"/>
              </w:rPr>
              <w:t>一览表</w:t>
            </w:r>
          </w:p>
          <w:tbl>
            <w:tblPr>
              <w:tblStyle w:val="44"/>
              <w:tblW w:w="9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1"/>
              <w:gridCol w:w="2805"/>
              <w:gridCol w:w="3990"/>
              <w:gridCol w:w="885"/>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805"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产品名称</w:t>
                  </w:r>
                </w:p>
              </w:tc>
              <w:tc>
                <w:tcPr>
                  <w:tcW w:w="3990"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型号或规格</w:t>
                  </w:r>
                </w:p>
              </w:tc>
              <w:tc>
                <w:tcPr>
                  <w:tcW w:w="885"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945"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面盆龙头</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8B001</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8A012</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8A008</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钻石</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瀑布</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6"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菜盆龙头</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8B002</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8A005</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8A017</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瀑布菜盆</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6"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淋浴主体</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8B003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8C006</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8C005</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6"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三通组件</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轻三通、小三通、重三通</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691" w:type="dxa"/>
                  <w:vAlign w:val="center"/>
                </w:tcPr>
                <w:p>
                  <w:pPr>
                    <w:widowControl w:val="0"/>
                    <w:spacing w:after="0"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5</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龙头组件</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抽拉龙头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菜盆龙头</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A3321301、3623601、P104-2.P104-3、龙头组件、抽拉组件、1004、005、2003抽拉</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1" w:hRule="atLeast"/>
                <w:jc w:val="center"/>
              </w:trPr>
              <w:tc>
                <w:tcPr>
                  <w:tcW w:w="691" w:type="dxa"/>
                  <w:vAlign w:val="center"/>
                </w:tcPr>
                <w:p>
                  <w:pPr>
                    <w:widowControl w:val="0"/>
                    <w:spacing w:after="0"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6</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暗装阀体</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两功能暗装、三功能暗装</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元宝</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接头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回转芯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连体阀芯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322铜座</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603U系列等</w:t>
                  </w:r>
                </w:p>
              </w:tc>
              <w:tc>
                <w:tcPr>
                  <w:tcW w:w="3990"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85"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套</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6" w:hRule="atLeast"/>
                <w:jc w:val="center"/>
              </w:trPr>
              <w:tc>
                <w:tcPr>
                  <w:tcW w:w="69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280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代加工</w:t>
                  </w:r>
                </w:p>
              </w:tc>
              <w:tc>
                <w:tcPr>
                  <w:tcW w:w="3990" w:type="dxa"/>
                  <w:vAlign w:val="center"/>
                </w:tcPr>
                <w:p>
                  <w:pPr>
                    <w:widowControl w:val="0"/>
                    <w:spacing w:after="0"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红冲产品</w:t>
                  </w:r>
                </w:p>
              </w:tc>
              <w:tc>
                <w:tcPr>
                  <w:tcW w:w="885" w:type="dxa"/>
                  <w:vAlign w:val="center"/>
                </w:tcPr>
                <w:p>
                  <w:pPr>
                    <w:widowControl w:val="0"/>
                    <w:spacing w:after="0"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吨</w:t>
                  </w:r>
                </w:p>
              </w:tc>
              <w:tc>
                <w:tcPr>
                  <w:tcW w:w="945"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600</w:t>
                  </w:r>
                </w:p>
              </w:tc>
            </w:tr>
          </w:tbl>
          <w:p>
            <w:pPr>
              <w:widowControl w:val="0"/>
              <w:spacing w:after="0" w:line="360" w:lineRule="auto"/>
              <w:ind w:right="170" w:firstLine="472" w:firstLineChars="196"/>
              <w:jc w:val="both"/>
              <w:rPr>
                <w:rFonts w:hint="default" w:ascii="Times New Roman" w:hAnsi="Times New Roman" w:eastAsia="宋体" w:cs="Times New Roman"/>
                <w:b/>
                <w:color w:val="FF0000"/>
                <w:kern w:val="2"/>
                <w:sz w:val="24"/>
              </w:rPr>
            </w:pPr>
            <w:r>
              <w:rPr>
                <w:rFonts w:hint="default" w:ascii="Times New Roman" w:hAnsi="Times New Roman" w:eastAsia="宋体" w:cs="Times New Roman"/>
                <w:b/>
                <w:color w:val="auto"/>
                <w:kern w:val="2"/>
                <w:sz w:val="24"/>
              </w:rPr>
              <w:t>2.3项目生产设备</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项目主要生产设备情况见下表：</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项目主要生产设备一览表</w:t>
            </w:r>
          </w:p>
          <w:tbl>
            <w:tblPr>
              <w:tblStyle w:val="43"/>
              <w:tblW w:w="90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2951"/>
              <w:gridCol w:w="1687"/>
              <w:gridCol w:w="1181"/>
              <w:gridCol w:w="1418"/>
              <w:gridCol w:w="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951"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1687"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规格型号</w:t>
                  </w:r>
                </w:p>
              </w:tc>
              <w:tc>
                <w:tcPr>
                  <w:tcW w:w="1181" w:type="dxa"/>
                  <w:vAlign w:val="center"/>
                </w:tcPr>
                <w:p>
                  <w:pPr>
                    <w:widowControl w:val="0"/>
                    <w:spacing w:after="0"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数量</w:t>
                  </w:r>
                  <w:r>
                    <w:rPr>
                      <w:rFonts w:hint="default" w:ascii="Times New Roman" w:hAnsi="Times New Roman" w:eastAsia="宋体" w:cs="Times New Roman"/>
                      <w:b/>
                      <w:bCs/>
                      <w:color w:val="auto"/>
                      <w:sz w:val="21"/>
                      <w:szCs w:val="21"/>
                      <w:lang w:val="en-US" w:eastAsia="zh-CN"/>
                    </w:rPr>
                    <w:t>/台</w:t>
                  </w:r>
                </w:p>
              </w:tc>
              <w:tc>
                <w:tcPr>
                  <w:tcW w:w="1418" w:type="dxa"/>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工序/用途</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切割机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418" w:type="dxa"/>
                  <w:vMerge w:val="restart"/>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切割</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自动切割机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LW-1550B</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lang w:val="en-US"/>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热</w:t>
                  </w:r>
                  <w:r>
                    <w:rPr>
                      <w:rFonts w:hint="default" w:ascii="Times New Roman" w:hAnsi="Times New Roman" w:eastAsia="宋体" w:cs="Times New Roman"/>
                      <w:color w:val="auto"/>
                      <w:sz w:val="21"/>
                      <w:szCs w:val="21"/>
                    </w:rPr>
                    <w:t>冲床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J53-400D</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418"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红冲</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加工中心</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w:t>
                  </w:r>
                </w:p>
              </w:tc>
              <w:tc>
                <w:tcPr>
                  <w:tcW w:w="1418" w:type="dxa"/>
                  <w:vMerge w:val="restart"/>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机加工</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台式单头钻</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ZS4116</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铣床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仪表</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CJ0632A</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双轴复合机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YD-700</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卧式铣床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X1514</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台式砂轮机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S3ST-250</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数控车床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CK6146</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冷冲床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kern w:val="2"/>
                      <w:sz w:val="21"/>
                      <w:szCs w:val="21"/>
                      <w:lang w:val="en-US" w:eastAsia="zh-CN" w:bidi="ar-SA"/>
                    </w:rPr>
                    <w:t>2</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八轴机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kern w:val="2"/>
                      <w:sz w:val="21"/>
                      <w:szCs w:val="21"/>
                      <w:lang w:val="en-US" w:eastAsia="zh-CN" w:bidi="ar-SA"/>
                    </w:rPr>
                    <w:t>2</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氧气焊</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sz w:val="21"/>
                      <w:szCs w:val="21"/>
                      <w:lang w:val="en-US" w:eastAsia="zh-CN"/>
                    </w:rPr>
                    <w:t>1</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抛光机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rPr>
                    <w:t>7</w:t>
                  </w:r>
                </w:p>
              </w:tc>
              <w:tc>
                <w:tcPr>
                  <w:tcW w:w="1418"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抛光</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安装传送带</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p>
              </w:tc>
              <w:tc>
                <w:tcPr>
                  <w:tcW w:w="1418"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组装</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试水机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418"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测试</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自动打包机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p>
              </w:tc>
              <w:tc>
                <w:tcPr>
                  <w:tcW w:w="1418"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包装</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空压机</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kern w:val="2"/>
                      <w:sz w:val="21"/>
                      <w:szCs w:val="21"/>
                      <w:lang w:val="en-US" w:eastAsia="zh-CN" w:bidi="ar-SA"/>
                    </w:rPr>
                    <w:t>2</w:t>
                  </w:r>
                </w:p>
              </w:tc>
              <w:tc>
                <w:tcPr>
                  <w:tcW w:w="1418" w:type="dxa"/>
                  <w:vMerge w:val="restart"/>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辅助设备</w:t>
                  </w: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w:t>
                  </w:r>
                </w:p>
              </w:tc>
              <w:tc>
                <w:tcPr>
                  <w:tcW w:w="2951" w:type="dxa"/>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空压机配套气罐</w:t>
                  </w:r>
                </w:p>
              </w:tc>
              <w:tc>
                <w:tcPr>
                  <w:tcW w:w="1687"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81" w:type="dxa"/>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kern w:val="2"/>
                      <w:sz w:val="21"/>
                      <w:szCs w:val="21"/>
                      <w:lang w:val="en-US" w:eastAsia="zh-CN" w:bidi="ar-SA"/>
                    </w:rPr>
                    <w:t>4</w:t>
                  </w:r>
                </w:p>
              </w:tc>
              <w:tc>
                <w:tcPr>
                  <w:tcW w:w="1418" w:type="dxa"/>
                  <w:vMerge w:val="continue"/>
                  <w:vAlign w:val="center"/>
                </w:tcPr>
                <w:p>
                  <w:pPr>
                    <w:widowControl w:val="0"/>
                    <w:spacing w:after="0" w:line="240" w:lineRule="auto"/>
                    <w:jc w:val="center"/>
                    <w:rPr>
                      <w:rFonts w:hint="default" w:ascii="Times New Roman" w:hAnsi="Times New Roman" w:eastAsia="宋体" w:cs="Times New Roman"/>
                      <w:color w:val="auto"/>
                      <w:sz w:val="21"/>
                      <w:szCs w:val="21"/>
                    </w:rPr>
                  </w:pPr>
                </w:p>
              </w:tc>
              <w:tc>
                <w:tcPr>
                  <w:tcW w:w="77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bl>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2.4项目原辅材料</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本项目主要原辅材料详见下表：</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项目主要原辅材料一览表</w:t>
            </w:r>
          </w:p>
          <w:tbl>
            <w:tblPr>
              <w:tblStyle w:val="43"/>
              <w:tblW w:w="90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28"/>
              <w:gridCol w:w="1436"/>
              <w:gridCol w:w="933"/>
              <w:gridCol w:w="806"/>
              <w:gridCol w:w="1710"/>
              <w:gridCol w:w="3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数量</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型号</w:t>
                  </w:r>
                </w:p>
              </w:tc>
              <w:tc>
                <w:tcPr>
                  <w:tcW w:w="340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黄铜棒</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吨</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50</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Ø</w:t>
                  </w:r>
                  <w:r>
                    <w:rPr>
                      <w:rFonts w:hint="eastAsia" w:ascii="Times New Roman" w:hAnsi="Times New Roman" w:eastAsia="宋体" w:cs="Times New Roman"/>
                      <w:color w:val="auto"/>
                      <w:sz w:val="21"/>
                      <w:szCs w:val="21"/>
                      <w:lang w:val="en-US" w:eastAsia="zh-CN"/>
                    </w:rPr>
                    <w:t>20</w:t>
                  </w:r>
                  <w:r>
                    <w:rPr>
                      <w:rFonts w:hint="default" w:ascii="Times New Roman" w:hAnsi="Times New Roman" w:eastAsia="宋体" w:cs="Times New Roman"/>
                      <w:color w:val="auto"/>
                      <w:sz w:val="21"/>
                      <w:szCs w:val="21"/>
                    </w:rPr>
                    <w:t>~ø70（2.5m/条）</w:t>
                  </w:r>
                </w:p>
              </w:tc>
              <w:tc>
                <w:tcPr>
                  <w:tcW w:w="340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外购</w:t>
                  </w:r>
                  <w:r>
                    <w:rPr>
                      <w:rFonts w:hint="default" w:ascii="Times New Roman" w:hAnsi="Times New Roman" w:eastAsia="宋体" w:cs="Times New Roman"/>
                      <w:color w:val="auto"/>
                      <w:sz w:val="21"/>
                      <w:szCs w:val="21"/>
                      <w:lang w:eastAsia="zh-CN"/>
                    </w:rPr>
                    <w:t>，产品原料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黄铜棒</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吨</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600</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Ø</w:t>
                  </w:r>
                  <w:r>
                    <w:rPr>
                      <w:rFonts w:hint="default" w:ascii="Times New Roman" w:hAnsi="Times New Roman" w:eastAsia="宋体" w:cs="Times New Roman"/>
                      <w:color w:val="auto"/>
                      <w:sz w:val="21"/>
                      <w:szCs w:val="21"/>
                      <w:lang w:val="en-US" w:eastAsia="zh-CN"/>
                    </w:rPr>
                    <w:t>16</w:t>
                  </w:r>
                  <w:r>
                    <w:rPr>
                      <w:rFonts w:hint="default" w:ascii="Times New Roman" w:hAnsi="Times New Roman" w:eastAsia="宋体" w:cs="Times New Roman"/>
                      <w:color w:val="auto"/>
                      <w:sz w:val="21"/>
                      <w:szCs w:val="21"/>
                    </w:rPr>
                    <w:t>~ø70（2.5m/条）</w:t>
                  </w:r>
                </w:p>
              </w:tc>
              <w:tc>
                <w:tcPr>
                  <w:tcW w:w="3407" w:type="dxa"/>
                  <w:shd w:val="clear" w:color="auto" w:fill="auto"/>
                  <w:vAlign w:val="center"/>
                </w:tcPr>
                <w:p>
                  <w:pPr>
                    <w:widowControl w:val="0"/>
                    <w:spacing w:after="0"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客户提供，代加工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钢材</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吨</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H13、SKD、#45</w:t>
                  </w:r>
                </w:p>
              </w:tc>
              <w:tc>
                <w:tcPr>
                  <w:tcW w:w="3407" w:type="dxa"/>
                  <w:shd w:val="clear" w:color="auto" w:fill="auto"/>
                  <w:vAlign w:val="center"/>
                </w:tcPr>
                <w:p>
                  <w:pPr>
                    <w:widowControl w:val="0"/>
                    <w:spacing w:after="0" w:line="240" w:lineRule="auto"/>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auto"/>
                      <w:sz w:val="21"/>
                      <w:szCs w:val="21"/>
                    </w:rPr>
                    <w:t>外购</w:t>
                  </w:r>
                  <w:r>
                    <w:rPr>
                      <w:rFonts w:hint="default" w:ascii="Times New Roman" w:hAnsi="Times New Roman" w:eastAsia="宋体" w:cs="Times New Roman"/>
                      <w:color w:val="auto"/>
                      <w:sz w:val="21"/>
                      <w:szCs w:val="21"/>
                      <w:lang w:eastAsia="zh-CN"/>
                    </w:rPr>
                    <w:t>，模具原料</w:t>
                  </w:r>
                  <w:r>
                    <w:rPr>
                      <w:rFonts w:hint="eastAsia" w:ascii="Times New Roman" w:hAnsi="Times New Roman" w:eastAsia="宋体" w:cs="Times New Roman"/>
                      <w:color w:val="auto"/>
                      <w:sz w:val="21"/>
                      <w:szCs w:val="21"/>
                      <w:lang w:eastAsia="zh-CN"/>
                    </w:rPr>
                    <w:t>，外发加工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3"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润滑油</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吨</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5</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0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外购</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用于</w:t>
                  </w:r>
                  <w:r>
                    <w:rPr>
                      <w:rFonts w:hint="eastAsia" w:ascii="Times New Roman" w:hAnsi="Times New Roman" w:eastAsia="宋体" w:cs="Times New Roman"/>
                      <w:color w:val="auto"/>
                      <w:sz w:val="21"/>
                      <w:szCs w:val="21"/>
                      <w:lang w:val="en-US" w:eastAsia="zh-CN"/>
                    </w:rPr>
                    <w:t>设备内部机件润滑</w:t>
                  </w: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吨、红冲</w:t>
                  </w:r>
                  <w:r>
                    <w:rPr>
                      <w:rFonts w:hint="eastAsia" w:ascii="Times New Roman" w:hAnsi="Times New Roman" w:eastAsia="宋体" w:cs="Times New Roman"/>
                      <w:color w:val="auto"/>
                      <w:sz w:val="21"/>
                      <w:szCs w:val="21"/>
                      <w:lang w:val="en-US" w:eastAsia="zh-CN"/>
                    </w:rPr>
                    <w:t>0.2</w:t>
                  </w:r>
                  <w:r>
                    <w:rPr>
                      <w:rFonts w:hint="default" w:ascii="Times New Roman" w:hAnsi="Times New Roman" w:eastAsia="宋体" w:cs="Times New Roman"/>
                      <w:color w:val="auto"/>
                      <w:sz w:val="21"/>
                      <w:szCs w:val="21"/>
                      <w:lang w:val="en-US" w:eastAsia="zh-CN"/>
                    </w:rPr>
                    <w:t>吨</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highlight w:val="none"/>
                    </w:rPr>
                    <w:t>最大储存量</w:t>
                  </w: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乳化液</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吨</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0.35</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0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外购，用于</w:t>
                  </w:r>
                  <w:r>
                    <w:rPr>
                      <w:rFonts w:hint="default" w:ascii="Times New Roman" w:hAnsi="Times New Roman" w:eastAsia="宋体" w:cs="Times New Roman"/>
                      <w:color w:val="auto"/>
                      <w:sz w:val="21"/>
                      <w:szCs w:val="21"/>
                      <w:lang w:eastAsia="zh-CN"/>
                    </w:rPr>
                    <w:t>加工中心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728"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43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管道天然气</w:t>
                  </w:r>
                </w:p>
              </w:tc>
              <w:tc>
                <w:tcPr>
                  <w:tcW w:w="933"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立方米</w:t>
                  </w:r>
                </w:p>
              </w:tc>
              <w:tc>
                <w:tcPr>
                  <w:tcW w:w="806"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50000</w:t>
                  </w:r>
                </w:p>
              </w:tc>
              <w:tc>
                <w:tcPr>
                  <w:tcW w:w="1710"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407" w:type="dxa"/>
                  <w:shd w:val="clear" w:color="auto" w:fill="auto"/>
                  <w:vAlign w:val="center"/>
                </w:tcPr>
                <w:p>
                  <w:pPr>
                    <w:widowControl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红冲燃料，外购</w:t>
                  </w:r>
                </w:p>
              </w:tc>
            </w:tr>
          </w:tbl>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2.5公用工程</w:t>
            </w:r>
          </w:p>
          <w:p>
            <w:pPr>
              <w:spacing w:after="0" w:line="360" w:lineRule="auto"/>
              <w:ind w:right="170" w:firstLine="472" w:firstLineChars="196"/>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1、给水</w:t>
            </w:r>
          </w:p>
          <w:p>
            <w:pPr>
              <w:widowControl w:val="0"/>
              <w:spacing w:after="0" w:line="360" w:lineRule="auto"/>
              <w:ind w:firstLine="488" w:firstLineChars="200"/>
              <w:jc w:val="both"/>
              <w:textAlignment w:val="baseline"/>
              <w:rPr>
                <w:rFonts w:hint="default" w:ascii="Times New Roman" w:hAnsi="Times New Roman" w:eastAsia="宋体" w:cs="Times New Roman"/>
                <w:color w:val="FF0000"/>
                <w:spacing w:val="2"/>
                <w:kern w:val="2"/>
                <w:sz w:val="24"/>
                <w:szCs w:val="20"/>
              </w:rPr>
            </w:pPr>
            <w:r>
              <w:rPr>
                <w:rFonts w:hint="default" w:ascii="Times New Roman" w:hAnsi="Times New Roman" w:eastAsia="宋体" w:cs="Times New Roman"/>
                <w:color w:val="auto"/>
                <w:spacing w:val="2"/>
                <w:kern w:val="2"/>
                <w:sz w:val="24"/>
                <w:szCs w:val="20"/>
              </w:rPr>
              <w:t>本项目用水由市政供水管网提供。项目主要用水为员工办公生活用水、</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w:t>
            </w:r>
            <w:r>
              <w:rPr>
                <w:rFonts w:hint="eastAsia" w:ascii="Times New Roman" w:hAnsi="Times New Roman" w:eastAsia="宋体" w:cs="Times New Roman"/>
                <w:color w:val="auto"/>
                <w:spacing w:val="2"/>
                <w:kern w:val="2"/>
                <w:sz w:val="24"/>
                <w:szCs w:val="20"/>
                <w:lang w:eastAsia="zh-CN"/>
              </w:rPr>
              <w:t>喷淋用水</w:t>
            </w:r>
            <w:r>
              <w:rPr>
                <w:rFonts w:hint="default" w:ascii="Times New Roman" w:hAnsi="Times New Roman" w:eastAsia="宋体" w:cs="Times New Roman"/>
                <w:color w:val="auto"/>
                <w:spacing w:val="2"/>
                <w:kern w:val="2"/>
                <w:sz w:val="24"/>
                <w:szCs w:val="20"/>
              </w:rPr>
              <w:t>。其中生活用水量为1.28m</w:t>
            </w:r>
            <w:r>
              <w:rPr>
                <w:rFonts w:hint="default" w:ascii="Times New Roman" w:hAnsi="Times New Roman" w:eastAsia="宋体" w:cs="Times New Roman"/>
                <w:color w:val="auto"/>
                <w:spacing w:val="2"/>
                <w:kern w:val="2"/>
                <w:sz w:val="24"/>
                <w:szCs w:val="20"/>
                <w:vertAlign w:val="superscript"/>
              </w:rPr>
              <w:t>3</w:t>
            </w:r>
            <w:r>
              <w:rPr>
                <w:rFonts w:hint="default" w:ascii="Times New Roman" w:hAnsi="Times New Roman" w:eastAsia="宋体" w:cs="Times New Roman"/>
                <w:color w:val="auto"/>
                <w:spacing w:val="2"/>
                <w:kern w:val="2"/>
                <w:sz w:val="24"/>
                <w:szCs w:val="20"/>
              </w:rPr>
              <w:t>/d，</w:t>
            </w:r>
            <w:r>
              <w:rPr>
                <w:rFonts w:hint="eastAsia" w:ascii="Times New Roman" w:hAnsi="Times New Roman" w:eastAsia="宋体" w:cs="Times New Roman"/>
                <w:color w:val="auto"/>
                <w:spacing w:val="2"/>
                <w:kern w:val="2"/>
                <w:sz w:val="24"/>
                <w:szCs w:val="20"/>
                <w:lang w:val="en-US" w:eastAsia="zh-CN"/>
              </w:rPr>
              <w:t>384</w:t>
            </w:r>
            <w:r>
              <w:rPr>
                <w:rFonts w:hint="default" w:ascii="Times New Roman" w:hAnsi="Times New Roman" w:eastAsia="宋体" w:cs="Times New Roman"/>
                <w:color w:val="auto"/>
                <w:spacing w:val="2"/>
                <w:kern w:val="2"/>
                <w:sz w:val="24"/>
                <w:szCs w:val="20"/>
              </w:rPr>
              <w:t>m</w:t>
            </w:r>
            <w:r>
              <w:rPr>
                <w:rFonts w:hint="default" w:ascii="Times New Roman" w:hAnsi="Times New Roman" w:eastAsia="宋体" w:cs="Times New Roman"/>
                <w:color w:val="auto"/>
                <w:spacing w:val="2"/>
                <w:kern w:val="2"/>
                <w:sz w:val="24"/>
                <w:szCs w:val="20"/>
                <w:vertAlign w:val="superscript"/>
              </w:rPr>
              <w:t>3</w:t>
            </w:r>
            <w:r>
              <w:rPr>
                <w:rFonts w:hint="default" w:ascii="Times New Roman" w:hAnsi="Times New Roman" w:eastAsia="宋体" w:cs="Times New Roman"/>
                <w:color w:val="auto"/>
                <w:spacing w:val="2"/>
                <w:kern w:val="2"/>
                <w:sz w:val="24"/>
                <w:szCs w:val="20"/>
              </w:rPr>
              <w:t>/a，</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年用量约为</w:t>
            </w:r>
            <w:r>
              <w:rPr>
                <w:rFonts w:hint="eastAsia" w:ascii="Times New Roman" w:hAnsi="Times New Roman" w:eastAsia="宋体" w:cs="Times New Roman"/>
                <w:color w:val="auto"/>
                <w:spacing w:val="2"/>
                <w:kern w:val="2"/>
                <w:sz w:val="24"/>
                <w:szCs w:val="20"/>
                <w:lang w:val="en-US" w:eastAsia="zh-CN"/>
              </w:rPr>
              <w:t>150</w:t>
            </w:r>
            <w:r>
              <w:rPr>
                <w:rFonts w:hint="default" w:ascii="Times New Roman" w:hAnsi="Times New Roman" w:eastAsia="宋体" w:cs="Times New Roman"/>
                <w:color w:val="auto"/>
                <w:spacing w:val="2"/>
                <w:kern w:val="2"/>
                <w:sz w:val="24"/>
                <w:szCs w:val="20"/>
              </w:rPr>
              <w:t>t/a，喷淋</w:t>
            </w:r>
            <w:r>
              <w:rPr>
                <w:rFonts w:hint="eastAsia" w:ascii="Times New Roman" w:hAnsi="Times New Roman" w:eastAsia="宋体" w:cs="Times New Roman"/>
                <w:color w:val="auto"/>
                <w:spacing w:val="2"/>
                <w:kern w:val="2"/>
                <w:sz w:val="24"/>
                <w:szCs w:val="20"/>
                <w:lang w:eastAsia="zh-CN"/>
              </w:rPr>
              <w:t>用水</w:t>
            </w:r>
            <w:r>
              <w:rPr>
                <w:rFonts w:hint="default" w:ascii="Times New Roman" w:hAnsi="Times New Roman" w:eastAsia="宋体" w:cs="Times New Roman"/>
                <w:color w:val="auto"/>
                <w:spacing w:val="2"/>
                <w:kern w:val="2"/>
                <w:sz w:val="24"/>
                <w:szCs w:val="20"/>
              </w:rPr>
              <w:t>量</w:t>
            </w:r>
            <w:r>
              <w:rPr>
                <w:rFonts w:hint="eastAsia" w:ascii="Times New Roman" w:hAnsi="Times New Roman" w:eastAsia="宋体" w:cs="Times New Roman"/>
                <w:color w:val="auto"/>
                <w:spacing w:val="2"/>
                <w:kern w:val="2"/>
                <w:sz w:val="24"/>
                <w:szCs w:val="20"/>
                <w:lang w:eastAsia="zh-CN"/>
              </w:rPr>
              <w:t>为</w:t>
            </w:r>
            <w:r>
              <w:rPr>
                <w:rFonts w:hint="eastAsia" w:ascii="Times New Roman" w:hAnsi="Times New Roman" w:eastAsia="宋体" w:cs="Times New Roman"/>
                <w:color w:val="auto"/>
                <w:spacing w:val="2"/>
                <w:kern w:val="2"/>
                <w:sz w:val="24"/>
                <w:szCs w:val="20"/>
                <w:lang w:val="en-US" w:eastAsia="zh-CN"/>
              </w:rPr>
              <w:t>76</w:t>
            </w:r>
            <w:r>
              <w:rPr>
                <w:rFonts w:hint="default" w:ascii="Times New Roman" w:hAnsi="Times New Roman" w:eastAsia="宋体" w:cs="Times New Roman"/>
                <w:color w:val="auto"/>
                <w:spacing w:val="2"/>
                <w:kern w:val="2"/>
                <w:sz w:val="24"/>
                <w:szCs w:val="20"/>
              </w:rPr>
              <w:t>t/a，故本项目年总用水量约为</w:t>
            </w:r>
            <w:r>
              <w:rPr>
                <w:rFonts w:hint="eastAsia" w:ascii="Times New Roman" w:hAnsi="Times New Roman" w:eastAsia="宋体" w:cs="Times New Roman"/>
                <w:color w:val="auto"/>
                <w:spacing w:val="2"/>
                <w:kern w:val="2"/>
                <w:sz w:val="24"/>
                <w:szCs w:val="20"/>
                <w:lang w:val="en-US" w:eastAsia="zh-CN"/>
              </w:rPr>
              <w:t>610</w:t>
            </w:r>
            <w:r>
              <w:rPr>
                <w:rFonts w:hint="default" w:ascii="Times New Roman" w:hAnsi="Times New Roman" w:eastAsia="宋体" w:cs="Times New Roman"/>
                <w:color w:val="auto"/>
                <w:spacing w:val="2"/>
                <w:kern w:val="2"/>
                <w:sz w:val="24"/>
                <w:szCs w:val="20"/>
              </w:rPr>
              <w:t>t/a。</w:t>
            </w:r>
          </w:p>
          <w:p>
            <w:pPr>
              <w:spacing w:after="0" w:line="360" w:lineRule="auto"/>
              <w:ind w:right="170" w:firstLine="472" w:firstLineChars="196"/>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2、排水</w:t>
            </w:r>
          </w:p>
          <w:p>
            <w:pPr>
              <w:widowControl w:val="0"/>
              <w:spacing w:after="0" w:line="360" w:lineRule="auto"/>
              <w:ind w:firstLine="488" w:firstLineChars="200"/>
              <w:jc w:val="both"/>
              <w:textAlignment w:val="baseline"/>
              <w:rPr>
                <w:rFonts w:hint="default" w:ascii="Times New Roman" w:hAnsi="Times New Roman" w:eastAsia="宋体" w:cs="Times New Roman"/>
                <w:color w:val="FF0000"/>
                <w:spacing w:val="2"/>
                <w:kern w:val="2"/>
                <w:sz w:val="24"/>
                <w:szCs w:val="20"/>
              </w:rPr>
            </w:pPr>
            <w:r>
              <w:rPr>
                <w:rFonts w:hint="default" w:ascii="Times New Roman" w:hAnsi="Times New Roman" w:eastAsia="宋体" w:cs="Times New Roman"/>
                <w:color w:val="auto"/>
                <w:spacing w:val="2"/>
                <w:kern w:val="2"/>
                <w:sz w:val="24"/>
                <w:szCs w:val="20"/>
              </w:rPr>
              <w:t>测试用水循环使用，定期补充，不外排；喷淋废水</w:t>
            </w:r>
            <w:r>
              <w:rPr>
                <w:rFonts w:hint="default" w:ascii="Times New Roman" w:hAnsi="Times New Roman" w:cs="Times New Roman"/>
                <w:color w:val="auto"/>
                <w:sz w:val="24"/>
                <w:szCs w:val="22"/>
                <w:highlight w:val="none"/>
              </w:rPr>
              <w:t>产生量为</w:t>
            </w:r>
            <w:r>
              <w:rPr>
                <w:rFonts w:hint="eastAsia" w:ascii="Times New Roman" w:hAnsi="Times New Roman" w:cs="Times New Roman"/>
                <w:color w:val="auto"/>
                <w:sz w:val="24"/>
                <w:szCs w:val="22"/>
                <w:highlight w:val="none"/>
                <w:lang w:val="en-US" w:eastAsia="zh-CN"/>
              </w:rPr>
              <w:t>16</w:t>
            </w:r>
            <w:r>
              <w:rPr>
                <w:rFonts w:hint="default" w:ascii="Times New Roman" w:hAnsi="Times New Roman" w:cs="Times New Roman"/>
                <w:color w:val="auto"/>
                <w:sz w:val="24"/>
                <w:szCs w:val="22"/>
                <w:highlight w:val="none"/>
              </w:rPr>
              <w:t>t/a</w:t>
            </w:r>
            <w:r>
              <w:rPr>
                <w:rFonts w:hint="eastAsia" w:ascii="Times New Roman" w:hAnsi="Times New Roman" w:cs="Times New Roman"/>
                <w:color w:val="auto"/>
                <w:sz w:val="24"/>
                <w:szCs w:val="22"/>
                <w:highlight w:val="none"/>
                <w:lang w:eastAsia="zh-CN"/>
              </w:rPr>
              <w:t>，</w:t>
            </w:r>
            <w:r>
              <w:rPr>
                <w:rFonts w:hint="default" w:ascii="Times New Roman" w:hAnsi="Times New Roman" w:eastAsia="宋体" w:cs="Times New Roman"/>
                <w:color w:val="auto"/>
                <w:spacing w:val="2"/>
                <w:kern w:val="2"/>
                <w:sz w:val="24"/>
                <w:szCs w:val="20"/>
              </w:rPr>
              <w:t>经收集后定期交有资质单位处理，不外排；生活污水</w:t>
            </w:r>
            <w:r>
              <w:rPr>
                <w:rFonts w:hint="eastAsia" w:ascii="Times New Roman" w:hAnsi="Times New Roman" w:eastAsia="宋体" w:cs="Times New Roman"/>
                <w:color w:val="auto"/>
                <w:spacing w:val="2"/>
                <w:kern w:val="2"/>
                <w:sz w:val="24"/>
                <w:szCs w:val="20"/>
                <w:lang w:eastAsia="zh-CN"/>
              </w:rPr>
              <w:t>产生量为</w:t>
            </w:r>
            <w:r>
              <w:rPr>
                <w:rFonts w:hint="eastAsia" w:ascii="Times New Roman" w:hAnsi="Times New Roman" w:eastAsia="宋体" w:cs="Times New Roman"/>
                <w:color w:val="auto"/>
                <w:kern w:val="2"/>
                <w:sz w:val="24"/>
                <w:szCs w:val="24"/>
                <w:highlight w:val="none"/>
                <w:lang w:val="en-US" w:eastAsia="zh-CN"/>
              </w:rPr>
              <w:t>345.6</w:t>
            </w:r>
            <w:r>
              <w:rPr>
                <w:rFonts w:ascii="Times New Roman" w:hAnsi="Times New Roman" w:eastAsia="宋体" w:cs="Times New Roman"/>
                <w:color w:val="auto"/>
                <w:kern w:val="2"/>
                <w:sz w:val="24"/>
                <w:szCs w:val="24"/>
                <w:highlight w:val="none"/>
                <w:lang w:val="en-US" w:eastAsia="zh-CN"/>
              </w:rPr>
              <w:t>t/a</w:t>
            </w: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spacing w:val="2"/>
                <w:kern w:val="2"/>
                <w:sz w:val="24"/>
                <w:szCs w:val="20"/>
              </w:rPr>
              <w:t>经</w:t>
            </w:r>
            <w:r>
              <w:rPr>
                <w:rFonts w:hint="default" w:ascii="Times New Roman" w:hAnsi="Times New Roman" w:eastAsia="宋体" w:cs="Times New Roman"/>
                <w:color w:val="auto"/>
                <w:kern w:val="2"/>
                <w:sz w:val="24"/>
              </w:rPr>
              <w:t>三级化粪池处理达到广东省《水污染物排放限值》（DB44/26-2001）第二时段三级标准和</w:t>
            </w:r>
            <w:r>
              <w:rPr>
                <w:rFonts w:hint="eastAsia" w:ascii="Times New Roman" w:hAnsi="Times New Roman" w:eastAsia="宋体" w:cs="Times New Roman"/>
                <w:color w:val="auto"/>
                <w:kern w:val="2"/>
                <w:sz w:val="24"/>
                <w:lang w:eastAsia="zh-CN"/>
              </w:rPr>
              <w:t>《污水排入城镇下水道水质标准》(GB/T31962-2015 )B级标准</w:t>
            </w:r>
            <w:r>
              <w:rPr>
                <w:rFonts w:hint="default" w:ascii="Times New Roman" w:hAnsi="Times New Roman" w:eastAsia="宋体" w:cs="Times New Roman"/>
                <w:color w:val="auto"/>
                <w:kern w:val="2"/>
                <w:sz w:val="24"/>
              </w:rPr>
              <w:t>较严者后排入市政污水管网，最终纳入</w:t>
            </w:r>
            <w:r>
              <w:rPr>
                <w:rFonts w:hint="default" w:ascii="Times New Roman" w:hAnsi="Times New Roman" w:eastAsia="宋体" w:cs="Times New Roman"/>
                <w:color w:val="auto"/>
                <w:kern w:val="2"/>
                <w:sz w:val="24"/>
                <w:lang w:eastAsia="zh-CN"/>
              </w:rPr>
              <w:t>开平市水口污水处理厂</w:t>
            </w:r>
            <w:r>
              <w:rPr>
                <w:rFonts w:hint="default" w:ascii="Times New Roman" w:hAnsi="Times New Roman" w:eastAsia="宋体" w:cs="Times New Roman"/>
                <w:color w:val="auto"/>
                <w:kern w:val="2"/>
                <w:sz w:val="24"/>
              </w:rPr>
              <w:t>处理。</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default" w:ascii="Times New Roman" w:hAnsi="Times New Roman" w:cs="Times New Roman"/>
                <w:b w:val="0"/>
                <w:bCs/>
                <w:color w:val="auto"/>
                <w:sz w:val="24"/>
                <w:shd w:val="clear" w:color="auto" w:fill="auto"/>
                <w:lang w:val="en-US" w:eastAsia="zh-CN"/>
              </w:rPr>
            </w:pPr>
            <w:r>
              <w:rPr>
                <w:rFonts w:hint="default" w:ascii="Times New Roman" w:hAnsi="Times New Roman" w:cs="Times New Roman"/>
                <w:color w:val="auto"/>
                <w:kern w:val="0"/>
                <w:sz w:val="24"/>
                <w:lang w:val="en-US" w:eastAsia="zh-CN"/>
              </w:rPr>
              <w:t>项目</w:t>
            </w:r>
            <w:r>
              <w:rPr>
                <w:rFonts w:hint="default" w:ascii="Times New Roman" w:hAnsi="Times New Roman" w:cs="Times New Roman"/>
                <w:b w:val="0"/>
                <w:bCs/>
                <w:color w:val="auto"/>
                <w:sz w:val="24"/>
                <w:shd w:val="clear" w:color="auto" w:fill="auto"/>
                <w:lang w:val="en-US" w:eastAsia="zh-CN"/>
              </w:rPr>
              <w:t>水平衡图如下图所示：</w:t>
            </w:r>
          </w:p>
          <w:p>
            <w:pPr>
              <w:spacing w:after="0" w:line="360" w:lineRule="auto"/>
              <w:ind w:right="170" w:firstLine="470" w:firstLineChars="196"/>
              <w:rPr>
                <w:rFonts w:hint="default" w:ascii="Times New Roman" w:hAnsi="Times New Roman" w:cs="Times New Roman"/>
                <w:b/>
                <w:color w:val="auto"/>
                <w:sz w:val="24"/>
                <w:szCs w:val="24"/>
              </w:rPr>
            </w:pPr>
            <w:r>
              <w:rPr>
                <w:rFonts w:hint="default" w:ascii="Times New Roman" w:hAnsi="Times New Roman" w:cs="Times New Roman"/>
                <w:color w:val="auto"/>
                <w:sz w:val="24"/>
              </w:rPr>
              <w:pict>
                <v:group id="_x0000_s2098" o:spid="_x0000_s2098" o:spt="203" style="height:219.7pt;width:453.75pt;" coordsize="5762622,2790185" editas="canvas">
                  <o:lock v:ext="edit"/>
                  <v:shape id="_x0000_s2099" o:spid="_x0000_s2099" o:spt="75" type="#_x0000_t75" style="position:absolute;left:0;top:0;height:2790185;width:5762622;" filled="f" stroked="f" coordsize="21600,21600">
                    <v:path/>
                    <v:fill on="f" focussize="0,0"/>
                    <v:stroke on="f" joinstyle="miter"/>
                    <v:imagedata o:title=""/>
                    <o:lock v:ext="edit" aspectratio="f"/>
                  </v:shape>
                  <v:shape id="_x0000_s2100" o:spid="_x0000_s2100" o:spt="202" type="#_x0000_t202" style="position:absolute;left:28575;top:1122678;height:317499;width:815340;" filled="f" stroked="f" coordsize="21600,21600">
                    <v:path/>
                    <v:fill on="f" focussize="0,0"/>
                    <v:stroke on="f"/>
                    <v:imagedata o:title=""/>
                    <o:lock v:ext="edit" aspectratio="f"/>
                    <v:textbox>
                      <w:txbxContent>
                        <w:p>
                          <w:pPr>
                            <w:rPr>
                              <w:rFonts w:hint="eastAsia" w:ascii="Times New Roman" w:hAnsi="Times New Roman" w:eastAsia="等线"/>
                              <w:color w:val="auto"/>
                              <w:lang w:val="en-US" w:eastAsia="zh-CN"/>
                            </w:rPr>
                          </w:pPr>
                          <w:r>
                            <w:rPr>
                              <w:rFonts w:hint="eastAsia" w:ascii="Times New Roman" w:hAnsi="Times New Roman"/>
                              <w:color w:val="auto"/>
                              <w:lang w:val="en-US" w:eastAsia="zh-CN"/>
                            </w:rPr>
                            <w:t>市政供水</w:t>
                          </w:r>
                        </w:p>
                      </w:txbxContent>
                    </v:textbox>
                  </v:shape>
                  <v:shape id="_x0000_s2101" o:spid="_x0000_s2101" o:spt="202" type="#_x0000_t202" style="position:absolute;left:1437004;top:313054;height:279400;width:821690;" filled="f" stroked="t" coordsize="21600,21600">
                    <v:path/>
                    <v:fill on="f" focussize="0,0"/>
                    <v:stroke color="#000000" joinstyle="miter"/>
                    <v:imagedata o:title=""/>
                    <o:lock v:ext="edit" aspectratio="f"/>
                    <v:textbox>
                      <w:txbxContent>
                        <w:p>
                          <w:pPr>
                            <w:jc w:val="center"/>
                            <w:rPr>
                              <w:rFonts w:ascii="宋体" w:hAnsi="宋体" w:eastAsia="宋体"/>
                              <w:color w:val="auto"/>
                            </w:rPr>
                          </w:pPr>
                          <w:r>
                            <w:rPr>
                              <w:rFonts w:hint="eastAsia" w:ascii="宋体" w:hAnsi="宋体" w:eastAsia="宋体"/>
                              <w:color w:val="auto"/>
                            </w:rPr>
                            <w:t>生活用水</w:t>
                          </w:r>
                        </w:p>
                      </w:txbxContent>
                    </v:textbox>
                  </v:shape>
                  <v:shape id="_x0000_s2102" o:spid="_x0000_s2102" o:spt="32" type="#_x0000_t32" style="position:absolute;left:2267584;top:463549;height:2540;width:394970;" filled="f" stroked="t" coordsize="21600,21600">
                    <v:path arrowok="t"/>
                    <v:fill on="f" focussize="0,0"/>
                    <v:stroke color="#000000" endarrow="block"/>
                    <v:imagedata o:title=""/>
                    <o:lock v:ext="edit" aspectratio="f"/>
                  </v:shape>
                  <v:shape id="_x0000_s2103" o:spid="_x0000_s2103" o:spt="202" type="#_x0000_t202" style="position:absolute;left:2675254;top:304164;height:292734;width:892175;" filled="f" stroked="t" coordsize="21600,21600">
                    <v:path/>
                    <v:fill on="f" focussize="0,0"/>
                    <v:stroke color="#000000" joinstyle="miter"/>
                    <v:imagedata o:title=""/>
                    <o:lock v:ext="edit" aspectratio="f"/>
                    <v:textbox>
                      <w:txbxContent>
                        <w:p>
                          <w:pPr>
                            <w:jc w:val="center"/>
                            <w:rPr>
                              <w:rFonts w:ascii="宋体" w:hAnsi="宋体" w:eastAsia="宋体"/>
                              <w:color w:val="auto"/>
                            </w:rPr>
                          </w:pPr>
                          <w:r>
                            <w:rPr>
                              <w:rFonts w:hint="eastAsia" w:ascii="宋体" w:hAnsi="宋体" w:eastAsia="宋体"/>
                              <w:color w:val="auto"/>
                            </w:rPr>
                            <w:t>三级化粪池</w:t>
                          </w:r>
                        </w:p>
                      </w:txbxContent>
                    </v:textbox>
                  </v:shape>
                  <v:shape id="_x0000_s2104" o:spid="_x0000_s2104" o:spt="32" type="#_x0000_t32" style="position:absolute;left:3561078;top:457834;flip:y;height:7620;width:427990;" filled="f" stroked="t" coordsize="21600,21600">
                    <v:path arrowok="t"/>
                    <v:fill on="f" focussize="0,0"/>
                    <v:stroke color="#000000" endarrow="block"/>
                    <v:imagedata o:title=""/>
                    <o:lock v:ext="edit" aspectratio="f"/>
                  </v:shape>
                  <v:shape id="_x0000_s2105" o:spid="_x0000_s2105" o:spt="202" type="#_x0000_t202" style="position:absolute;left:3989068;top:312419;height:290829;width:1591309;" filled="f" stroked="t" coordsize="21600,21600">
                    <v:path/>
                    <v:fill on="f" focussize="0,0"/>
                    <v:stroke color="#000000" joinstyle="miter"/>
                    <v:imagedata o:title=""/>
                    <o:lock v:ext="edit" aspectratio="f"/>
                    <v:textbox>
                      <w:txbxContent>
                        <w:p>
                          <w:pPr>
                            <w:rPr>
                              <w:rFonts w:hint="eastAsia"/>
                              <w:sz w:val="21"/>
                              <w:szCs w:val="21"/>
                              <w:lang w:eastAsia="zh-CN"/>
                            </w:rPr>
                          </w:pPr>
                          <w:r>
                            <w:rPr>
                              <w:rFonts w:hint="eastAsia" w:ascii="Times New Roman" w:hAnsi="Times New Roman" w:cs="Times New Roman"/>
                              <w:color w:val="auto"/>
                              <w:sz w:val="21"/>
                              <w:szCs w:val="21"/>
                              <w:highlight w:val="none"/>
                              <w:lang w:eastAsia="zh-CN"/>
                            </w:rPr>
                            <w:t>开平市水口</w:t>
                          </w:r>
                          <w:r>
                            <w:rPr>
                              <w:rFonts w:hint="default" w:ascii="Times New Roman" w:hAnsi="Times New Roman" w:eastAsia="宋体" w:cs="Times New Roman"/>
                              <w:color w:val="auto"/>
                              <w:sz w:val="21"/>
                              <w:szCs w:val="21"/>
                              <w:highlight w:val="none"/>
                              <w:lang w:eastAsia="zh-CN"/>
                            </w:rPr>
                            <w:t>污水处理厂</w:t>
                          </w:r>
                        </w:p>
                      </w:txbxContent>
                    </v:textbox>
                  </v:shape>
                  <v:group id="组合 237" o:spid="_x0000_s2106" o:spt="203" style="position:absolute;left:1751329;top:151130;height:152400;width:177800;" coordorigin="2851,3304" coordsize="630,624">
                    <o:lock v:ext="edit" aspectratio="f"/>
                    <v:line id="直线 238" o:spid="_x0000_s2107" o:spt="20" style="position:absolute;left:2851;top:3616;flip:y;height:312;width:210;" filled="f" stroked="t" coordsize="21600,21600">
                      <v:path arrowok="t"/>
                      <v:fill on="f" focussize="0,0"/>
                      <v:stroke color="#000000" endarrowwidth="narrow"/>
                      <v:imagedata o:title=""/>
                      <o:lock v:ext="edit" aspectratio="f"/>
                    </v:line>
                    <v:line id="直线 239" o:spid="_x0000_s2108" o:spt="20" style="position:absolute;left:3061;top:3616;height:156;width:105;" filled="f" stroked="t" coordsize="21600,21600">
                      <v:path arrowok="t"/>
                      <v:fill on="f" focussize="0,0"/>
                      <v:stroke color="#000000" endarrowwidth="narrow"/>
                      <v:imagedata o:title=""/>
                      <o:lock v:ext="edit" aspectratio="f"/>
                    </v:line>
                    <v:line id="直线 240" o:spid="_x0000_s2109" o:spt="20" style="position:absolute;left:3166;top:3304;flip:y;height:468;width:315;" filled="f" stroked="t" coordsize="21600,21600">
                      <v:path arrowok="t"/>
                      <v:fill on="f" focussize="0,0"/>
                      <v:stroke color="#000000" endarrow="block" endarrowwidth="narrow"/>
                      <v:imagedata o:title=""/>
                      <o:lock v:ext="edit" aspectratio="f"/>
                    </v:line>
                  </v:group>
                  <v:shape id="_x0000_s2110" o:spid="_x0000_s2110" o:spt="202" type="#_x0000_t202" style="position:absolute;left:1856104;top:17780;height:317500;width:5969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38.4</w:t>
                          </w:r>
                        </w:p>
                      </w:txbxContent>
                    </v:textbox>
                  </v:shape>
                  <v:shape id="_x0000_s2111" o:spid="_x0000_s2111" o:spt="202" type="#_x0000_t202" style="position:absolute;left:2199004;top:189230;height:317499;width:54864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eastAsia="等线"/>
                              <w:color w:val="auto"/>
                              <w:lang w:val="en-US" w:eastAsia="zh-CN"/>
                            </w:rPr>
                            <w:t>345.6</w:t>
                          </w:r>
                        </w:p>
                      </w:txbxContent>
                    </v:textbox>
                  </v:shape>
                  <v:shape id="_x0000_s2112" o:spid="_x0000_s2112" o:spt="202" type="#_x0000_t202" style="position:absolute;left:3522978;top:200025;height:317499;width:5969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eastAsia="等线"/>
                              <w:color w:val="auto"/>
                              <w:lang w:val="en-US" w:eastAsia="zh-CN"/>
                            </w:rPr>
                            <w:t>345.6</w:t>
                          </w:r>
                        </w:p>
                      </w:txbxContent>
                    </v:textbox>
                  </v:shape>
                  <v:shape id="_x0000_s2113" o:spid="_x0000_s2113" o:spt="202" type="#_x0000_t202" style="position:absolute;left:1056005;top:198755;height:317500;width:5969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eastAsia="等线"/>
                              <w:lang w:val="en-US" w:eastAsia="zh-CN"/>
                            </w:rPr>
                            <w:t>384</w:t>
                          </w:r>
                        </w:p>
                      </w:txbxContent>
                    </v:textbox>
                  </v:shape>
                  <v:shape id="_x0000_s2114" o:spid="_x0000_s2114" o:spt="202" type="#_x0000_t202" style="position:absolute;left:1808479;top:2472686;height:317499;width:1974214;"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ascii="Times New Roman" w:hAnsi="Times New Roman"/>
                              <w:b/>
                              <w:bCs/>
                              <w:color w:val="auto"/>
                              <w:lang w:val="en-US" w:eastAsia="zh-CN"/>
                            </w:rPr>
                            <w:t>项目水平衡图（单位：t/a）</w:t>
                          </w:r>
                        </w:p>
                      </w:txbxContent>
                    </v:textbox>
                  </v:shape>
                  <v:line id="直线 245" o:spid="_x0000_s2115" o:spt="20" style="position:absolute;left:751205;top:1284603;flip:y;height:0;width:381000;" filled="f" stroked="t" coordsize="21600,21600">
                    <v:path arrowok="t"/>
                    <v:fill on="f" focussize="0,0"/>
                    <v:stroke color="#000000"/>
                    <v:imagedata o:title=""/>
                    <o:lock v:ext="edit" aspectratio="f"/>
                  </v:line>
                  <v:shape id="_x0000_s2116" o:spid="_x0000_s2116" style="position:absolute;left:1122679;top:441324;height:1809747;width:333375;" filled="f" stroked="t" coordsize="525,1380" path="m495,0hal0,0hal0,1380hal525,1380hae">
                    <v:path arrowok="t"/>
                    <v:fill on="f" focussize="0,0"/>
                    <v:stroke color="#000000" startarrow="block" endarrow="block"/>
                    <v:imagedata o:title=""/>
                    <o:lock v:ext="edit" aspectratio="f"/>
                  </v:shape>
                  <v:shape id="_x0000_s2117" o:spid="_x0000_s2117" o:spt="202" type="#_x0000_t202" style="position:absolute;left:694055;top:989328;height:317499;width:748665;"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610</w:t>
                          </w:r>
                        </w:p>
                      </w:txbxContent>
                    </v:textbox>
                  </v:shape>
                  <v:shape id="_x0000_s2118" o:spid="_x0000_s2118" o:spt="202" type="#_x0000_t202" style="position:absolute;left:1446529;top:1141728;height:279400;width:1142999;" filled="f" stroked="t" coordsize="21600,21600">
                    <v:path/>
                    <v:fill on="f" focussize="0,0"/>
                    <v:stroke color="#000000" joinstyle="miter"/>
                    <v:imagedata o:title=""/>
                    <o:lock v:ext="edit" aspectratio="f"/>
                    <v:textbox>
                      <w:txbxContent>
                        <w:p>
                          <w:pPr>
                            <w:jc w:val="center"/>
                            <w:rPr>
                              <w:rFonts w:hint="eastAsia" w:ascii="宋体" w:hAnsi="宋体" w:eastAsia="宋体"/>
                              <w:color w:val="auto"/>
                              <w:lang w:eastAsia="zh-CN"/>
                            </w:rPr>
                          </w:pPr>
                          <w:r>
                            <w:rPr>
                              <w:rFonts w:hint="eastAsia" w:ascii="宋体" w:hAnsi="宋体"/>
                              <w:color w:val="auto"/>
                              <w:lang w:eastAsia="zh-CN"/>
                            </w:rPr>
                            <w:t>测试用水</w:t>
                          </w:r>
                        </w:p>
                      </w:txbxContent>
                    </v:textbox>
                  </v:shape>
                  <v:shape id="_x0000_s2119" o:spid="_x0000_s2119" o:spt="202" type="#_x0000_t202" style="position:absolute;left:2580004;top:1036954;height:317500;width:41656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150</w:t>
                          </w:r>
                        </w:p>
                      </w:txbxContent>
                    </v:textbox>
                  </v:shape>
                  <v:shape id="_x0000_s2120" o:spid="_x0000_s2120" o:spt="202" type="#_x0000_t202" style="position:absolute;left:1075054;top:1017903;height:317499;width:5969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150</w:t>
                          </w:r>
                        </w:p>
                      </w:txbxContent>
                    </v:textbox>
                  </v:shape>
                  <v:line id="直线 245" o:spid="_x0000_s2121" o:spt="20" style="position:absolute;left:2608579;top:1294128;flip:y;height:0;width:317500;" filled="f" stroked="t" coordsize="21600,21600">
                    <v:path arrowok="t"/>
                    <v:fill on="f" focussize="0,0"/>
                    <v:stroke color="#000000" endarrow="block"/>
                    <v:imagedata o:title=""/>
                    <o:lock v:ext="edit" aspectratio="f"/>
                  </v:line>
                  <v:shape id="_x0000_s2122" o:spid="_x0000_s2122" o:spt="202" type="#_x0000_t202" style="position:absolute;left:2913378;top:1141728;height:292099;width:889000;" filled="f" stroked="t" coordsize="21600,21600">
                    <v:path/>
                    <v:fill on="f" focussize="0,0"/>
                    <v:stroke color="#000000" joinstyle="miter"/>
                    <v:imagedata o:title=""/>
                    <o:lock v:ext="edit" aspectratio="f"/>
                    <v:textbox>
                      <w:txbxContent>
                        <w:p>
                          <w:pPr>
                            <w:jc w:val="center"/>
                            <w:rPr>
                              <w:rFonts w:ascii="宋体" w:hAnsi="宋体" w:eastAsia="宋体"/>
                              <w:color w:val="auto"/>
                            </w:rPr>
                          </w:pPr>
                          <w:r>
                            <w:rPr>
                              <w:rFonts w:hint="eastAsia" w:ascii="宋体" w:hAnsi="宋体" w:eastAsia="宋体"/>
                              <w:color w:val="auto"/>
                              <w:lang w:eastAsia="zh-CN"/>
                            </w:rPr>
                            <w:t>蒸发损耗</w:t>
                          </w:r>
                          <w:r>
                            <w:rPr>
                              <w:rFonts w:hint="eastAsia" w:ascii="宋体" w:hAnsi="宋体" w:eastAsia="宋体"/>
                              <w:color w:val="auto"/>
                            </w:rPr>
                            <w:t>池</w:t>
                          </w:r>
                        </w:p>
                      </w:txbxContent>
                    </v:textbox>
                  </v:shape>
                  <v:shape id="_x0000_s2178" o:spid="_x0000_s2178" o:spt="32" type="#_x0000_t32" style="position:absolute;left:1132204;top:1284603;height:0;width:317500;" filled="f" stroked="t" coordsize="21600,21600">
                    <v:path arrowok="t"/>
                    <v:fill on="f" focussize="0,0"/>
                    <v:stroke color="#000000" endarrow="block"/>
                    <v:imagedata o:title=""/>
                    <o:lock v:ext="edit" aspectratio="f"/>
                  </v:shape>
                  <v:shape id="_x0000_s2179" o:spid="_x0000_s2179" o:spt="202" type="#_x0000_t202" style="position:absolute;left:1456054;top:2094226;height:279400;width:1142999;" filled="f" stroked="t" coordsize="21600,21600">
                    <v:path/>
                    <v:fill on="f" focussize="0,0"/>
                    <v:stroke color="#000000" joinstyle="miter"/>
                    <v:imagedata o:title=""/>
                    <o:lock v:ext="edit" aspectratio="f"/>
                    <v:textbox>
                      <w:txbxContent>
                        <w:p>
                          <w:pPr>
                            <w:jc w:val="center"/>
                            <w:rPr>
                              <w:rFonts w:hint="eastAsia" w:ascii="宋体" w:hAnsi="宋体" w:eastAsia="宋体"/>
                              <w:color w:val="auto"/>
                              <w:lang w:eastAsia="zh-CN"/>
                            </w:rPr>
                          </w:pPr>
                          <w:r>
                            <w:rPr>
                              <w:rFonts w:hint="eastAsia" w:ascii="宋体" w:hAnsi="宋体"/>
                              <w:color w:val="auto"/>
                              <w:lang w:eastAsia="zh-CN"/>
                            </w:rPr>
                            <w:t>喷淋用水</w:t>
                          </w:r>
                        </w:p>
                      </w:txbxContent>
                    </v:textbox>
                  </v:shape>
                  <v:line id="直线 245" o:spid="_x0000_s2180" o:spt="20" style="position:absolute;left:2624454;top:2246626;flip:y;height:0;width:317500;" filled="f" stroked="t" coordsize="21600,21600">
                    <v:path arrowok="t"/>
                    <v:fill on="f" focussize="0,0"/>
                    <v:stroke color="#000000" endarrow="block"/>
                    <v:imagedata o:title=""/>
                    <o:lock v:ext="edit" aspectratio="f"/>
                  </v:line>
                  <v:shape id="_x0000_s2181" o:spid="_x0000_s2181" o:spt="202" type="#_x0000_t202" style="position:absolute;left:2929253;top:2094226;height:279400;width:1565274;" filled="f" stroked="t" coordsize="21600,21600">
                    <v:path/>
                    <v:fill on="f" focussize="0,0"/>
                    <v:stroke color="#000000" joinstyle="miter"/>
                    <v:imagedata o:title=""/>
                    <o:lock v:ext="edit" aspectratio="f"/>
                    <v:textbox>
                      <w:txbxContent>
                        <w:p>
                          <w:pPr>
                            <w:jc w:val="center"/>
                            <w:rPr>
                              <w:rFonts w:hint="eastAsia" w:ascii="宋体" w:hAnsi="宋体"/>
                              <w:color w:val="auto"/>
                              <w:lang w:eastAsia="zh-CN"/>
                            </w:rPr>
                          </w:pPr>
                          <w:r>
                            <w:rPr>
                              <w:rFonts w:hint="default" w:ascii="宋体" w:hAnsi="宋体"/>
                              <w:color w:val="auto"/>
                              <w:lang w:eastAsia="zh-CN"/>
                            </w:rPr>
                            <w:t>交有资质单位处理</w:t>
                          </w:r>
                        </w:p>
                      </w:txbxContent>
                    </v:textbox>
                  </v:shape>
                  <v:shape id="_x0000_s2182" o:spid="_x0000_s2182" o:spt="202" type="#_x0000_t202" style="position:absolute;left:1979929;top:1703702;height:304799;width:5969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60</w:t>
                          </w:r>
                        </w:p>
                      </w:txbxContent>
                    </v:textbox>
                  </v:shape>
                  <v:group id="组合 237" o:spid="_x0000_s2183" o:spt="203" style="position:absolute;left:1884679;top:1932302;height:152400;width:177800;" coordorigin="2851,3304" coordsize="630,624">
                    <o:lock v:ext="edit" aspectratio="f"/>
                    <v:line id="直线 238" o:spid="_x0000_s2184" o:spt="20" style="position:absolute;left:2851;top:3616;flip:y;height:312;width:210;" filled="f" stroked="t" coordsize="21600,21600">
                      <v:path arrowok="t"/>
                      <v:fill on="f" focussize="0,0"/>
                      <v:stroke color="#000000" endarrowwidth="narrow"/>
                      <v:imagedata o:title=""/>
                      <o:lock v:ext="edit" aspectratio="f"/>
                    </v:line>
                    <v:line id="直线 239" o:spid="_x0000_s2185" o:spt="20" style="position:absolute;left:3061;top:3616;height:156;width:105;" filled="f" stroked="t" coordsize="21600,21600">
                      <v:path arrowok="t"/>
                      <v:fill on="f" focussize="0,0"/>
                      <v:stroke color="#000000" endarrowwidth="narrow"/>
                      <v:imagedata o:title=""/>
                      <o:lock v:ext="edit" aspectratio="f"/>
                    </v:line>
                    <v:line id="直线 240" o:spid="_x0000_s2186" o:spt="20" style="position:absolute;left:3166;top:3304;flip:y;height:468;width:315;" filled="f" stroked="t" coordsize="21600,21600">
                      <v:path arrowok="t"/>
                      <v:fill on="f" focussize="0,0"/>
                      <v:stroke color="#000000" endarrow="block" endarrowwidth="narrow"/>
                      <v:imagedata o:title=""/>
                      <o:lock v:ext="edit" aspectratio="f"/>
                    </v:line>
                  </v:group>
                  <v:shape id="_x0000_s2187" o:spid="_x0000_s2187" o:spt="202" type="#_x0000_t202" style="position:absolute;left:1094104;top:1951352;height:317499;width:5969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76</w:t>
                          </w:r>
                        </w:p>
                      </w:txbxContent>
                    </v:textbox>
                  </v:shape>
                  <v:shape id="_x0000_s2188" o:spid="_x0000_s2188" o:spt="202" type="#_x0000_t202" style="position:absolute;left:2560954;top:1970401;height:292099;width:5969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16</w:t>
                          </w:r>
                        </w:p>
                      </w:txbxContent>
                    </v:textbox>
                  </v:shape>
                  <w10:wrap type="none"/>
                  <w10:anchorlock/>
                </v:group>
              </w:pict>
            </w:r>
            <w:r>
              <w:rPr>
                <w:rFonts w:hint="default" w:ascii="Times New Roman" w:hAnsi="Times New Roman" w:cs="Times New Roman"/>
                <w:color w:val="auto"/>
                <w:sz w:val="24"/>
                <w:lang w:val="en-US" w:eastAsia="zh-CN"/>
              </w:rPr>
              <w:t xml:space="preserve">    </w:t>
            </w:r>
            <w:r>
              <w:rPr>
                <w:rFonts w:hint="default" w:ascii="Times New Roman" w:hAnsi="Times New Roman" w:cs="Times New Roman"/>
                <w:b/>
                <w:color w:val="auto"/>
                <w:sz w:val="24"/>
                <w:szCs w:val="24"/>
              </w:rPr>
              <w:t>3、供电</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本项目用电由市政电网供电，不设备用发电机和锅炉，年用电量约为13.94万kW·h。</w:t>
            </w:r>
          </w:p>
          <w:p>
            <w:pPr>
              <w:spacing w:after="0" w:line="360" w:lineRule="auto"/>
              <w:ind w:right="170" w:firstLine="472" w:firstLineChars="196"/>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4、空调及通风系统</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本项目不设中央空调，车间设置抽排风系统，办公室设置单体空调。</w:t>
            </w:r>
          </w:p>
          <w:p>
            <w:pPr>
              <w:spacing w:after="0" w:line="360" w:lineRule="auto"/>
              <w:ind w:right="170" w:firstLine="472" w:firstLineChars="196"/>
              <w:rPr>
                <w:rFonts w:hint="default" w:ascii="Times New Roman" w:hAnsi="Times New Roman" w:cs="Times New Roman"/>
                <w:b/>
                <w:color w:val="auto"/>
                <w:sz w:val="24"/>
                <w:szCs w:val="24"/>
              </w:rPr>
            </w:pPr>
            <w:r>
              <w:rPr>
                <w:rFonts w:hint="default" w:ascii="Times New Roman" w:hAnsi="Times New Roman" w:eastAsia="宋体" w:cs="Times New Roman"/>
                <w:b/>
                <w:color w:val="auto"/>
                <w:kern w:val="2"/>
                <w:sz w:val="24"/>
              </w:rPr>
              <w:t>2.6劳动定员与工作制度</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职工人数：本项目从业人数32人，均不在厂区内食宿。</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工作制度：每天工作8个小时（8:00-12:00  13:30-17:30），年工作日</w:t>
            </w:r>
            <w:r>
              <w:rPr>
                <w:rFonts w:hint="eastAsia" w:ascii="Times New Roman" w:hAnsi="Times New Roman" w:eastAsia="宋体" w:cs="Times New Roman"/>
                <w:color w:val="auto"/>
                <w:spacing w:val="2"/>
                <w:kern w:val="2"/>
                <w:sz w:val="24"/>
                <w:szCs w:val="20"/>
                <w:lang w:val="en-US" w:eastAsia="zh-CN"/>
              </w:rPr>
              <w:t>300</w:t>
            </w:r>
            <w:r>
              <w:rPr>
                <w:rFonts w:hint="default" w:ascii="Times New Roman" w:hAnsi="Times New Roman" w:eastAsia="宋体" w:cs="Times New Roman"/>
                <w:color w:val="auto"/>
                <w:spacing w:val="2"/>
                <w:kern w:val="2"/>
                <w:sz w:val="24"/>
                <w:szCs w:val="20"/>
              </w:rPr>
              <w:t>天。</w:t>
            </w:r>
          </w:p>
          <w:p>
            <w:pPr>
              <w:spacing w:after="0" w:line="360" w:lineRule="auto"/>
              <w:ind w:right="170" w:firstLine="472" w:firstLineChars="196"/>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2.7产业政策相符性</w:t>
            </w:r>
          </w:p>
          <w:p>
            <w:pPr>
              <w:widowControl w:val="0"/>
              <w:spacing w:after="0" w:line="360" w:lineRule="auto"/>
              <w:ind w:firstLine="488" w:firstLineChars="200"/>
              <w:jc w:val="both"/>
              <w:textAlignment w:val="baseline"/>
              <w:rPr>
                <w:rFonts w:hint="default" w:ascii="Times New Roman" w:hAnsi="Times New Roman" w:eastAsia="宋体" w:cs="Times New Roman"/>
                <w:color w:val="FF0000"/>
                <w:spacing w:val="2"/>
                <w:kern w:val="2"/>
                <w:sz w:val="24"/>
                <w:szCs w:val="20"/>
              </w:rPr>
            </w:pPr>
            <w:r>
              <w:rPr>
                <w:rFonts w:hint="default" w:ascii="Times New Roman" w:hAnsi="Times New Roman" w:eastAsia="宋体" w:cs="Times New Roman"/>
                <w:color w:val="auto"/>
                <w:spacing w:val="2"/>
                <w:kern w:val="2"/>
                <w:sz w:val="24"/>
                <w:szCs w:val="20"/>
              </w:rPr>
              <w:t>项目主要从事卫浴配件的生产，不含磷化、喷漆等表面处理工艺，属于C3383金属制卫生器具制造类型建设项目，所属类别不在国家发展和改革委员会2013年5月1日实施发布的《产业结构调整指导目录(2011年本)（2013修正）》及</w:t>
            </w:r>
            <w:r>
              <w:rPr>
                <w:rFonts w:hint="eastAsia" w:ascii="Times New Roman" w:hAnsi="Times New Roman" w:eastAsia="宋体" w:cs="Times New Roman"/>
                <w:color w:val="auto"/>
                <w:spacing w:val="2"/>
                <w:kern w:val="2"/>
                <w:sz w:val="24"/>
                <w:szCs w:val="20"/>
                <w:lang w:eastAsia="zh-CN"/>
              </w:rPr>
              <w:t>《市场准入负面清单（2019年版）》发改体改[2019]1685号</w:t>
            </w:r>
            <w:r>
              <w:rPr>
                <w:rFonts w:hint="default" w:ascii="Times New Roman" w:hAnsi="Times New Roman" w:eastAsia="宋体" w:cs="Times New Roman"/>
                <w:color w:val="auto"/>
                <w:spacing w:val="2"/>
                <w:kern w:val="2"/>
                <w:sz w:val="24"/>
                <w:szCs w:val="20"/>
              </w:rPr>
              <w:t>中的限制或淘汰类别，不属于中的重点淘汰类和重点整治类；因此本项目的建设是符合国家和地方相关产业政策。</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2.8与规划相符性分析</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位于开平市水口镇内环东路第三工业园01号，根据《开平市水口镇总体规划修编（2015-2030）》，项目所在地的规划用途为二类工业用地，不属于基本农田保护区、林地保护区、重点生态保护区和风景名胜区。因此本项目的建设符合国家和地方相关产业政策。</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2.9与环境功能区划相符性分析</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本项目位于开平市水口镇内环东路第三工业园01号，位于</w:t>
            </w:r>
            <w:r>
              <w:rPr>
                <w:rFonts w:hint="default" w:ascii="Times New Roman" w:hAnsi="Times New Roman" w:eastAsia="宋体" w:cs="Times New Roman"/>
                <w:color w:val="auto"/>
                <w:spacing w:val="2"/>
                <w:kern w:val="2"/>
                <w:sz w:val="24"/>
                <w:szCs w:val="20"/>
                <w:lang w:eastAsia="zh-CN"/>
              </w:rPr>
              <w:t>开平市水口污水处理厂</w:t>
            </w:r>
            <w:r>
              <w:rPr>
                <w:rFonts w:hint="default" w:ascii="Times New Roman" w:hAnsi="Times New Roman" w:eastAsia="宋体" w:cs="Times New Roman"/>
                <w:color w:val="auto"/>
                <w:spacing w:val="2"/>
                <w:kern w:val="2"/>
                <w:sz w:val="24"/>
                <w:szCs w:val="20"/>
              </w:rPr>
              <w:t>的纳污范围。根据《广东省地表水环境功能区划》（粤环[2011]14号），潭江（沙冈区金山管区到大泽下）现状水质功能为饮工农渔，水质目标为Ⅱ类水环境功能区，执行《地表水环境质量标准》（GB3838-2002）中的Ⅱ类标准；根据开平市大气环境功能区划图（附图9），本项目所在地环境空气属于《环境空气质量标准》（GB3095-2012）及其修改单（2018年）中的二类环境空气质量功能区。根据《声环境功能区划分技术规范》（GB/T15190-2014），本项目属于工业区，项目周边边界属于3类声环境功能区。项目所在区域不属于废水、废气禁排区域，选址可符合环境功能区</w:t>
            </w:r>
          </w:p>
          <w:p>
            <w:pPr>
              <w:widowControl w:val="0"/>
              <w:spacing w:after="0" w:line="360" w:lineRule="auto"/>
              <w:ind w:firstLine="488" w:firstLineChars="200"/>
              <w:jc w:val="both"/>
              <w:textAlignment w:val="baseline"/>
              <w:rPr>
                <w:rFonts w:hint="default" w:ascii="Times New Roman" w:hAnsi="Times New Roman" w:cs="Times New Roman"/>
                <w:color w:val="FF0000"/>
              </w:rPr>
            </w:pPr>
            <w:r>
              <w:rPr>
                <w:rFonts w:hint="default" w:ascii="Times New Roman" w:hAnsi="Times New Roman" w:eastAsia="宋体" w:cs="Times New Roman"/>
                <w:color w:val="auto"/>
                <w:spacing w:val="2"/>
                <w:kern w:val="2"/>
                <w:sz w:val="24"/>
                <w:szCs w:val="20"/>
              </w:rPr>
              <w:t>因此本项目建设符合产业政策，选址符合相关规划要求，是合理合法的。</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04" w:hRule="atLeast"/>
        </w:trPr>
        <w:tc>
          <w:tcPr>
            <w:tcW w:w="9797" w:type="dxa"/>
            <w:gridSpan w:val="7"/>
            <w:tcBorders>
              <w:bottom w:val="single" w:color="auto" w:sz="4" w:space="0"/>
            </w:tcBorders>
          </w:tcPr>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与本项目有关的原有污染源情况及主要环境问题</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项目选址位于开平市水口镇内环东路第三工业园01号，项目北面为空厂房、南面为红方五金、西面为空厂房、东面为庄圆卫浴，项目四至情况详见附图4和附图5。</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根据现场勘查可知，项目周边多为工业厂房和道路，主要环境问题为项目附近工业企业运营期间产生的废水、废气、噪声和固体废物等，以及项目周围道路车辆行驶过程产生的扬尘、汽车尾气和车辆行驶噪声。</w:t>
            </w:r>
          </w:p>
          <w:p>
            <w:pPr>
              <w:pStyle w:val="4"/>
              <w:rPr>
                <w:rFonts w:hint="default" w:ascii="Times New Roman" w:hAnsi="Times New Roman" w:cs="Times New Roman"/>
              </w:rPr>
            </w:pPr>
          </w:p>
          <w:p>
            <w:pPr>
              <w:pStyle w:val="5"/>
              <w:rPr>
                <w:rFonts w:hint="default" w:ascii="Times New Roman" w:hAnsi="Times New Roman" w:cs="Times New Roman"/>
              </w:rPr>
            </w:pPr>
          </w:p>
          <w:p>
            <w:pPr>
              <w:pStyle w:val="6"/>
              <w:rPr>
                <w:rFonts w:hint="default" w:ascii="Times New Roman" w:hAnsi="Times New Roman" w:cs="Times New Roman"/>
              </w:rPr>
            </w:pPr>
          </w:p>
          <w:p>
            <w:pPr>
              <w:pStyle w:val="7"/>
              <w:rPr>
                <w:rFonts w:hint="default"/>
              </w:rPr>
            </w:pPr>
          </w:p>
          <w:p>
            <w:pPr>
              <w:widowControl w:val="0"/>
              <w:spacing w:after="0" w:line="360" w:lineRule="auto"/>
              <w:ind w:firstLine="488" w:firstLineChars="200"/>
              <w:jc w:val="both"/>
              <w:textAlignment w:val="baseline"/>
              <w:rPr>
                <w:rFonts w:hint="default" w:ascii="Times New Roman" w:hAnsi="Times New Roman" w:eastAsia="宋体" w:cs="Times New Roman"/>
                <w:color w:val="FF0000"/>
                <w:spacing w:val="2"/>
                <w:kern w:val="2"/>
                <w:sz w:val="24"/>
                <w:szCs w:val="20"/>
              </w:rPr>
            </w:pPr>
          </w:p>
          <w:p>
            <w:pPr>
              <w:widowControl w:val="0"/>
              <w:spacing w:after="0" w:line="360" w:lineRule="auto"/>
              <w:ind w:firstLine="488" w:firstLineChars="200"/>
              <w:jc w:val="both"/>
              <w:textAlignment w:val="baseline"/>
              <w:rPr>
                <w:rFonts w:hint="default" w:ascii="Times New Roman" w:hAnsi="Times New Roman" w:eastAsia="宋体" w:cs="Times New Roman"/>
                <w:color w:val="FF0000"/>
                <w:spacing w:val="2"/>
                <w:kern w:val="2"/>
                <w:sz w:val="24"/>
                <w:szCs w:val="20"/>
              </w:rPr>
            </w:pPr>
          </w:p>
          <w:p>
            <w:pPr>
              <w:pStyle w:val="2"/>
              <w:rPr>
                <w:rFonts w:hint="default"/>
              </w:rPr>
            </w:pPr>
          </w:p>
          <w:p>
            <w:pPr>
              <w:widowControl w:val="0"/>
              <w:spacing w:after="0" w:line="360" w:lineRule="auto"/>
              <w:ind w:firstLine="440" w:firstLineChars="200"/>
              <w:jc w:val="both"/>
              <w:textAlignment w:val="baseline"/>
              <w:rPr>
                <w:rFonts w:hint="default" w:ascii="Times New Roman" w:hAnsi="Times New Roman" w:cs="Times New Roman"/>
                <w:color w:val="FF0000"/>
              </w:rPr>
            </w:pPr>
          </w:p>
        </w:tc>
      </w:tr>
    </w:tbl>
    <w:p>
      <w:pPr>
        <w:pStyle w:val="14"/>
        <w:pageBreakBefore/>
        <w:widowControl w:val="0"/>
        <w:spacing w:before="0" w:line="360" w:lineRule="auto"/>
        <w:rPr>
          <w:rFonts w:hint="default" w:ascii="Times New Roman" w:hAnsi="Times New Roman" w:cs="Times New Roman"/>
          <w:color w:val="auto"/>
        </w:rPr>
      </w:pPr>
      <w:bookmarkStart w:id="2" w:name="_Toc514773519"/>
      <w:bookmarkStart w:id="3" w:name="_Toc472601258"/>
      <w:r>
        <w:rPr>
          <w:rFonts w:hint="default" w:ascii="Times New Roman" w:hAnsi="Times New Roman" w:cs="Times New Roman"/>
          <w:color w:val="auto"/>
        </w:rPr>
        <w:t>二、</w:t>
      </w:r>
      <w:r>
        <w:rPr>
          <w:rFonts w:hint="default" w:ascii="Times New Roman" w:hAnsi="Times New Roman" w:eastAsia="宋体" w:cs="Times New Roman"/>
          <w:bCs w:val="0"/>
          <w:color w:val="auto"/>
          <w:kern w:val="44"/>
          <w:sz w:val="30"/>
          <w:szCs w:val="20"/>
        </w:rPr>
        <w:t>建设项目</w:t>
      </w:r>
      <w:r>
        <w:rPr>
          <w:rFonts w:hint="default" w:ascii="Times New Roman" w:hAnsi="Times New Roman" w:cs="Times New Roman"/>
          <w:color w:val="auto"/>
        </w:rPr>
        <w:t>所在地自然环境社会环境简况</w:t>
      </w:r>
      <w:bookmarkEnd w:id="2"/>
    </w:p>
    <w:bookmarkEnd w:id="3"/>
    <w:tbl>
      <w:tblPr>
        <w:tblStyle w:val="43"/>
        <w:tblW w:w="954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0" w:type="dxa"/>
            <w:shd w:val="clear" w:color="auto" w:fill="auto"/>
          </w:tcPr>
          <w:p>
            <w:pPr>
              <w:widowControl w:val="0"/>
              <w:adjustRightInd w:val="0"/>
              <w:spacing w:after="0" w:line="360" w:lineRule="auto"/>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自然环境简况（地形、地貌、地质、气候、气象、水文、植被、生物多样性等）：</w:t>
            </w:r>
          </w:p>
          <w:p>
            <w:pPr>
              <w:widowControl w:val="0"/>
              <w:spacing w:after="0" w:line="360" w:lineRule="auto"/>
              <w:ind w:firstLine="482" w:firstLineChars="200"/>
              <w:jc w:val="both"/>
              <w:textAlignment w:val="baseline"/>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 xml:space="preserve">一、地理位置 </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 xml:space="preserve"> 本项目位于开平市水口镇内环东路第三工业园01号，中心地理位置位于N22.459438°、E112.781336°。</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江门市位于广东省中南部，珠江三角洲西部，南临南海。是粤西的重要交通走廊，广湛线325国道横贯全市，佛开高速公路、江鹤高速公路、新台高速公路、广东西部沿海高速公路新会和台山段已建成通车，江中高速公路、开阳高速公路已在修建。境内西江、潭江两大流域均有河海联运之利，已通航广州、广西梧州和港澳等地，水路至香港95海里，至澳门53海里。</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开平市位于广东省中南部、珠江三角洲西南面，毗邻港澳，北距广州市110公里。地跨东经112°13'～112°48'，北纬21°56'～22°39'；东北连新会，正北靠鹤山，东南近台山，西南接恩平，西北邻新兴。全市总面积1659平方公里。</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水口镇地处珠江三角洲、潭江北岸平原区，位于广东省开平市东郊，距三埠市区10公里，总面积33.1平方公里，总人口5万多人。全镇有10个村委会99条自然村及2个城镇居委会，古称单水口，是一个有悠久历史的城镇。 水口镇地理环境优越，水陆交通方便，是台山、新会、鹤山、开平的交汇处，设有对外开放口岸，325国道、佛开高速公路、开阳高速公路、江开公路贯通全境，东通香港、澳门和广州、深圳、珠海，西至湛江、海南岛。商贸往来便利，是南来北往客商、港澳华侨出入必往之地。</w:t>
            </w:r>
          </w:p>
          <w:p>
            <w:pPr>
              <w:widowControl w:val="0"/>
              <w:spacing w:after="0" w:line="360" w:lineRule="auto"/>
              <w:ind w:firstLine="482" w:firstLineChars="200"/>
              <w:jc w:val="both"/>
              <w:textAlignment w:val="baseline"/>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 xml:space="preserve">二、地形、地貌 </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开平市境内南北西部多低山丘陵，东、中部多丘陵平原，潭江自西向东横贯市腹，地势自南北两面向潭江河各地带倾斜，海拔50米以下的平原面积占全市面积的69%，丘陵面积占29%，山地面积占2%。潭江、苍江相会，穿流而过，水深河宽，环境优美，景色宜人，素有“小武汉”之称，历来是重要商埠和货物散集地。</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开平市地势西北高，东南低，北部、西北部山地丘陵广布，东部、中部、南部河谷、冲积平原、三角洲平原宽广，丘陵、台地错落其间，沿海砂洲发育，组成错综复杂的多元化地貌景观；开平主要山脉有天露山、梁金山、百立山、罗汉山等，其中天露山脉，北临新兴，南邻开平，主峰天露山海拔1254米，北峰水源山海拔1137米，两峰直线相距10公里，中间为大大小小的起伏的山头。天露山为新兴境内最高峰。</w:t>
            </w:r>
          </w:p>
          <w:p>
            <w:pPr>
              <w:widowControl w:val="0"/>
              <w:spacing w:after="0" w:line="360" w:lineRule="auto"/>
              <w:ind w:firstLine="482" w:firstLineChars="200"/>
              <w:jc w:val="both"/>
              <w:textAlignment w:val="baseline"/>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 xml:space="preserve">三、气象气候 </w:t>
            </w:r>
          </w:p>
          <w:p>
            <w:pPr>
              <w:widowControl w:val="0"/>
              <w:autoSpaceDE w:val="0"/>
              <w:autoSpaceDN w:val="0"/>
              <w:adjustRightInd w:val="0"/>
              <w:snapToGrid w:val="0"/>
              <w:spacing w:after="0" w:line="360" w:lineRule="auto"/>
              <w:ind w:left="0" w:right="0" w:firstLine="556"/>
              <w:jc w:val="both"/>
              <w:rPr>
                <w:rFonts w:hint="default" w:ascii="Times New Roman" w:hAnsi="Times New Roman" w:eastAsia="宋体" w:cs="Times New Roman"/>
                <w:color w:val="auto"/>
                <w:spacing w:val="0"/>
                <w:kern w:val="0"/>
                <w:position w:val="0"/>
                <w:sz w:val="24"/>
                <w:szCs w:val="24"/>
                <w:lang w:val="en-US" w:eastAsia="zh-CN" w:bidi="ar-SA"/>
              </w:rPr>
            </w:pPr>
            <w:r>
              <w:rPr>
                <w:rFonts w:hint="default" w:ascii="Times New Roman" w:hAnsi="Times New Roman" w:eastAsia="楷体_GB2312" w:cs="Times New Roman"/>
                <w:b/>
                <w:color w:val="auto"/>
                <w:spacing w:val="2"/>
                <w:kern w:val="2"/>
                <w:position w:val="-40"/>
                <w:sz w:val="24"/>
                <w:szCs w:val="20"/>
                <w:lang w:val="en-US" w:eastAsia="zh-CN" w:bidi="ar-SA"/>
              </w:rPr>
              <w:t xml:space="preserve"> </w:t>
            </w:r>
            <w:r>
              <w:rPr>
                <w:rFonts w:hint="default" w:ascii="Times New Roman" w:hAnsi="Times New Roman" w:eastAsia="宋体" w:cs="Times New Roman"/>
                <w:color w:val="auto"/>
                <w:spacing w:val="0"/>
                <w:kern w:val="0"/>
                <w:position w:val="0"/>
                <w:sz w:val="24"/>
                <w:szCs w:val="24"/>
                <w:lang w:val="en-US" w:eastAsia="zh-CN" w:bidi="ar-SA"/>
              </w:rPr>
              <w:t>开平市地处北回归线以南，属南亚热带海洋性季风气候，濒临南海，有海洋风调节，常年气候温和湿润，日照充分，雨量充沛。全年主导风向为东北风，其中6～8月份以偏南风为主。全年80%以上的降水出现在4～9月，7～9月是台风活动的频发期。根据开平市最近20年的气象观测资料统计，其主要气象特征见下表。</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开平市气象站近20年主要气候资料统计值（1998-2018）</w:t>
            </w:r>
          </w:p>
          <w:tbl>
            <w:tblPr>
              <w:tblStyle w:val="4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3"/>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spacing w:after="0" w:line="240" w:lineRule="auto"/>
                    <w:jc w:val="center"/>
                    <w:rPr>
                      <w:rFonts w:hint="default" w:ascii="Times New Roman" w:hAnsi="Times New Roman" w:eastAsia="宋体" w:cs="Times New Roman"/>
                      <w:b/>
                      <w:color w:val="auto"/>
                      <w:kern w:val="2"/>
                      <w:sz w:val="21"/>
                      <w:szCs w:val="24"/>
                    </w:rPr>
                  </w:pPr>
                  <w:r>
                    <w:rPr>
                      <w:rFonts w:hint="default" w:ascii="Times New Roman" w:hAnsi="Times New Roman" w:eastAsia="宋体" w:cs="Times New Roman"/>
                      <w:b/>
                      <w:color w:val="auto"/>
                      <w:kern w:val="2"/>
                      <w:sz w:val="21"/>
                      <w:szCs w:val="24"/>
                    </w:rPr>
                    <w:t>项目</w:t>
                  </w:r>
                </w:p>
              </w:tc>
              <w:tc>
                <w:tcPr>
                  <w:tcW w:w="4787" w:type="dxa"/>
                  <w:noWrap w:val="0"/>
                  <w:vAlign w:val="center"/>
                </w:tcPr>
                <w:p>
                  <w:pPr>
                    <w:widowControl w:val="0"/>
                    <w:spacing w:after="0" w:line="240" w:lineRule="auto"/>
                    <w:jc w:val="center"/>
                    <w:rPr>
                      <w:rFonts w:hint="default" w:ascii="Times New Roman" w:hAnsi="Times New Roman" w:eastAsia="宋体" w:cs="Times New Roman"/>
                      <w:b/>
                      <w:color w:val="auto"/>
                      <w:kern w:val="2"/>
                      <w:sz w:val="21"/>
                      <w:szCs w:val="24"/>
                    </w:rPr>
                  </w:pPr>
                  <w:r>
                    <w:rPr>
                      <w:rFonts w:hint="default" w:ascii="Times New Roman" w:hAnsi="Times New Roman" w:eastAsia="宋体" w:cs="Times New Roman"/>
                      <w:b/>
                      <w:color w:val="auto"/>
                      <w:kern w:val="2"/>
                      <w:sz w:val="21"/>
                      <w:szCs w:val="24"/>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年平均风速(m/s)</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最大风速(m/s)及出现的时间</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42.1，NE</w:t>
                  </w:r>
                </w:p>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出现时间：2018年9月16日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年平均气温（℃）</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22.97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极端最高气温（℃）及出现的时间</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39.4</w:t>
                  </w:r>
                </w:p>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极端最低气温（℃）及出现的时间</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1.5</w:t>
                  </w:r>
                </w:p>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年平均相对湿度（%）</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77.38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年均降水量（mm）</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1945.35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多年平均最大日降水量及出现的时间</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最大值：287mm  出现时间：1999年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年平均降水日数（d）</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151.37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年平均日照时数（h）</w:t>
                  </w:r>
                </w:p>
              </w:tc>
              <w:tc>
                <w:tcPr>
                  <w:tcW w:w="4787" w:type="dxa"/>
                  <w:noWrap w:val="0"/>
                  <w:vAlign w:val="center"/>
                </w:tcPr>
                <w:p>
                  <w:pPr>
                    <w:widowControl w:val="0"/>
                    <w:adjustRightInd w:val="0"/>
                    <w:snapToGrid w:val="0"/>
                    <w:spacing w:after="0" w:line="24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1696.7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widowControl w:val="0"/>
                    <w:adjustRightInd w:val="0"/>
                    <w:snapToGrid w:val="0"/>
                    <w:spacing w:after="0" w:line="36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近五年（2013~2018年）平均风速（m/s）</w:t>
                  </w:r>
                </w:p>
              </w:tc>
              <w:tc>
                <w:tcPr>
                  <w:tcW w:w="4787" w:type="dxa"/>
                  <w:noWrap w:val="0"/>
                  <w:vAlign w:val="center"/>
                </w:tcPr>
                <w:p>
                  <w:pPr>
                    <w:widowControl w:val="0"/>
                    <w:adjustRightInd w:val="0"/>
                    <w:snapToGrid w:val="0"/>
                    <w:spacing w:after="0" w:line="360" w:lineRule="auto"/>
                    <w:jc w:val="center"/>
                    <w:rPr>
                      <w:rFonts w:hint="default" w:ascii="Times New Roman" w:hAnsi="Times New Roman" w:eastAsia="宋体" w:cs="Times New Roman"/>
                      <w:snapToGrid w:val="0"/>
                      <w:color w:val="auto"/>
                      <w:kern w:val="2"/>
                      <w:sz w:val="21"/>
                      <w:szCs w:val="21"/>
                    </w:rPr>
                  </w:pPr>
                  <w:r>
                    <w:rPr>
                      <w:rFonts w:hint="default" w:ascii="Times New Roman" w:hAnsi="Times New Roman" w:eastAsia="宋体" w:cs="Times New Roman"/>
                      <w:snapToGrid w:val="0"/>
                      <w:color w:val="auto"/>
                      <w:kern w:val="2"/>
                      <w:sz w:val="21"/>
                      <w:szCs w:val="21"/>
                    </w:rPr>
                    <w:t>1.95</w:t>
                  </w:r>
                </w:p>
              </w:tc>
            </w:tr>
          </w:tbl>
          <w:p>
            <w:pPr>
              <w:widowControl w:val="0"/>
              <w:spacing w:after="0" w:line="360" w:lineRule="auto"/>
              <w:ind w:firstLine="482" w:firstLineChars="200"/>
              <w:jc w:val="both"/>
              <w:textAlignment w:val="baseline"/>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 xml:space="preserve">四、水文 </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区域内主要水系为潭江，潭江发源于广东恩平市乌丰顶，自西向东流经恩平、开平、台山新会等地，在新会区三江口附近与江门河汇合后入银洲湖经崖门口出海。潭江是西江水系的一级支流，同时潭江也是珠江三角洲骨干航道网"三纵三横"其中一横的重要河段，潭江流域沿途汇纳朗底水、莲塘水、蚬岗水、白沙水、镇海水、新昌水、公益水、新桥水、址山水，河长248km，集水面积5068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，平均坡降0.45‰。各支流水文状况如下：</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（1）镇海水  位于流域北部，为潭江最大的一级支流，发源于鹤山将军岭，自西北向东，汇入双桥水后，河流折向南流，汇入开平水，经沙塘在交流渡汇入潭江。有宅梧河、双桥水、开平水等3条100km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以上的二级支流以及靖村水、曲水等三级支流。流域面积1203km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，河流长69km，河床上游平缓，平均比降为0.81‰。下游为潮区。</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（2）新昌水  位于流域南部，发源于台山市古兜山的狮子尾，西北流经四九镇，至合水汇入五十水，再流经台城，然后北流与三合水汇流。在三埠原开平氮肥厂附近汇入主流，流域面积576km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。有五十水、三合水2条二级支流，河流长52km，比降上游较陡，下游平缓，平均比降1.81‰。</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（3）新桥水  位于流域东北部，发源于鹤山市皂幕山，东南流经月山镇，在水口镇流入潭江干流，流域面积143km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，属平原丘陵河流，平原、山丘各占50。河流长28km，比降平缓，平均比降为0.68‰。</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（4）公义水  位于流域南部，发源于古兜山北部的烟斗岗，西北流经大江镇，与水步支流汇合。至公益流入潭江干流，流域面积136km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，属平原丘陵山地河流。河流长28km，比降平缓，平均比降为0.68‰。</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（5）白沙水  白沙水又名赤水河，发源于开平市三两银山，于白足尾汇入潭江，集水面积383km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，河长49km，其中境内集水面积241km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w:t>
            </w:r>
          </w:p>
          <w:p>
            <w:pPr>
              <w:widowControl w:val="0"/>
              <w:spacing w:after="0" w:line="360" w:lineRule="auto"/>
              <w:ind w:firstLine="480" w:firstLineChars="200"/>
              <w:jc w:val="both"/>
              <w:textAlignment w:val="baseline"/>
              <w:rPr>
                <w:rFonts w:hint="default" w:ascii="Times New Roman" w:hAnsi="Times New Roman" w:cs="Times New Roman"/>
                <w:color w:val="auto"/>
                <w:szCs w:val="24"/>
              </w:rPr>
            </w:pPr>
            <w:r>
              <w:rPr>
                <w:rFonts w:hint="default" w:ascii="Times New Roman" w:hAnsi="Times New Roman" w:eastAsia="宋体" w:cs="Times New Roman"/>
                <w:color w:val="auto"/>
                <w:kern w:val="2"/>
                <w:sz w:val="24"/>
              </w:rPr>
              <w:t>（6）蚬冈水  发源于恩平五点梅花山，在金鸡镇进入开平市境内，汇入金鸡水后在茅朗汇入潭江，集水面积185km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，河长34km，其中境内河长29km，集水面积为148km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5" w:hRule="atLeast"/>
        </w:trPr>
        <w:tc>
          <w:tcPr>
            <w:tcW w:w="9540" w:type="dxa"/>
          </w:tcPr>
          <w:p>
            <w:pPr>
              <w:widowControl w:val="0"/>
              <w:adjustRightInd w:val="0"/>
              <w:spacing w:after="0" w:line="360" w:lineRule="auto"/>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建设项目环境功能区区划分类表</w:t>
            </w:r>
          </w:p>
          <w:tbl>
            <w:tblPr>
              <w:tblStyle w:val="44"/>
              <w:tblW w:w="93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2976"/>
              <w:gridCol w:w="5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编号</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项目</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功能区类别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水环境功能区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cs="Times New Roman"/>
                      <w:color w:val="auto"/>
                      <w:sz w:val="21"/>
                      <w:szCs w:val="21"/>
                      <w:shd w:val="clear" w:color="auto" w:fill="auto"/>
                      <w:lang w:val="en-US" w:eastAsia="zh-CN"/>
                    </w:rPr>
                    <w:t>项目受纳水体为</w:t>
                  </w:r>
                  <w:r>
                    <w:rPr>
                      <w:rFonts w:hint="default" w:ascii="Times New Roman" w:hAnsi="Times New Roman" w:cs="Times New Roman"/>
                      <w:color w:val="auto"/>
                      <w:sz w:val="21"/>
                      <w:szCs w:val="21"/>
                      <w:shd w:val="clear" w:color="auto" w:fill="auto"/>
                    </w:rPr>
                    <w:t>潭江</w:t>
                  </w:r>
                  <w:r>
                    <w:rPr>
                      <w:rFonts w:hint="default" w:ascii="Times New Roman" w:hAnsi="Times New Roman" w:cs="Times New Roman"/>
                      <w:color w:val="auto"/>
                      <w:sz w:val="21"/>
                      <w:szCs w:val="21"/>
                      <w:shd w:val="clear" w:color="auto" w:fill="auto"/>
                      <w:lang w:eastAsia="zh-CN"/>
                    </w:rPr>
                    <w:t>，根据《关于印发&lt;广东省地表水环境功能区划&gt;的通知》（粤环[2011]14号）以及</w:t>
                  </w:r>
                  <w:r>
                    <w:rPr>
                      <w:rFonts w:hint="default" w:ascii="Times New Roman" w:hAnsi="Times New Roman" w:eastAsia="宋体" w:cs="Times New Roman"/>
                      <w:b w:val="0"/>
                      <w:bCs/>
                      <w:color w:val="auto"/>
                      <w:szCs w:val="24"/>
                      <w:shd w:val="clear" w:color="auto" w:fill="auto"/>
                      <w:lang w:eastAsia="zh-CN"/>
                    </w:rPr>
                    <w:t>《开平市水口污水处理厂提标改造工程项目》环境影响评价报告表与其批复</w:t>
                  </w:r>
                  <w:r>
                    <w:rPr>
                      <w:rFonts w:hint="default" w:ascii="Times New Roman" w:hAnsi="Times New Roman" w:eastAsia="宋体" w:cs="Times New Roman"/>
                      <w:b w:val="0"/>
                      <w:bCs/>
                      <w:color w:val="auto"/>
                      <w:szCs w:val="24"/>
                      <w:shd w:val="clear" w:color="auto" w:fill="auto"/>
                    </w:rPr>
                    <w:t>（</w:t>
                  </w:r>
                  <w:r>
                    <w:rPr>
                      <w:rFonts w:hint="default" w:ascii="Times New Roman" w:hAnsi="Times New Roman" w:eastAsia="宋体" w:cs="Times New Roman"/>
                      <w:b w:val="0"/>
                      <w:bCs/>
                      <w:color w:val="auto"/>
                      <w:szCs w:val="24"/>
                      <w:shd w:val="clear" w:color="auto" w:fill="auto"/>
                      <w:lang w:eastAsia="zh-CN"/>
                    </w:rPr>
                    <w:t>开环批</w:t>
                  </w:r>
                  <w:r>
                    <w:rPr>
                      <w:rFonts w:hint="default" w:ascii="Times New Roman" w:hAnsi="Times New Roman" w:eastAsia="宋体" w:cs="Times New Roman"/>
                      <w:b w:val="0"/>
                      <w:bCs/>
                      <w:color w:val="auto"/>
                      <w:szCs w:val="24"/>
                      <w:shd w:val="clear" w:color="auto" w:fill="auto"/>
                    </w:rPr>
                    <w:t>[201</w:t>
                  </w:r>
                  <w:r>
                    <w:rPr>
                      <w:rFonts w:hint="default" w:ascii="Times New Roman" w:hAnsi="Times New Roman" w:eastAsia="宋体" w:cs="Times New Roman"/>
                      <w:b w:val="0"/>
                      <w:bCs/>
                      <w:color w:val="auto"/>
                      <w:szCs w:val="24"/>
                      <w:shd w:val="clear" w:color="auto" w:fill="auto"/>
                      <w:lang w:val="en-US" w:eastAsia="zh-CN"/>
                    </w:rPr>
                    <w:t>8</w:t>
                  </w:r>
                  <w:r>
                    <w:rPr>
                      <w:rFonts w:hint="default" w:ascii="Times New Roman" w:hAnsi="Times New Roman" w:eastAsia="宋体" w:cs="Times New Roman"/>
                      <w:b w:val="0"/>
                      <w:bCs/>
                      <w:color w:val="auto"/>
                      <w:szCs w:val="24"/>
                      <w:shd w:val="clear" w:color="auto" w:fill="auto"/>
                    </w:rPr>
                    <w:t>]1</w:t>
                  </w:r>
                  <w:r>
                    <w:rPr>
                      <w:rFonts w:hint="default" w:ascii="Times New Roman" w:hAnsi="Times New Roman" w:eastAsia="宋体" w:cs="Times New Roman"/>
                      <w:b w:val="0"/>
                      <w:bCs/>
                      <w:color w:val="auto"/>
                      <w:szCs w:val="24"/>
                      <w:shd w:val="clear" w:color="auto" w:fill="auto"/>
                      <w:lang w:val="en-US" w:eastAsia="zh-CN"/>
                    </w:rPr>
                    <w:t>68</w:t>
                  </w:r>
                  <w:r>
                    <w:rPr>
                      <w:rFonts w:hint="default" w:ascii="Times New Roman" w:hAnsi="Times New Roman" w:eastAsia="宋体" w:cs="Times New Roman"/>
                      <w:b w:val="0"/>
                      <w:bCs/>
                      <w:color w:val="auto"/>
                      <w:szCs w:val="24"/>
                      <w:shd w:val="clear" w:color="auto" w:fill="auto"/>
                    </w:rPr>
                    <w:t>号）</w:t>
                  </w:r>
                  <w:r>
                    <w:rPr>
                      <w:rFonts w:hint="default" w:ascii="Times New Roman" w:hAnsi="Times New Roman" w:cs="Times New Roman"/>
                      <w:color w:val="auto"/>
                      <w:sz w:val="21"/>
                      <w:szCs w:val="21"/>
                      <w:shd w:val="clear" w:color="auto" w:fill="auto"/>
                      <w:lang w:eastAsia="zh-CN"/>
                    </w:rPr>
                    <w:t>，潭江</w:t>
                  </w:r>
                  <w:r>
                    <w:rPr>
                      <w:rFonts w:hint="default" w:ascii="Times New Roman" w:hAnsi="Times New Roman" w:cs="Times New Roman"/>
                      <w:color w:val="auto"/>
                      <w:sz w:val="21"/>
                      <w:szCs w:val="21"/>
                      <w:shd w:val="clear" w:color="auto" w:fill="auto"/>
                    </w:rPr>
                    <w:t>执行《地表水环境质量标准》（GB3838-2002）Ⅱ类标准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大气环境功能区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color w:val="auto"/>
                      <w:kern w:val="2"/>
                      <w:sz w:val="21"/>
                      <w:szCs w:val="21"/>
                    </w:rPr>
                    <w:t>根据《江门市环境保护规划》（2006-2020年），项目</w:t>
                  </w:r>
                  <w:r>
                    <w:rPr>
                      <w:rFonts w:ascii="Times New Roman" w:hAnsi="Times New Roman"/>
                      <w:color w:val="auto"/>
                      <w:kern w:val="2"/>
                      <w:sz w:val="21"/>
                      <w:szCs w:val="21"/>
                    </w:rPr>
                    <w:t>属二类区域，</w:t>
                  </w:r>
                  <w:r>
                    <w:rPr>
                      <w:rFonts w:hint="default" w:ascii="Times New Roman" w:hAnsi="Times New Roman" w:eastAsia="宋体" w:cs="Times New Roman"/>
                      <w:color w:val="auto"/>
                      <w:kern w:val="2"/>
                      <w:sz w:val="21"/>
                      <w:szCs w:val="21"/>
                    </w:rPr>
                    <w:t>执行《环境空气质量标准》(GB 3095-2012)及其修改单（2018年）二级标准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3</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声环境功能区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color w:val="auto"/>
                      <w:kern w:val="2"/>
                      <w:sz w:val="21"/>
                      <w:szCs w:val="21"/>
                    </w:rPr>
                    <w:t>根据《声环境质量标准》（GB3096-2008）、《声环境功能区划分技术规范》（GB/T159190-2014）的相关规定，</w:t>
                  </w:r>
                  <w:r>
                    <w:rPr>
                      <w:rFonts w:hint="eastAsia" w:ascii="Times New Roman" w:hAnsi="Times New Roman"/>
                      <w:color w:val="auto"/>
                      <w:kern w:val="2"/>
                      <w:sz w:val="21"/>
                      <w:szCs w:val="21"/>
                      <w:lang w:eastAsia="zh-CN"/>
                    </w:rPr>
                    <w:t>本项目</w:t>
                  </w:r>
                  <w:r>
                    <w:rPr>
                      <w:rFonts w:ascii="Times New Roman" w:hAnsi="Times New Roman"/>
                      <w:color w:val="auto"/>
                      <w:kern w:val="2"/>
                      <w:sz w:val="21"/>
                      <w:szCs w:val="21"/>
                      <w:shd w:val="clear" w:color="auto" w:fill="auto"/>
                    </w:rPr>
                    <w:t>属</w:t>
                  </w:r>
                  <w:r>
                    <w:rPr>
                      <w:rFonts w:hint="eastAsia" w:ascii="Times New Roman" w:hAnsi="Times New Roman"/>
                      <w:color w:val="auto"/>
                      <w:kern w:val="2"/>
                      <w:sz w:val="21"/>
                      <w:szCs w:val="21"/>
                      <w:shd w:val="clear" w:color="auto" w:fill="auto"/>
                      <w:lang w:val="en-US" w:eastAsia="zh-CN"/>
                    </w:rPr>
                    <w:t>3</w:t>
                  </w:r>
                  <w:r>
                    <w:rPr>
                      <w:rFonts w:hint="eastAsia" w:ascii="Times New Roman" w:hAnsi="Times New Roman"/>
                      <w:color w:val="auto"/>
                      <w:kern w:val="2"/>
                      <w:sz w:val="21"/>
                      <w:szCs w:val="21"/>
                      <w:shd w:val="clear" w:color="auto" w:fill="auto"/>
                    </w:rPr>
                    <w:t>类</w:t>
                  </w:r>
                  <w:r>
                    <w:rPr>
                      <w:rFonts w:ascii="Times New Roman" w:hAnsi="Times New Roman"/>
                      <w:color w:val="auto"/>
                      <w:kern w:val="2"/>
                      <w:sz w:val="21"/>
                      <w:szCs w:val="21"/>
                      <w:shd w:val="clear" w:color="auto" w:fill="auto"/>
                    </w:rPr>
                    <w:t>区域，执行《</w:t>
                  </w:r>
                  <w:r>
                    <w:rPr>
                      <w:rFonts w:hint="eastAsia" w:ascii="Times New Roman" w:hAnsi="Times New Roman"/>
                      <w:color w:val="auto"/>
                      <w:kern w:val="2"/>
                      <w:sz w:val="21"/>
                      <w:szCs w:val="21"/>
                      <w:shd w:val="clear" w:color="auto" w:fill="auto"/>
                    </w:rPr>
                    <w:t>声</w:t>
                  </w:r>
                  <w:r>
                    <w:rPr>
                      <w:rFonts w:ascii="Times New Roman" w:hAnsi="Times New Roman"/>
                      <w:color w:val="auto"/>
                      <w:kern w:val="2"/>
                      <w:sz w:val="21"/>
                      <w:szCs w:val="21"/>
                      <w:shd w:val="clear" w:color="auto" w:fill="auto"/>
                    </w:rPr>
                    <w:t>环境</w:t>
                  </w:r>
                  <w:r>
                    <w:rPr>
                      <w:rFonts w:hint="eastAsia" w:ascii="Times New Roman" w:hAnsi="Times New Roman"/>
                      <w:color w:val="auto"/>
                      <w:kern w:val="2"/>
                      <w:sz w:val="21"/>
                      <w:szCs w:val="21"/>
                      <w:shd w:val="clear" w:color="auto" w:fill="auto"/>
                    </w:rPr>
                    <w:t>质量</w:t>
                  </w:r>
                  <w:r>
                    <w:rPr>
                      <w:rFonts w:ascii="Times New Roman" w:hAnsi="Times New Roman"/>
                      <w:color w:val="auto"/>
                      <w:kern w:val="2"/>
                      <w:sz w:val="21"/>
                      <w:szCs w:val="21"/>
                      <w:shd w:val="clear" w:color="auto" w:fill="auto"/>
                    </w:rPr>
                    <w:t>标准》（GB3096-</w:t>
                  </w:r>
                  <w:r>
                    <w:rPr>
                      <w:rFonts w:hint="eastAsia" w:ascii="Times New Roman" w:hAnsi="Times New Roman"/>
                      <w:color w:val="auto"/>
                      <w:kern w:val="2"/>
                      <w:sz w:val="21"/>
                      <w:szCs w:val="21"/>
                      <w:shd w:val="clear" w:color="auto" w:fill="auto"/>
                    </w:rPr>
                    <w:t>2008</w:t>
                  </w:r>
                  <w:r>
                    <w:rPr>
                      <w:rFonts w:ascii="Times New Roman" w:hAnsi="Times New Roman"/>
                      <w:color w:val="auto"/>
                      <w:kern w:val="2"/>
                      <w:sz w:val="21"/>
                      <w:szCs w:val="21"/>
                      <w:shd w:val="clear" w:color="auto" w:fill="auto"/>
                    </w:rPr>
                    <w:t>）</w:t>
                  </w:r>
                  <w:r>
                    <w:rPr>
                      <w:rFonts w:hint="eastAsia" w:ascii="Times New Roman" w:hAnsi="Times New Roman"/>
                      <w:color w:val="auto"/>
                      <w:kern w:val="2"/>
                      <w:sz w:val="21"/>
                      <w:szCs w:val="21"/>
                      <w:shd w:val="clear" w:color="auto" w:fill="auto"/>
                      <w:lang w:val="en-US" w:eastAsia="zh-CN"/>
                    </w:rPr>
                    <w:t>3</w:t>
                  </w:r>
                  <w:r>
                    <w:rPr>
                      <w:rFonts w:hint="eastAsia" w:ascii="Times New Roman" w:hAnsi="Times New Roman"/>
                      <w:color w:val="auto"/>
                      <w:kern w:val="2"/>
                      <w:sz w:val="21"/>
                      <w:szCs w:val="21"/>
                      <w:shd w:val="clear" w:color="auto" w:fill="auto"/>
                    </w:rPr>
                    <w:t>类</w:t>
                  </w:r>
                  <w:r>
                    <w:rPr>
                      <w:rFonts w:ascii="Times New Roman" w:hAnsi="Times New Roman"/>
                      <w:color w:val="auto"/>
                      <w:kern w:val="2"/>
                      <w:sz w:val="21"/>
                      <w:szCs w:val="21"/>
                      <w:shd w:val="clear" w:color="auto" w:fill="auto"/>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4</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基本农田保护区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5</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是否饮用水源保护区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6</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是否自然保护区、风景名胜区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7</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是否重点流域、重点湖泊</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8</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是否水土流失重点防治区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9</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是否珍稀动植物栖息地</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是否两</w:t>
                  </w:r>
                  <w:r>
                    <w:rPr>
                      <w:rFonts w:hint="eastAsia" w:ascii="Times New Roman" w:hAnsi="Times New Roman" w:eastAsia="宋体" w:cs="Times New Roman"/>
                      <w:color w:val="auto"/>
                      <w:kern w:val="2"/>
                      <w:sz w:val="21"/>
                      <w:szCs w:val="21"/>
                      <w:lang w:eastAsia="zh-CN"/>
                    </w:rPr>
                    <w:t>控</w:t>
                  </w:r>
                  <w:r>
                    <w:rPr>
                      <w:rFonts w:hint="default" w:ascii="Times New Roman" w:hAnsi="Times New Roman" w:eastAsia="宋体" w:cs="Times New Roman"/>
                      <w:color w:val="auto"/>
                      <w:kern w:val="2"/>
                      <w:sz w:val="21"/>
                      <w:szCs w:val="21"/>
                    </w:rPr>
                    <w:t>区</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是（酸雨控制区）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11</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是否森林公园、地址公园</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67"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12</w:t>
                  </w:r>
                </w:p>
              </w:tc>
              <w:tc>
                <w:tcPr>
                  <w:tcW w:w="2976"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是否污水处理厂集水范围</w:t>
                  </w:r>
                </w:p>
              </w:tc>
              <w:tc>
                <w:tcPr>
                  <w:tcW w:w="5571"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是，属于</w:t>
                  </w:r>
                  <w:r>
                    <w:rPr>
                      <w:rFonts w:hint="default" w:ascii="Times New Roman" w:hAnsi="Times New Roman" w:eastAsia="宋体" w:cs="Times New Roman"/>
                      <w:color w:val="auto"/>
                      <w:kern w:val="2"/>
                      <w:sz w:val="21"/>
                      <w:szCs w:val="21"/>
                      <w:lang w:eastAsia="zh-CN"/>
                    </w:rPr>
                    <w:t>开平市水口污水处理厂</w:t>
                  </w:r>
                  <w:r>
                    <w:rPr>
                      <w:rFonts w:hint="default" w:ascii="Times New Roman" w:hAnsi="Times New Roman" w:eastAsia="宋体" w:cs="Times New Roman"/>
                      <w:color w:val="auto"/>
                      <w:kern w:val="2"/>
                      <w:sz w:val="21"/>
                      <w:szCs w:val="21"/>
                    </w:rPr>
                    <w:t>纳污范围</w:t>
                  </w:r>
                </w:p>
              </w:tc>
            </w:tr>
          </w:tbl>
          <w:p>
            <w:pPr>
              <w:pStyle w:val="33"/>
              <w:spacing w:line="360" w:lineRule="auto"/>
              <w:ind w:firstLine="480" w:firstLineChars="200"/>
              <w:rPr>
                <w:rFonts w:hint="default" w:ascii="Times New Roman" w:hAnsi="Times New Roman" w:cs="Times New Roman"/>
                <w:b/>
                <w:bCs/>
                <w:color w:val="auto"/>
                <w:sz w:val="28"/>
                <w:shd w:val="clear" w:color="auto" w:fill="auto"/>
              </w:rPr>
            </w:pPr>
            <w:r>
              <w:rPr>
                <w:rFonts w:hint="default" w:ascii="Times New Roman" w:hAnsi="Times New Roman" w:cs="Times New Roman"/>
                <w:color w:val="auto"/>
                <w:szCs w:val="24"/>
                <w:highlight w:val="none"/>
              </w:rPr>
              <w:t>根据《建设项目环境影响评价技术导则—地下水环境》（HJ610-2016）附录A地下水环境影响评价行业分类表，本项目属于“</w:t>
            </w:r>
            <w:r>
              <w:rPr>
                <w:rFonts w:hint="default" w:ascii="Times New Roman" w:hAnsi="Times New Roman" w:cs="Times New Roman"/>
                <w:color w:val="auto"/>
                <w:szCs w:val="24"/>
                <w:highlight w:val="none"/>
                <w:lang w:val="en-US" w:eastAsia="zh-CN"/>
              </w:rPr>
              <w:t>53</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金属制品加工</w:t>
            </w:r>
            <w:r>
              <w:rPr>
                <w:rFonts w:hint="default" w:ascii="Times New Roman" w:hAnsi="Times New Roman" w:cs="Times New Roman"/>
                <w:color w:val="auto"/>
                <w:szCs w:val="24"/>
                <w:highlight w:val="none"/>
              </w:rPr>
              <w:t>制造”中的报告表类别，对应的是Ⅳ类项目，不开展地下水环境影响评价。</w:t>
            </w:r>
          </w:p>
          <w:p>
            <w:pPr>
              <w:pStyle w:val="33"/>
              <w:spacing w:line="360" w:lineRule="auto"/>
              <w:ind w:firstLine="480" w:firstLineChars="200"/>
              <w:rPr>
                <w:rFonts w:hint="default" w:ascii="Times New Roman" w:hAnsi="Times New Roman" w:cs="Times New Roman"/>
                <w:color w:val="auto"/>
                <w:szCs w:val="24"/>
                <w:highlight w:val="none"/>
              </w:rPr>
            </w:pPr>
          </w:p>
          <w:p>
            <w:pPr>
              <w:pStyle w:val="33"/>
              <w:spacing w:line="360" w:lineRule="auto"/>
              <w:ind w:firstLine="480" w:firstLineChars="200"/>
              <w:rPr>
                <w:rFonts w:hint="default" w:ascii="Times New Roman" w:hAnsi="Times New Roman" w:cs="Times New Roman"/>
                <w:color w:val="auto"/>
                <w:szCs w:val="24"/>
                <w:highlight w:val="none"/>
              </w:rPr>
            </w:pPr>
          </w:p>
          <w:p>
            <w:pPr>
              <w:pStyle w:val="33"/>
              <w:spacing w:line="360" w:lineRule="auto"/>
              <w:ind w:firstLine="480" w:firstLineChars="200"/>
              <w:rPr>
                <w:rFonts w:hint="default" w:ascii="Times New Roman" w:hAnsi="Times New Roman" w:cs="Times New Roman"/>
                <w:color w:val="auto"/>
                <w:szCs w:val="24"/>
                <w:highlight w:val="none"/>
              </w:rPr>
            </w:pPr>
          </w:p>
          <w:p>
            <w:pPr>
              <w:pStyle w:val="33"/>
              <w:spacing w:line="360" w:lineRule="auto"/>
              <w:ind w:firstLine="480" w:firstLineChars="200"/>
              <w:rPr>
                <w:rFonts w:hint="default" w:ascii="Times New Roman" w:hAnsi="Times New Roman" w:cs="Times New Roman"/>
                <w:color w:val="auto"/>
                <w:szCs w:val="24"/>
                <w:highlight w:val="none"/>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33"/>
              <w:ind w:firstLine="0"/>
              <w:rPr>
                <w:b/>
                <w:bCs/>
                <w:color w:val="auto"/>
                <w:sz w:val="28"/>
                <w:shd w:val="clear" w:color="auto" w:fill="auto"/>
              </w:rPr>
            </w:pPr>
          </w:p>
          <w:p>
            <w:pPr>
              <w:pStyle w:val="2"/>
              <w:rPr>
                <w:rFonts w:hint="default" w:ascii="Times New Roman" w:hAnsi="Times New Roman" w:cs="Times New Roman"/>
                <w:color w:val="FF0000"/>
              </w:rPr>
            </w:pPr>
          </w:p>
        </w:tc>
      </w:tr>
    </w:tbl>
    <w:p>
      <w:pPr>
        <w:pStyle w:val="14"/>
        <w:pageBreakBefore/>
        <w:widowControl w:val="0"/>
        <w:spacing w:before="0" w:line="360" w:lineRule="auto"/>
        <w:rPr>
          <w:rFonts w:hint="default" w:ascii="Times New Roman" w:hAnsi="Times New Roman" w:cs="Times New Roman"/>
          <w:color w:val="auto"/>
        </w:rPr>
      </w:pPr>
      <w:bookmarkStart w:id="4" w:name="_Toc472601259"/>
      <w:bookmarkStart w:id="5" w:name="_Toc514773520"/>
      <w:r>
        <w:rPr>
          <w:rFonts w:hint="default" w:ascii="Times New Roman" w:hAnsi="Times New Roman" w:cs="Times New Roman"/>
          <w:color w:val="auto"/>
        </w:rPr>
        <w:t>三、</w:t>
      </w:r>
      <w:r>
        <w:rPr>
          <w:rFonts w:hint="default" w:ascii="Times New Roman" w:hAnsi="Times New Roman" w:eastAsia="宋体" w:cs="Times New Roman"/>
          <w:bCs w:val="0"/>
          <w:color w:val="auto"/>
          <w:kern w:val="44"/>
          <w:sz w:val="30"/>
          <w:szCs w:val="20"/>
        </w:rPr>
        <w:t>环境质量</w:t>
      </w:r>
      <w:r>
        <w:rPr>
          <w:rFonts w:hint="default" w:ascii="Times New Roman" w:hAnsi="Times New Roman" w:cs="Times New Roman"/>
          <w:color w:val="auto"/>
        </w:rPr>
        <w:t>状况</w:t>
      </w:r>
      <w:bookmarkEnd w:id="4"/>
      <w:bookmarkEnd w:id="5"/>
    </w:p>
    <w:tbl>
      <w:tblPr>
        <w:tblStyle w:val="43"/>
        <w:tblW w:w="9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36" w:type="dxa"/>
          </w:tcPr>
          <w:p>
            <w:pPr>
              <w:widowControl w:val="0"/>
              <w:adjustRightInd w:val="0"/>
              <w:spacing w:after="0" w:line="360" w:lineRule="auto"/>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建设项目所在地区域环境质量现状及主要环境问题（环境空气、地面水、声环境、生态环境等）：</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1、地表水环境质量现状</w:t>
            </w:r>
          </w:p>
          <w:p>
            <w:pPr>
              <w:keepNext/>
              <w:keepLines/>
              <w:widowControl w:val="0"/>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highlight w:val="none"/>
                <w:lang w:val="en-US" w:eastAsia="zh-CN" w:bidi="ar-SA"/>
              </w:rPr>
            </w:pPr>
            <w:r>
              <w:rPr>
                <w:rFonts w:hint="default" w:ascii="Times New Roman" w:hAnsi="Times New Roman" w:eastAsia="宋体" w:cs="Times New Roman"/>
                <w:b w:val="0"/>
                <w:bCs/>
                <w:color w:val="auto"/>
                <w:kern w:val="24"/>
                <w:sz w:val="24"/>
                <w:szCs w:val="24"/>
                <w:highlight w:val="none"/>
                <w:lang w:val="en-US" w:eastAsia="zh-CN" w:bidi="ar-SA"/>
              </w:rPr>
              <w:t>本项目所在地属开平市水口污水处理厂纳污范围，生活污水经三级化粪池预处理后排入开平市水口污水处理厂集中处理，根据《开平市水口污水处理厂提标改造工程项目》环境影响评价报告表与其批复（开环批[2018]168号），水口污水处理厂尾水排入潭江。根据《关于印发&lt;广东省地表水环境功能区划&gt;的通知》（粤环[2011]14号），潭江执行《地表水环境质量标准》（GB3838-2002）中的II类标准。</w:t>
            </w:r>
          </w:p>
          <w:p>
            <w:pPr>
              <w:keepNext/>
              <w:keepLines/>
              <w:widowControl w:val="0"/>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根据江门市生态环境局发布的《2018年11月江门市江河水水质月报》，网址为</w:t>
            </w:r>
            <w:r>
              <w:rPr>
                <w:rFonts w:hint="default" w:ascii="Times New Roman" w:hAnsi="Times New Roman" w:eastAsia="宋体" w:cs="Times New Roman"/>
                <w:b w:val="0"/>
                <w:bCs/>
                <w:color w:val="auto"/>
                <w:kern w:val="24"/>
                <w:sz w:val="24"/>
                <w:szCs w:val="24"/>
                <w:shd w:val="clear" w:color="auto" w:fill="auto"/>
                <w:lang w:val="en-US" w:eastAsia="zh-CN" w:bidi="ar-SA"/>
              </w:rPr>
              <w:fldChar w:fldCharType="begin"/>
            </w:r>
            <w:r>
              <w:rPr>
                <w:rFonts w:hint="default" w:ascii="Times New Roman" w:hAnsi="Times New Roman" w:eastAsia="宋体" w:cs="Times New Roman"/>
                <w:b w:val="0"/>
                <w:bCs/>
                <w:color w:val="auto"/>
                <w:kern w:val="24"/>
                <w:sz w:val="24"/>
                <w:szCs w:val="24"/>
                <w:shd w:val="clear" w:color="auto" w:fill="auto"/>
                <w:lang w:val="en-US" w:eastAsia="zh-CN" w:bidi="ar-SA"/>
              </w:rPr>
              <w:instrText xml:space="preserve"> HYPERLINK "http://www.jiangmen.gov.cn/szdwzt/sthjj/hjzl/jhszyb/201812/t20181220_1782824.html" \h </w:instrText>
            </w:r>
            <w:r>
              <w:rPr>
                <w:rFonts w:hint="default" w:ascii="Times New Roman" w:hAnsi="Times New Roman" w:eastAsia="宋体" w:cs="Times New Roman"/>
                <w:b w:val="0"/>
                <w:bCs/>
                <w:color w:val="auto"/>
                <w:kern w:val="24"/>
                <w:sz w:val="24"/>
                <w:szCs w:val="24"/>
                <w:shd w:val="clear" w:color="auto" w:fill="auto"/>
                <w:lang w:val="en-US" w:eastAsia="zh-CN" w:bidi="ar-SA"/>
              </w:rPr>
              <w:fldChar w:fldCharType="separate"/>
            </w:r>
            <w:r>
              <w:rPr>
                <w:rFonts w:hint="default" w:ascii="Times New Roman" w:hAnsi="Times New Roman" w:eastAsia="宋体" w:cs="Times New Roman"/>
                <w:b w:val="0"/>
                <w:bCs/>
                <w:color w:val="auto"/>
                <w:kern w:val="24"/>
                <w:sz w:val="24"/>
                <w:szCs w:val="24"/>
                <w:shd w:val="clear" w:color="auto" w:fill="auto"/>
                <w:lang w:val="en-US" w:eastAsia="zh-CN" w:bidi="ar-SA"/>
              </w:rPr>
              <w:t>http://www.jiangmen.gov.cn/szdwzt/sthjj/hjzl/jhszyb/201812/t20181220_1782824.html</w:t>
            </w:r>
            <w:r>
              <w:rPr>
                <w:rFonts w:hint="default" w:ascii="Times New Roman" w:hAnsi="Times New Roman" w:eastAsia="宋体" w:cs="Times New Roman"/>
                <w:b w:val="0"/>
                <w:bCs/>
                <w:color w:val="auto"/>
                <w:kern w:val="24"/>
                <w:sz w:val="24"/>
                <w:szCs w:val="24"/>
                <w:shd w:val="clear" w:color="auto" w:fill="auto"/>
                <w:lang w:val="en-US" w:eastAsia="zh-CN" w:bidi="ar-SA"/>
              </w:rPr>
              <w:fldChar w:fldCharType="end"/>
            </w:r>
            <w:r>
              <w:rPr>
                <w:rFonts w:hint="default" w:ascii="Times New Roman" w:hAnsi="Times New Roman" w:eastAsia="宋体" w:cs="Times New Roman"/>
                <w:b w:val="0"/>
                <w:bCs/>
                <w:color w:val="auto"/>
                <w:kern w:val="24"/>
                <w:sz w:val="24"/>
                <w:szCs w:val="24"/>
                <w:shd w:val="clear" w:color="auto" w:fill="auto"/>
                <w:lang w:val="en-US" w:eastAsia="zh-CN" w:bidi="ar-SA"/>
              </w:rPr>
              <w:t>，潭江干流牛湾（退潮）断面地表水水质未能达到《地表水环境质量标准》（GB3838-2002）中的Ⅲ类标准，主要超标项目为溶解氧，该断面位于污水处理厂下游约6.2km处，说明本项目地表水环境质量一般，</w:t>
            </w:r>
            <w:r>
              <w:rPr>
                <w:rFonts w:hint="default" w:ascii="Times New Roman" w:hAnsi="Times New Roman" w:eastAsia="宋体" w:cs="Times New Roman"/>
                <w:b w:val="0"/>
                <w:bCs/>
                <w:color w:val="auto"/>
                <w:kern w:val="24"/>
                <w:sz w:val="24"/>
                <w:szCs w:val="20"/>
                <w:highlight w:val="none"/>
                <w:lang w:val="en-US" w:eastAsia="zh-CN" w:bidi="ar-SA"/>
              </w:rPr>
              <w:t>故该区域为地表水环境质量不达标区域</w:t>
            </w:r>
            <w:r>
              <w:rPr>
                <w:rFonts w:hint="default" w:ascii="Times New Roman" w:hAnsi="Times New Roman" w:eastAsia="宋体" w:cs="Times New Roman"/>
                <w:b w:val="0"/>
                <w:bCs/>
                <w:color w:val="auto"/>
                <w:kern w:val="24"/>
                <w:sz w:val="24"/>
                <w:szCs w:val="24"/>
                <w:shd w:val="clear" w:color="auto" w:fill="auto"/>
                <w:lang w:val="en-US" w:eastAsia="zh-CN" w:bidi="ar-SA"/>
              </w:rPr>
              <w:t>。</w:t>
            </w:r>
          </w:p>
          <w:p>
            <w:pPr>
              <w:keepNext/>
              <w:keepLines/>
              <w:widowControl w:val="0"/>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鉴于项目区域水质较差，地方政府一方面应加快城镇生活污水处理厂及其管网的建设，另一方面环保部门需加强工业污染源的监管，确保水质达标：</w:t>
            </w:r>
          </w:p>
          <w:p>
            <w:pPr>
              <w:keepNext/>
              <w:keepLines/>
              <w:widowControl w:val="0"/>
              <w:numPr>
                <w:ilvl w:val="0"/>
                <w:numId w:val="3"/>
              </w:numPr>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加快片区生活污水处理厂建设进度。</w:t>
            </w:r>
          </w:p>
          <w:p>
            <w:pPr>
              <w:keepNext/>
              <w:keepLines/>
              <w:widowControl w:val="0"/>
              <w:numPr>
                <w:ilvl w:val="0"/>
                <w:numId w:val="3"/>
              </w:numPr>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清理河涌淤泥，并妥善处理处置。</w:t>
            </w:r>
          </w:p>
          <w:p>
            <w:pPr>
              <w:keepNext/>
              <w:keepLines/>
              <w:widowControl w:val="0"/>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3、促进企业实施清洁生产，尽可能将处理后的废水回用于绿化、冲厕等方面，减少废水的产生和排放。</w:t>
            </w:r>
          </w:p>
          <w:p>
            <w:pPr>
              <w:keepNext/>
              <w:keepLines/>
              <w:widowControl w:val="0"/>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4、加强水口镇工业企业环境管理。水口镇排污企业偷排、漏排不达标污水以及超水量排放污水也是造成镇海水污染的主要因素之一，因此，环境监察部门应严查严惩水口镇偷排漏排企业，使企业做到达标且不超水量排放。</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2、环境空气质量现状</w:t>
            </w:r>
          </w:p>
          <w:p>
            <w:pPr>
              <w:widowControl w:val="0"/>
              <w:spacing w:after="0" w:line="360" w:lineRule="auto"/>
              <w:ind w:firstLine="480" w:firstLineChars="200"/>
              <w:jc w:val="left"/>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根据《江门市环境保护规划》（2006-2020年），项目所在区域属环境空气质量二类功能区，执行《环境空气质量标准》（GB3095-2012）及其2018年修改单中的二级标准。</w:t>
            </w:r>
          </w:p>
          <w:p>
            <w:pPr>
              <w:widowControl w:val="0"/>
              <w:spacing w:after="0" w:line="360" w:lineRule="auto"/>
              <w:ind w:firstLine="482" w:firstLineChars="200"/>
              <w:jc w:val="left"/>
              <w:rPr>
                <w:rFonts w:hint="default" w:ascii="Times New Roman" w:hAnsi="Times New Roman" w:eastAsia="宋体" w:cs="Times New Roman"/>
                <w:b/>
                <w:bCs/>
                <w:color w:val="auto"/>
                <w:kern w:val="2"/>
                <w:sz w:val="24"/>
                <w:szCs w:val="24"/>
                <w:highlight w:val="none"/>
                <w:lang w:val="en-US" w:eastAsia="zh-CN"/>
              </w:rPr>
            </w:pPr>
            <w:r>
              <w:rPr>
                <w:rFonts w:hint="default" w:ascii="Times New Roman" w:hAnsi="Times New Roman" w:eastAsia="宋体" w:cs="Times New Roman"/>
                <w:b/>
                <w:bCs/>
                <w:color w:val="auto"/>
                <w:kern w:val="2"/>
                <w:sz w:val="24"/>
                <w:szCs w:val="24"/>
                <w:highlight w:val="none"/>
                <w:lang w:eastAsia="zh-CN"/>
              </w:rPr>
              <w:t>（</w:t>
            </w:r>
            <w:r>
              <w:rPr>
                <w:rFonts w:hint="default" w:ascii="Times New Roman" w:hAnsi="Times New Roman" w:eastAsia="宋体" w:cs="Times New Roman"/>
                <w:b/>
                <w:bCs/>
                <w:color w:val="auto"/>
                <w:kern w:val="2"/>
                <w:sz w:val="24"/>
                <w:szCs w:val="24"/>
                <w:highlight w:val="none"/>
                <w:lang w:val="en-US" w:eastAsia="zh-CN"/>
              </w:rPr>
              <w:t>1）空气质量达标区判定</w:t>
            </w:r>
          </w:p>
          <w:p>
            <w:pPr>
              <w:widowControl w:val="0"/>
              <w:spacing w:after="0" w:line="360" w:lineRule="auto"/>
              <w:ind w:firstLine="480" w:firstLineChars="200"/>
              <w:jc w:val="left"/>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4"/>
                <w:szCs w:val="24"/>
                <w:highlight w:val="none"/>
              </w:rPr>
              <w:t>根据江门市环境保护局官网发布的《2018 年江门市环境质量状况》，</w:t>
            </w:r>
            <w:r>
              <w:rPr>
                <w:rFonts w:hint="default" w:ascii="Times New Roman" w:hAnsi="Times New Roman" w:eastAsia="宋体" w:cs="Times New Roman"/>
                <w:color w:val="auto"/>
                <w:kern w:val="2"/>
                <w:sz w:val="24"/>
                <w:szCs w:val="24"/>
                <w:highlight w:val="none"/>
                <w:lang w:eastAsia="zh-CN"/>
              </w:rPr>
              <w:t>江门市</w:t>
            </w:r>
            <w:r>
              <w:rPr>
                <w:rFonts w:hint="default" w:ascii="Times New Roman" w:hAnsi="Times New Roman" w:eastAsia="宋体" w:cs="Times New Roman"/>
                <w:color w:val="auto"/>
                <w:kern w:val="2"/>
                <w:sz w:val="24"/>
                <w:szCs w:val="24"/>
                <w:highlight w:val="none"/>
              </w:rPr>
              <w:t>2018年环境空气质量情况见下表。</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江门市2018年区域空气质量现状评价表</w:t>
            </w:r>
          </w:p>
          <w:tbl>
            <w:tblPr>
              <w:tblStyle w:val="43"/>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2677"/>
              <w:gridCol w:w="1395"/>
              <w:gridCol w:w="1457"/>
              <w:gridCol w:w="1605"/>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污染物</w:t>
                  </w:r>
                </w:p>
              </w:tc>
              <w:tc>
                <w:tcPr>
                  <w:tcW w:w="2677" w:type="dxa"/>
                  <w:noWrap w:val="0"/>
                  <w:vAlign w:val="center"/>
                </w:tcPr>
                <w:p>
                  <w:pPr>
                    <w:widowControl w:val="0"/>
                    <w:spacing w:after="0" w:line="360" w:lineRule="auto"/>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eastAsia="zh-CN"/>
                    </w:rPr>
                    <w:t>年评价指标</w:t>
                  </w:r>
                </w:p>
              </w:tc>
              <w:tc>
                <w:tcPr>
                  <w:tcW w:w="1395" w:type="dxa"/>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eastAsia="zh-CN"/>
                    </w:rPr>
                    <w:t>现状浓度</w:t>
                  </w:r>
                  <w:r>
                    <w:rPr>
                      <w:rFonts w:hint="default" w:ascii="Times New Roman" w:hAnsi="Times New Roman" w:eastAsia="宋体" w:cs="Times New Roman"/>
                      <w:b/>
                      <w:color w:val="auto"/>
                      <w:kern w:val="2"/>
                      <w:sz w:val="21"/>
                      <w:szCs w:val="21"/>
                      <w:highlight w:val="none"/>
                      <w:shd w:val="clear" w:color="auto" w:fill="auto"/>
                    </w:rPr>
                    <w:t>（μg/m³）</w:t>
                  </w:r>
                </w:p>
              </w:tc>
              <w:tc>
                <w:tcPr>
                  <w:tcW w:w="1457" w:type="dxa"/>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标准值</w:t>
                  </w:r>
                </w:p>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color w:val="auto"/>
                      <w:kern w:val="2"/>
                      <w:sz w:val="21"/>
                      <w:szCs w:val="21"/>
                      <w:highlight w:val="none"/>
                      <w:shd w:val="clear" w:color="auto" w:fill="auto"/>
                    </w:rPr>
                    <w:t>（μg/m³）</w:t>
                  </w:r>
                </w:p>
              </w:tc>
              <w:tc>
                <w:tcPr>
                  <w:tcW w:w="1605" w:type="dxa"/>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占标率</w:t>
                  </w:r>
                </w:p>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eastAsia="zh-CN"/>
                    </w:rPr>
                    <w:t>（</w:t>
                  </w:r>
                  <w:r>
                    <w:rPr>
                      <w:rFonts w:hint="default" w:ascii="Times New Roman" w:hAnsi="Times New Roman" w:eastAsia="宋体" w:cs="Times New Roman"/>
                      <w:b/>
                      <w:bCs/>
                      <w:color w:val="auto"/>
                      <w:kern w:val="2"/>
                      <w:sz w:val="21"/>
                      <w:szCs w:val="21"/>
                      <w:highlight w:val="none"/>
                      <w:lang w:val="en-US" w:eastAsia="zh-CN"/>
                    </w:rPr>
                    <w:t>%）</w:t>
                  </w:r>
                </w:p>
              </w:tc>
              <w:tc>
                <w:tcPr>
                  <w:tcW w:w="1172" w:type="dxa"/>
                  <w:noWrap w:val="0"/>
                  <w:vAlign w:val="center"/>
                </w:tcPr>
                <w:p>
                  <w:pPr>
                    <w:widowControl w:val="0"/>
                    <w:spacing w:after="0" w:line="36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rPr>
                    <w:t>达标</w:t>
                  </w:r>
                  <w:r>
                    <w:rPr>
                      <w:rFonts w:hint="default" w:ascii="Times New Roman" w:hAnsi="Times New Roman" w:eastAsia="宋体" w:cs="Times New Roman"/>
                      <w:b/>
                      <w:bCs/>
                      <w:color w:val="auto"/>
                      <w:kern w:val="2"/>
                      <w:sz w:val="21"/>
                      <w:szCs w:val="21"/>
                      <w:highlight w:val="none"/>
                      <w:lang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SO</w:t>
                  </w:r>
                  <w:r>
                    <w:rPr>
                      <w:rFonts w:hint="default" w:ascii="Times New Roman" w:hAnsi="Times New Roman" w:eastAsia="宋体" w:cs="Times New Roman"/>
                      <w:color w:val="auto"/>
                      <w:kern w:val="2"/>
                      <w:sz w:val="21"/>
                      <w:szCs w:val="21"/>
                      <w:highlight w:val="none"/>
                      <w:vertAlign w:val="subscript"/>
                    </w:rPr>
                    <w:t>2</w:t>
                  </w:r>
                </w:p>
              </w:tc>
              <w:tc>
                <w:tcPr>
                  <w:tcW w:w="267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年平均质量浓度</w:t>
                  </w:r>
                </w:p>
              </w:tc>
              <w:tc>
                <w:tcPr>
                  <w:tcW w:w="139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9</w:t>
                  </w:r>
                </w:p>
              </w:tc>
              <w:tc>
                <w:tcPr>
                  <w:tcW w:w="145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≤60</w:t>
                  </w:r>
                </w:p>
              </w:tc>
              <w:tc>
                <w:tcPr>
                  <w:tcW w:w="160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0.15</w:t>
                  </w:r>
                </w:p>
              </w:tc>
              <w:tc>
                <w:tcPr>
                  <w:tcW w:w="1172"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NO</w:t>
                  </w:r>
                  <w:r>
                    <w:rPr>
                      <w:rFonts w:hint="default" w:ascii="Times New Roman" w:hAnsi="Times New Roman" w:eastAsia="宋体" w:cs="Times New Roman"/>
                      <w:color w:val="auto"/>
                      <w:kern w:val="2"/>
                      <w:sz w:val="21"/>
                      <w:szCs w:val="21"/>
                      <w:highlight w:val="none"/>
                      <w:vertAlign w:val="subscript"/>
                    </w:rPr>
                    <w:t>2</w:t>
                  </w:r>
                </w:p>
              </w:tc>
              <w:tc>
                <w:tcPr>
                  <w:tcW w:w="267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年平均质量浓度</w:t>
                  </w:r>
                </w:p>
              </w:tc>
              <w:tc>
                <w:tcPr>
                  <w:tcW w:w="139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35</w:t>
                  </w:r>
                </w:p>
              </w:tc>
              <w:tc>
                <w:tcPr>
                  <w:tcW w:w="145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w:t>
                  </w:r>
                </w:p>
              </w:tc>
              <w:tc>
                <w:tcPr>
                  <w:tcW w:w="160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0.875</w:t>
                  </w:r>
                </w:p>
              </w:tc>
              <w:tc>
                <w:tcPr>
                  <w:tcW w:w="1172"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PM</w:t>
                  </w:r>
                  <w:r>
                    <w:rPr>
                      <w:rFonts w:hint="default" w:ascii="Times New Roman" w:hAnsi="Times New Roman" w:eastAsia="宋体" w:cs="Times New Roman"/>
                      <w:color w:val="auto"/>
                      <w:kern w:val="2"/>
                      <w:sz w:val="21"/>
                      <w:szCs w:val="21"/>
                      <w:highlight w:val="none"/>
                      <w:vertAlign w:val="subscript"/>
                    </w:rPr>
                    <w:t>10</w:t>
                  </w:r>
                </w:p>
              </w:tc>
              <w:tc>
                <w:tcPr>
                  <w:tcW w:w="267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年平均质量浓度</w:t>
                  </w:r>
                </w:p>
              </w:tc>
              <w:tc>
                <w:tcPr>
                  <w:tcW w:w="139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56</w:t>
                  </w:r>
                </w:p>
              </w:tc>
              <w:tc>
                <w:tcPr>
                  <w:tcW w:w="145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≤70</w:t>
                  </w:r>
                </w:p>
              </w:tc>
              <w:tc>
                <w:tcPr>
                  <w:tcW w:w="160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0.8</w:t>
                  </w:r>
                </w:p>
              </w:tc>
              <w:tc>
                <w:tcPr>
                  <w:tcW w:w="1172"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PM</w:t>
                  </w:r>
                  <w:r>
                    <w:rPr>
                      <w:rFonts w:hint="default" w:ascii="Times New Roman" w:hAnsi="Times New Roman" w:eastAsia="宋体" w:cs="Times New Roman"/>
                      <w:color w:val="auto"/>
                      <w:kern w:val="2"/>
                      <w:sz w:val="21"/>
                      <w:szCs w:val="21"/>
                      <w:highlight w:val="none"/>
                      <w:vertAlign w:val="subscript"/>
                    </w:rPr>
                    <w:t>2.5</w:t>
                  </w:r>
                </w:p>
              </w:tc>
              <w:tc>
                <w:tcPr>
                  <w:tcW w:w="267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年平均质量浓度</w:t>
                  </w:r>
                </w:p>
              </w:tc>
              <w:tc>
                <w:tcPr>
                  <w:tcW w:w="139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31</w:t>
                  </w:r>
                </w:p>
              </w:tc>
              <w:tc>
                <w:tcPr>
                  <w:tcW w:w="145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160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0.886</w:t>
                  </w:r>
                </w:p>
              </w:tc>
              <w:tc>
                <w:tcPr>
                  <w:tcW w:w="1172"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CO</w:t>
                  </w:r>
                </w:p>
              </w:tc>
              <w:tc>
                <w:tcPr>
                  <w:tcW w:w="267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日均值第95百分位数浓度</w:t>
                  </w:r>
                </w:p>
              </w:tc>
              <w:tc>
                <w:tcPr>
                  <w:tcW w:w="139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1200</w:t>
                  </w:r>
                </w:p>
              </w:tc>
              <w:tc>
                <w:tcPr>
                  <w:tcW w:w="145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≤4000</w:t>
                  </w:r>
                </w:p>
              </w:tc>
              <w:tc>
                <w:tcPr>
                  <w:tcW w:w="160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0.3</w:t>
                  </w:r>
                </w:p>
              </w:tc>
              <w:tc>
                <w:tcPr>
                  <w:tcW w:w="1172"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74"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O</w:t>
                  </w:r>
                  <w:r>
                    <w:rPr>
                      <w:rFonts w:hint="default" w:ascii="Times New Roman" w:hAnsi="Times New Roman" w:eastAsia="宋体" w:cs="Times New Roman"/>
                      <w:color w:val="auto"/>
                      <w:kern w:val="2"/>
                      <w:sz w:val="21"/>
                      <w:szCs w:val="21"/>
                      <w:highlight w:val="none"/>
                      <w:vertAlign w:val="subscript"/>
                    </w:rPr>
                    <w:t>3</w:t>
                  </w:r>
                </w:p>
              </w:tc>
              <w:tc>
                <w:tcPr>
                  <w:tcW w:w="267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日最大8小时平均第90百分位数浓度</w:t>
                  </w:r>
                </w:p>
              </w:tc>
              <w:tc>
                <w:tcPr>
                  <w:tcW w:w="139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184</w:t>
                  </w:r>
                </w:p>
              </w:tc>
              <w:tc>
                <w:tcPr>
                  <w:tcW w:w="1457"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≤160</w:t>
                  </w:r>
                </w:p>
              </w:tc>
              <w:tc>
                <w:tcPr>
                  <w:tcW w:w="1605"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1.15</w:t>
                  </w:r>
                </w:p>
              </w:tc>
              <w:tc>
                <w:tcPr>
                  <w:tcW w:w="1172" w:type="dxa"/>
                  <w:noWrap w:val="0"/>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不</w:t>
                  </w:r>
                  <w:r>
                    <w:rPr>
                      <w:rFonts w:hint="default" w:ascii="Times New Roman" w:hAnsi="Times New Roman" w:eastAsia="宋体" w:cs="Times New Roman"/>
                      <w:color w:val="auto"/>
                      <w:kern w:val="2"/>
                      <w:sz w:val="21"/>
                      <w:szCs w:val="21"/>
                      <w:highlight w:val="none"/>
                    </w:rPr>
                    <w:t>达标</w:t>
                  </w:r>
                </w:p>
              </w:tc>
            </w:tr>
          </w:tbl>
          <w:p>
            <w:pPr>
              <w:widowControl w:val="0"/>
              <w:spacing w:beforeLines="0" w:after="0" w:afterLines="0" w:line="360" w:lineRule="auto"/>
              <w:ind w:firstLine="480" w:firstLineChars="200"/>
              <w:jc w:val="left"/>
              <w:rPr>
                <w:rFonts w:hint="default"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highlight w:val="none"/>
              </w:rPr>
              <w:t>由上表可见，该地区</w:t>
            </w:r>
            <w:r>
              <w:rPr>
                <w:rFonts w:hint="default" w:ascii="Times New Roman" w:hAnsi="Times New Roman" w:eastAsia="TimesNewRomanPSMT" w:cs="Times New Roman"/>
                <w:color w:val="auto"/>
                <w:kern w:val="2"/>
                <w:sz w:val="24"/>
                <w:szCs w:val="24"/>
                <w:highlight w:val="none"/>
              </w:rPr>
              <w:t>SO</w:t>
            </w:r>
            <w:r>
              <w:rPr>
                <w:rFonts w:hint="default" w:ascii="Times New Roman" w:hAnsi="Times New Roman" w:eastAsia="TimesNewRomanPSMT" w:cs="Times New Roman"/>
                <w:color w:val="auto"/>
                <w:kern w:val="2"/>
                <w:sz w:val="16"/>
                <w:szCs w:val="24"/>
                <w:highlight w:val="none"/>
              </w:rPr>
              <w:t>2</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TimesNewRomanPSMT" w:cs="Times New Roman"/>
                <w:color w:val="auto"/>
                <w:kern w:val="2"/>
                <w:sz w:val="24"/>
                <w:szCs w:val="24"/>
                <w:highlight w:val="none"/>
              </w:rPr>
              <w:t>NO</w:t>
            </w:r>
            <w:r>
              <w:rPr>
                <w:rFonts w:hint="default" w:ascii="Times New Roman" w:hAnsi="Times New Roman" w:eastAsia="TimesNewRomanPSMT" w:cs="Times New Roman"/>
                <w:color w:val="auto"/>
                <w:kern w:val="2"/>
                <w:sz w:val="16"/>
                <w:szCs w:val="24"/>
                <w:highlight w:val="none"/>
              </w:rPr>
              <w:t>2</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TimesNewRomanPSMT" w:cs="Times New Roman"/>
                <w:color w:val="auto"/>
                <w:kern w:val="2"/>
                <w:sz w:val="24"/>
                <w:szCs w:val="24"/>
                <w:highlight w:val="none"/>
              </w:rPr>
              <w:t>PM</w:t>
            </w:r>
            <w:r>
              <w:rPr>
                <w:rFonts w:hint="default" w:ascii="Times New Roman" w:hAnsi="Times New Roman" w:eastAsia="TimesNewRomanPSMT" w:cs="Times New Roman"/>
                <w:color w:val="auto"/>
                <w:kern w:val="2"/>
                <w:sz w:val="16"/>
                <w:szCs w:val="24"/>
                <w:highlight w:val="none"/>
              </w:rPr>
              <w:t xml:space="preserve">10 </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TimesNewRomanPSMT" w:cs="Times New Roman"/>
                <w:color w:val="auto"/>
                <w:kern w:val="2"/>
                <w:sz w:val="24"/>
                <w:szCs w:val="24"/>
                <w:highlight w:val="none"/>
              </w:rPr>
              <w:t>PM</w:t>
            </w:r>
            <w:r>
              <w:rPr>
                <w:rFonts w:hint="default" w:ascii="Times New Roman" w:hAnsi="Times New Roman" w:eastAsia="TimesNewRomanPSMT" w:cs="Times New Roman"/>
                <w:color w:val="auto"/>
                <w:kern w:val="2"/>
                <w:sz w:val="16"/>
                <w:szCs w:val="24"/>
                <w:highlight w:val="none"/>
              </w:rPr>
              <w:t xml:space="preserve">2.5 </w:t>
            </w:r>
            <w:r>
              <w:rPr>
                <w:rFonts w:hint="default" w:ascii="Times New Roman" w:hAnsi="Times New Roman" w:eastAsia="宋体" w:cs="Times New Roman"/>
                <w:color w:val="auto"/>
                <w:kern w:val="2"/>
                <w:sz w:val="24"/>
                <w:szCs w:val="24"/>
                <w:highlight w:val="none"/>
                <w:lang w:eastAsia="zh-CN"/>
              </w:rPr>
              <w:t>年平均质量浓度以及</w:t>
            </w:r>
            <w:r>
              <w:rPr>
                <w:rFonts w:hint="default" w:ascii="Times New Roman" w:hAnsi="Times New Roman" w:eastAsia="TimesNewRomanPSMT" w:cs="Times New Roman"/>
                <w:color w:val="auto"/>
                <w:kern w:val="2"/>
                <w:sz w:val="24"/>
                <w:szCs w:val="24"/>
                <w:highlight w:val="none"/>
              </w:rPr>
              <w:t>CO日均值第95百分位数浓度</w:t>
            </w:r>
            <w:r>
              <w:rPr>
                <w:rFonts w:hint="default" w:ascii="Times New Roman" w:hAnsi="Times New Roman" w:eastAsia="宋体" w:cs="Times New Roman"/>
                <w:color w:val="auto"/>
                <w:kern w:val="2"/>
                <w:sz w:val="24"/>
                <w:szCs w:val="24"/>
                <w:highlight w:val="none"/>
              </w:rPr>
              <w:t>均满足</w:t>
            </w:r>
            <w:r>
              <w:rPr>
                <w:rFonts w:hint="eastAsia" w:ascii="Times New Roman" w:hAnsi="Times New Roman" w:eastAsia="宋体" w:cs="Times New Roman"/>
                <w:color w:val="auto"/>
                <w:kern w:val="2"/>
                <w:sz w:val="24"/>
                <w:szCs w:val="24"/>
                <w:highlight w:val="none"/>
                <w:lang w:eastAsia="zh-CN"/>
              </w:rPr>
              <w:t>《环境空气质量标准》（GB3095-2012）及其2018年修改单中的二级标准</w:t>
            </w:r>
            <w:r>
              <w:rPr>
                <w:rFonts w:hint="default" w:ascii="Times New Roman" w:hAnsi="Times New Roman" w:eastAsia="宋体" w:cs="Times New Roman"/>
                <w:color w:val="auto"/>
                <w:kern w:val="2"/>
                <w:sz w:val="24"/>
                <w:szCs w:val="24"/>
                <w:highlight w:val="none"/>
              </w:rPr>
              <w:t>要求，O</w:t>
            </w:r>
            <w:r>
              <w:rPr>
                <w:rFonts w:hint="default" w:ascii="Times New Roman" w:hAnsi="Times New Roman" w:eastAsia="宋体" w:cs="Times New Roman"/>
                <w:color w:val="auto"/>
                <w:kern w:val="2"/>
                <w:sz w:val="24"/>
                <w:szCs w:val="24"/>
                <w:highlight w:val="none"/>
                <w:vertAlign w:val="subscript"/>
              </w:rPr>
              <w:t>3</w:t>
            </w:r>
            <w:r>
              <w:rPr>
                <w:rFonts w:hint="default" w:ascii="Times New Roman" w:hAnsi="Times New Roman" w:eastAsia="宋体" w:cs="Times New Roman"/>
                <w:color w:val="auto"/>
                <w:kern w:val="2"/>
                <w:sz w:val="24"/>
                <w:szCs w:val="24"/>
                <w:highlight w:val="none"/>
              </w:rPr>
              <w:t>日最大</w:t>
            </w:r>
            <w:r>
              <w:rPr>
                <w:rFonts w:hint="default" w:ascii="Times New Roman" w:hAnsi="Times New Roman" w:eastAsia="TimesNewRomanPSMT" w:cs="Times New Roman"/>
                <w:color w:val="auto"/>
                <w:kern w:val="2"/>
                <w:sz w:val="24"/>
                <w:szCs w:val="24"/>
                <w:highlight w:val="none"/>
              </w:rPr>
              <w:t>8</w:t>
            </w:r>
            <w:r>
              <w:rPr>
                <w:rFonts w:hint="default" w:ascii="Times New Roman" w:hAnsi="Times New Roman" w:eastAsia="宋体" w:cs="Times New Roman"/>
                <w:color w:val="auto"/>
                <w:kern w:val="2"/>
                <w:sz w:val="24"/>
                <w:szCs w:val="24"/>
                <w:highlight w:val="none"/>
              </w:rPr>
              <w:t>小时平均第</w:t>
            </w:r>
            <w:r>
              <w:rPr>
                <w:rFonts w:hint="default" w:ascii="Times New Roman" w:hAnsi="Times New Roman" w:eastAsia="TimesNewRomanPSMT" w:cs="Times New Roman"/>
                <w:color w:val="auto"/>
                <w:kern w:val="2"/>
                <w:sz w:val="24"/>
                <w:szCs w:val="24"/>
                <w:highlight w:val="none"/>
              </w:rPr>
              <w:t>90</w:t>
            </w:r>
            <w:r>
              <w:rPr>
                <w:rFonts w:hint="default" w:ascii="Times New Roman" w:hAnsi="Times New Roman" w:eastAsia="宋体" w:cs="Times New Roman"/>
                <w:color w:val="auto"/>
                <w:kern w:val="2"/>
                <w:sz w:val="24"/>
                <w:szCs w:val="24"/>
                <w:highlight w:val="none"/>
              </w:rPr>
              <w:t>百分位数不能满足</w:t>
            </w:r>
            <w:r>
              <w:rPr>
                <w:rFonts w:hint="eastAsia" w:ascii="Times New Roman" w:hAnsi="Times New Roman" w:eastAsia="宋体" w:cs="Times New Roman"/>
                <w:color w:val="auto"/>
                <w:kern w:val="2"/>
                <w:sz w:val="24"/>
                <w:szCs w:val="24"/>
                <w:highlight w:val="none"/>
                <w:lang w:eastAsia="zh-CN"/>
              </w:rPr>
              <w:t>《环境空气质量标准》（GB3095-2012）及其2018年修改单中的二级标准</w:t>
            </w:r>
            <w:r>
              <w:rPr>
                <w:rFonts w:hint="default" w:ascii="Times New Roman" w:hAnsi="Times New Roman" w:eastAsia="宋体" w:cs="Times New Roman"/>
                <w:color w:val="auto"/>
                <w:kern w:val="2"/>
                <w:sz w:val="24"/>
                <w:szCs w:val="24"/>
                <w:highlight w:val="none"/>
              </w:rPr>
              <w:t>要求，</w:t>
            </w:r>
            <w:r>
              <w:rPr>
                <w:rFonts w:hint="default" w:ascii="Times New Roman" w:hAnsi="Times New Roman" w:eastAsia="宋体" w:cs="Times New Roman"/>
                <w:b w:val="0"/>
                <w:bCs/>
                <w:color w:val="auto"/>
                <w:kern w:val="2"/>
                <w:sz w:val="24"/>
                <w:szCs w:val="24"/>
                <w:highlight w:val="none"/>
              </w:rPr>
              <w:t>故该区域为环境空气质量不达标区域。</w:t>
            </w:r>
          </w:p>
          <w:p>
            <w:pPr>
              <w:widowControl w:val="0"/>
              <w:spacing w:beforeLines="0" w:after="0" w:afterLines="0" w:line="360" w:lineRule="auto"/>
              <w:ind w:firstLine="482" w:firstLineChars="200"/>
              <w:jc w:val="left"/>
              <w:rPr>
                <w:rFonts w:hint="default" w:ascii="Times New Roman" w:hAnsi="Times New Roman" w:eastAsia="宋体" w:cs="Times New Roman"/>
                <w:b/>
                <w:bCs/>
                <w:color w:val="auto"/>
                <w:kern w:val="2"/>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rPr>
              <w:t>（2）基本污染物环境质量现状</w:t>
            </w:r>
          </w:p>
          <w:p>
            <w:pPr>
              <w:widowControl w:val="0"/>
              <w:spacing w:beforeLines="0" w:after="0" w:afterLines="0"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根据江门市环境保护局官网发布的《2018 年江门市环境质量状况》，开平市SO</w:t>
            </w:r>
            <w:r>
              <w:rPr>
                <w:rFonts w:hint="default" w:ascii="Times New Roman" w:hAnsi="Times New Roman" w:eastAsia="宋体" w:cs="Times New Roman"/>
                <w:color w:val="auto"/>
                <w:kern w:val="2"/>
                <w:sz w:val="24"/>
                <w:szCs w:val="24"/>
                <w:highlight w:val="none"/>
                <w:vertAlign w:val="subscript"/>
                <w:lang w:val="en-US" w:eastAsia="zh-CN"/>
              </w:rPr>
              <w:t>2</w:t>
            </w:r>
            <w:r>
              <w:rPr>
                <w:rFonts w:hint="default" w:ascii="Times New Roman" w:hAnsi="Times New Roman" w:eastAsia="宋体" w:cs="Times New Roman"/>
                <w:color w:val="auto"/>
                <w:kern w:val="2"/>
                <w:sz w:val="24"/>
                <w:szCs w:val="24"/>
                <w:highlight w:val="none"/>
                <w:lang w:val="en-US" w:eastAsia="zh-CN"/>
              </w:rPr>
              <w:t>、NO</w:t>
            </w:r>
            <w:r>
              <w:rPr>
                <w:rFonts w:hint="default" w:ascii="Times New Roman" w:hAnsi="Times New Roman" w:eastAsia="宋体" w:cs="Times New Roman"/>
                <w:color w:val="auto"/>
                <w:kern w:val="2"/>
                <w:sz w:val="24"/>
                <w:szCs w:val="24"/>
                <w:highlight w:val="none"/>
                <w:vertAlign w:val="subscript"/>
                <w:lang w:val="en-US" w:eastAsia="zh-CN"/>
              </w:rPr>
              <w:t>2</w:t>
            </w:r>
            <w:r>
              <w:rPr>
                <w:rFonts w:hint="default" w:ascii="Times New Roman" w:hAnsi="Times New Roman" w:eastAsia="宋体" w:cs="Times New Roman"/>
                <w:color w:val="auto"/>
                <w:kern w:val="2"/>
                <w:sz w:val="24"/>
                <w:szCs w:val="24"/>
                <w:highlight w:val="none"/>
                <w:lang w:val="en-US" w:eastAsia="zh-CN"/>
              </w:rPr>
              <w:t>、PM</w:t>
            </w:r>
            <w:r>
              <w:rPr>
                <w:rFonts w:hint="default" w:ascii="Times New Roman" w:hAnsi="Times New Roman" w:eastAsia="宋体" w:cs="Times New Roman"/>
                <w:color w:val="auto"/>
                <w:kern w:val="2"/>
                <w:sz w:val="24"/>
                <w:szCs w:val="24"/>
                <w:highlight w:val="none"/>
                <w:vertAlign w:val="subscript"/>
                <w:lang w:val="en-US" w:eastAsia="zh-CN"/>
              </w:rPr>
              <w:t>10</w:t>
            </w:r>
            <w:r>
              <w:rPr>
                <w:rFonts w:hint="default" w:ascii="Times New Roman" w:hAnsi="Times New Roman" w:eastAsia="宋体" w:cs="Times New Roman"/>
                <w:color w:val="auto"/>
                <w:kern w:val="2"/>
                <w:sz w:val="24"/>
                <w:szCs w:val="24"/>
                <w:highlight w:val="none"/>
                <w:lang w:val="en-US" w:eastAsia="zh-CN"/>
              </w:rPr>
              <w:t xml:space="preserve"> 、PM</w:t>
            </w:r>
            <w:r>
              <w:rPr>
                <w:rFonts w:hint="default" w:ascii="Times New Roman" w:hAnsi="Times New Roman" w:eastAsia="宋体" w:cs="Times New Roman"/>
                <w:color w:val="auto"/>
                <w:kern w:val="2"/>
                <w:sz w:val="24"/>
                <w:szCs w:val="24"/>
                <w:highlight w:val="none"/>
                <w:vertAlign w:val="subscript"/>
                <w:lang w:val="en-US" w:eastAsia="zh-CN"/>
              </w:rPr>
              <w:t>2.5</w:t>
            </w:r>
            <w:r>
              <w:rPr>
                <w:rFonts w:hint="default" w:ascii="Times New Roman" w:hAnsi="Times New Roman" w:eastAsia="宋体" w:cs="Times New Roman"/>
                <w:color w:val="auto"/>
                <w:kern w:val="2"/>
                <w:sz w:val="24"/>
                <w:szCs w:val="24"/>
                <w:highlight w:val="none"/>
                <w:lang w:val="en-US" w:eastAsia="zh-CN"/>
              </w:rPr>
              <w:t>、CO和O</w:t>
            </w:r>
            <w:r>
              <w:rPr>
                <w:rFonts w:hint="default" w:ascii="Times New Roman" w:hAnsi="Times New Roman" w:eastAsia="宋体" w:cs="Times New Roman"/>
                <w:color w:val="auto"/>
                <w:kern w:val="2"/>
                <w:sz w:val="24"/>
                <w:szCs w:val="24"/>
                <w:highlight w:val="none"/>
                <w:vertAlign w:val="subscript"/>
                <w:lang w:val="en-US" w:eastAsia="zh-CN"/>
              </w:rPr>
              <w:t>3</w:t>
            </w:r>
            <w:r>
              <w:rPr>
                <w:rFonts w:hint="default" w:ascii="Times New Roman" w:hAnsi="Times New Roman" w:eastAsia="宋体" w:cs="Times New Roman"/>
                <w:color w:val="auto"/>
                <w:kern w:val="2"/>
                <w:sz w:val="24"/>
                <w:szCs w:val="24"/>
                <w:highlight w:val="none"/>
                <w:lang w:val="en-US" w:eastAsia="zh-CN"/>
              </w:rPr>
              <w:t>六项基本污染物环境质量现状数据见下表。</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基本污染物环境质量现状</w:t>
            </w:r>
          </w:p>
          <w:tbl>
            <w:tblPr>
              <w:tblStyle w:val="43"/>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508"/>
              <w:gridCol w:w="555"/>
              <w:gridCol w:w="821"/>
              <w:gridCol w:w="1504"/>
              <w:gridCol w:w="1140"/>
              <w:gridCol w:w="1058"/>
              <w:gridCol w:w="997"/>
              <w:gridCol w:w="1089"/>
              <w:gridCol w:w="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666"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监测点名称</w:t>
                  </w:r>
                </w:p>
              </w:tc>
              <w:tc>
                <w:tcPr>
                  <w:tcW w:w="1063" w:type="dxa"/>
                  <w:gridSpan w:val="2"/>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监测点坐标</w:t>
                  </w:r>
                </w:p>
              </w:tc>
              <w:tc>
                <w:tcPr>
                  <w:tcW w:w="821"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污染物</w:t>
                  </w:r>
                </w:p>
              </w:tc>
              <w:tc>
                <w:tcPr>
                  <w:tcW w:w="1504"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eastAsia="zh-CN"/>
                    </w:rPr>
                    <w:t>年评价指标</w:t>
                  </w:r>
                </w:p>
              </w:tc>
              <w:tc>
                <w:tcPr>
                  <w:tcW w:w="1140"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eastAsia="zh-CN"/>
                    </w:rPr>
                    <w:t>现状浓度</w:t>
                  </w:r>
                  <w:r>
                    <w:rPr>
                      <w:rFonts w:hint="default" w:ascii="Times New Roman" w:hAnsi="Times New Roman" w:eastAsia="宋体" w:cs="Times New Roman"/>
                      <w:b/>
                      <w:color w:val="auto"/>
                      <w:kern w:val="2"/>
                      <w:sz w:val="21"/>
                      <w:szCs w:val="21"/>
                      <w:highlight w:val="none"/>
                      <w:shd w:val="clear" w:color="auto" w:fill="auto"/>
                    </w:rPr>
                    <w:t>（μg/m³）</w:t>
                  </w:r>
                </w:p>
              </w:tc>
              <w:tc>
                <w:tcPr>
                  <w:tcW w:w="1058"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标准值</w:t>
                  </w:r>
                </w:p>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color w:val="auto"/>
                      <w:kern w:val="2"/>
                      <w:sz w:val="21"/>
                      <w:szCs w:val="21"/>
                      <w:highlight w:val="none"/>
                      <w:shd w:val="clear" w:color="auto" w:fill="auto"/>
                    </w:rPr>
                    <w:t>（μg/m³）</w:t>
                  </w:r>
                </w:p>
              </w:tc>
              <w:tc>
                <w:tcPr>
                  <w:tcW w:w="997"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占标率</w:t>
                  </w:r>
                </w:p>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eastAsia="zh-CN"/>
                    </w:rPr>
                    <w:t>（</w:t>
                  </w:r>
                  <w:r>
                    <w:rPr>
                      <w:rFonts w:hint="default" w:ascii="Times New Roman" w:hAnsi="Times New Roman" w:eastAsia="宋体" w:cs="Times New Roman"/>
                      <w:b/>
                      <w:bCs/>
                      <w:color w:val="auto"/>
                      <w:kern w:val="2"/>
                      <w:sz w:val="21"/>
                      <w:szCs w:val="21"/>
                      <w:highlight w:val="none"/>
                      <w:lang w:val="en-US" w:eastAsia="zh-CN"/>
                    </w:rPr>
                    <w:t>%）</w:t>
                  </w:r>
                </w:p>
              </w:tc>
              <w:tc>
                <w:tcPr>
                  <w:tcW w:w="1089"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lang w:eastAsia="zh-CN"/>
                    </w:rPr>
                    <w:t>超标频率（</w:t>
                  </w:r>
                  <w:r>
                    <w:rPr>
                      <w:rFonts w:hint="default" w:ascii="Times New Roman" w:hAnsi="Times New Roman" w:eastAsia="宋体" w:cs="Times New Roman"/>
                      <w:b/>
                      <w:bCs/>
                      <w:color w:val="auto"/>
                      <w:kern w:val="2"/>
                      <w:sz w:val="21"/>
                      <w:szCs w:val="21"/>
                      <w:highlight w:val="none"/>
                      <w:lang w:val="en-US" w:eastAsia="zh-CN"/>
                    </w:rPr>
                    <w:t>%）</w:t>
                  </w:r>
                </w:p>
              </w:tc>
              <w:tc>
                <w:tcPr>
                  <w:tcW w:w="982" w:type="dxa"/>
                  <w:vMerge w:val="restart"/>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r>
                    <w:rPr>
                      <w:rFonts w:hint="default" w:ascii="Times New Roman" w:hAnsi="Times New Roman" w:eastAsia="宋体" w:cs="Times New Roman"/>
                      <w:b/>
                      <w:bCs/>
                      <w:color w:val="auto"/>
                      <w:kern w:val="2"/>
                      <w:sz w:val="21"/>
                      <w:szCs w:val="21"/>
                      <w:highlight w:val="none"/>
                    </w:rPr>
                    <w:t>达标</w:t>
                  </w:r>
                  <w:r>
                    <w:rPr>
                      <w:rFonts w:hint="default" w:ascii="Times New Roman" w:hAnsi="Times New Roman" w:eastAsia="宋体" w:cs="Times New Roman"/>
                      <w:b/>
                      <w:bCs/>
                      <w:color w:val="auto"/>
                      <w:kern w:val="2"/>
                      <w:sz w:val="21"/>
                      <w:szCs w:val="21"/>
                      <w:highlight w:val="none"/>
                      <w:lang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666"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p>
              </w:tc>
              <w:tc>
                <w:tcPr>
                  <w:tcW w:w="508" w:type="dxa"/>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X</w:t>
                  </w:r>
                </w:p>
              </w:tc>
              <w:tc>
                <w:tcPr>
                  <w:tcW w:w="555" w:type="dxa"/>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Y</w:t>
                  </w:r>
                </w:p>
              </w:tc>
              <w:tc>
                <w:tcPr>
                  <w:tcW w:w="821"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p>
              </w:tc>
              <w:tc>
                <w:tcPr>
                  <w:tcW w:w="1504"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p>
              </w:tc>
              <w:tc>
                <w:tcPr>
                  <w:tcW w:w="1140"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p>
              </w:tc>
              <w:tc>
                <w:tcPr>
                  <w:tcW w:w="1058" w:type="dxa"/>
                  <w:vMerge w:val="continue"/>
                  <w:noWrap w:val="0"/>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shd w:val="clear" w:color="auto" w:fill="auto"/>
                    </w:rPr>
                  </w:pPr>
                </w:p>
              </w:tc>
              <w:tc>
                <w:tcPr>
                  <w:tcW w:w="997"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p>
              </w:tc>
              <w:tc>
                <w:tcPr>
                  <w:tcW w:w="1089"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eastAsia="zh-CN"/>
                    </w:rPr>
                  </w:pPr>
                </w:p>
              </w:tc>
              <w:tc>
                <w:tcPr>
                  <w:tcW w:w="982" w:type="dxa"/>
                  <w:vMerge w:val="continue"/>
                  <w:noWrap w:val="0"/>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restart"/>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开平市气象站</w:t>
                  </w:r>
                </w:p>
              </w:tc>
              <w:tc>
                <w:tcPr>
                  <w:tcW w:w="508" w:type="dxa"/>
                  <w:vMerge w:val="restart"/>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555" w:type="dxa"/>
                  <w:vMerge w:val="restart"/>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821"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SO</w:t>
                  </w:r>
                  <w:r>
                    <w:rPr>
                      <w:rFonts w:hint="default" w:ascii="Times New Roman" w:hAnsi="Times New Roman" w:eastAsia="宋体" w:cs="Times New Roman"/>
                      <w:color w:val="auto"/>
                      <w:kern w:val="2"/>
                      <w:sz w:val="21"/>
                      <w:szCs w:val="21"/>
                      <w:highlight w:val="none"/>
                      <w:vertAlign w:val="subscript"/>
                    </w:rPr>
                    <w:t>2</w:t>
                  </w:r>
                </w:p>
              </w:tc>
              <w:tc>
                <w:tcPr>
                  <w:tcW w:w="1504"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年平均质量浓度</w:t>
                  </w:r>
                </w:p>
              </w:tc>
              <w:tc>
                <w:tcPr>
                  <w:tcW w:w="1140"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11</w:t>
                  </w:r>
                </w:p>
              </w:tc>
              <w:tc>
                <w:tcPr>
                  <w:tcW w:w="1058"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≤60</w:t>
                  </w:r>
                </w:p>
              </w:tc>
              <w:tc>
                <w:tcPr>
                  <w:tcW w:w="99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18.3</w:t>
                  </w:r>
                </w:p>
              </w:tc>
              <w:tc>
                <w:tcPr>
                  <w:tcW w:w="1089"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982"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08"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55"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821"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NO</w:t>
                  </w:r>
                  <w:r>
                    <w:rPr>
                      <w:rFonts w:hint="default" w:ascii="Times New Roman" w:hAnsi="Times New Roman" w:eastAsia="宋体" w:cs="Times New Roman"/>
                      <w:color w:val="auto"/>
                      <w:kern w:val="2"/>
                      <w:sz w:val="21"/>
                      <w:szCs w:val="21"/>
                      <w:highlight w:val="none"/>
                      <w:vertAlign w:val="subscript"/>
                    </w:rPr>
                    <w:t>2</w:t>
                  </w:r>
                </w:p>
              </w:tc>
              <w:tc>
                <w:tcPr>
                  <w:tcW w:w="1504"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年平均质量浓度</w:t>
                  </w:r>
                </w:p>
              </w:tc>
              <w:tc>
                <w:tcPr>
                  <w:tcW w:w="1140"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25</w:t>
                  </w:r>
                </w:p>
              </w:tc>
              <w:tc>
                <w:tcPr>
                  <w:tcW w:w="1058"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w:t>
                  </w:r>
                </w:p>
              </w:tc>
              <w:tc>
                <w:tcPr>
                  <w:tcW w:w="99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62.5</w:t>
                  </w:r>
                </w:p>
              </w:tc>
              <w:tc>
                <w:tcPr>
                  <w:tcW w:w="1089"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982"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08"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55"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821"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PM</w:t>
                  </w:r>
                  <w:r>
                    <w:rPr>
                      <w:rFonts w:hint="default" w:ascii="Times New Roman" w:hAnsi="Times New Roman" w:eastAsia="宋体" w:cs="Times New Roman"/>
                      <w:color w:val="auto"/>
                      <w:kern w:val="2"/>
                      <w:sz w:val="21"/>
                      <w:szCs w:val="21"/>
                      <w:highlight w:val="none"/>
                      <w:vertAlign w:val="subscript"/>
                    </w:rPr>
                    <w:t>10</w:t>
                  </w:r>
                </w:p>
              </w:tc>
              <w:tc>
                <w:tcPr>
                  <w:tcW w:w="1504"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年平均质量浓度</w:t>
                  </w:r>
                </w:p>
              </w:tc>
              <w:tc>
                <w:tcPr>
                  <w:tcW w:w="1140"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56</w:t>
                  </w:r>
                </w:p>
              </w:tc>
              <w:tc>
                <w:tcPr>
                  <w:tcW w:w="1058"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≤70</w:t>
                  </w:r>
                </w:p>
              </w:tc>
              <w:tc>
                <w:tcPr>
                  <w:tcW w:w="99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80</w:t>
                  </w:r>
                </w:p>
              </w:tc>
              <w:tc>
                <w:tcPr>
                  <w:tcW w:w="1089"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982"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08"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55"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821"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PM</w:t>
                  </w:r>
                  <w:r>
                    <w:rPr>
                      <w:rFonts w:hint="default" w:ascii="Times New Roman" w:hAnsi="Times New Roman" w:eastAsia="宋体" w:cs="Times New Roman"/>
                      <w:color w:val="auto"/>
                      <w:kern w:val="2"/>
                      <w:sz w:val="21"/>
                      <w:szCs w:val="21"/>
                      <w:highlight w:val="none"/>
                      <w:vertAlign w:val="subscript"/>
                    </w:rPr>
                    <w:t>2.5</w:t>
                  </w:r>
                </w:p>
              </w:tc>
              <w:tc>
                <w:tcPr>
                  <w:tcW w:w="1504"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年平均质量浓度</w:t>
                  </w:r>
                </w:p>
              </w:tc>
              <w:tc>
                <w:tcPr>
                  <w:tcW w:w="1140"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30</w:t>
                  </w:r>
                </w:p>
              </w:tc>
              <w:tc>
                <w:tcPr>
                  <w:tcW w:w="1058"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99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85.7</w:t>
                  </w:r>
                </w:p>
              </w:tc>
              <w:tc>
                <w:tcPr>
                  <w:tcW w:w="1089"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982"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08"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55"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821"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CO</w:t>
                  </w:r>
                </w:p>
              </w:tc>
              <w:tc>
                <w:tcPr>
                  <w:tcW w:w="1504"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日均值第95百分位数浓度</w:t>
                  </w:r>
                </w:p>
              </w:tc>
              <w:tc>
                <w:tcPr>
                  <w:tcW w:w="1140"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1200</w:t>
                  </w:r>
                </w:p>
              </w:tc>
              <w:tc>
                <w:tcPr>
                  <w:tcW w:w="1058"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≤4000</w:t>
                  </w:r>
                </w:p>
              </w:tc>
              <w:tc>
                <w:tcPr>
                  <w:tcW w:w="99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30</w:t>
                  </w:r>
                </w:p>
              </w:tc>
              <w:tc>
                <w:tcPr>
                  <w:tcW w:w="1089"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982"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666"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08"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555" w:type="dxa"/>
                  <w:vMerge w:val="continue"/>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821"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O</w:t>
                  </w:r>
                  <w:r>
                    <w:rPr>
                      <w:rFonts w:hint="default" w:ascii="Times New Roman" w:hAnsi="Times New Roman" w:eastAsia="宋体" w:cs="Times New Roman"/>
                      <w:color w:val="auto"/>
                      <w:kern w:val="2"/>
                      <w:sz w:val="21"/>
                      <w:szCs w:val="21"/>
                      <w:highlight w:val="none"/>
                      <w:vertAlign w:val="subscript"/>
                    </w:rPr>
                    <w:t>3</w:t>
                  </w:r>
                </w:p>
              </w:tc>
              <w:tc>
                <w:tcPr>
                  <w:tcW w:w="1504"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日最大8小时平均第90百分位数浓度</w:t>
                  </w:r>
                </w:p>
              </w:tc>
              <w:tc>
                <w:tcPr>
                  <w:tcW w:w="1140"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169</w:t>
                  </w:r>
                </w:p>
              </w:tc>
              <w:tc>
                <w:tcPr>
                  <w:tcW w:w="1058"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≤160</w:t>
                  </w:r>
                </w:p>
              </w:tc>
              <w:tc>
                <w:tcPr>
                  <w:tcW w:w="997"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105.6</w:t>
                  </w:r>
                </w:p>
              </w:tc>
              <w:tc>
                <w:tcPr>
                  <w:tcW w:w="1089"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c>
                <w:tcPr>
                  <w:tcW w:w="982" w:type="dxa"/>
                  <w:noWrap w:val="0"/>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不</w:t>
                  </w:r>
                  <w:r>
                    <w:rPr>
                      <w:rFonts w:hint="default" w:ascii="Times New Roman" w:hAnsi="Times New Roman" w:eastAsia="宋体" w:cs="Times New Roman"/>
                      <w:color w:val="auto"/>
                      <w:kern w:val="2"/>
                      <w:sz w:val="21"/>
                      <w:szCs w:val="21"/>
                      <w:highlight w:val="none"/>
                    </w:rPr>
                    <w:t>达标</w:t>
                  </w:r>
                </w:p>
              </w:tc>
            </w:tr>
          </w:tbl>
          <w:p>
            <w:pPr>
              <w:keepNext/>
              <w:keepLines/>
              <w:widowControl w:val="0"/>
              <w:autoSpaceDE w:val="0"/>
              <w:autoSpaceDN w:val="0"/>
              <w:adjustRightInd w:val="0"/>
              <w:spacing w:before="0" w:after="0" w:line="360" w:lineRule="auto"/>
              <w:ind w:firstLine="480" w:firstLineChars="200"/>
              <w:jc w:val="both"/>
              <w:textAlignment w:val="baseline"/>
              <w:outlineLvl w:val="1"/>
              <w:rPr>
                <w:rFonts w:hint="default" w:ascii="Times New Roman" w:hAnsi="Times New Roman" w:cs="Times New Roman" w:eastAsiaTheme="minorEastAsia"/>
                <w:b w:val="0"/>
                <w:bCs/>
                <w:color w:val="auto"/>
                <w:kern w:val="24"/>
                <w:sz w:val="24"/>
                <w:szCs w:val="20"/>
                <w:highlight w:val="none"/>
                <w:lang w:val="en-US" w:eastAsia="zh-CN" w:bidi="ar-SA"/>
              </w:rPr>
            </w:pPr>
            <w:r>
              <w:rPr>
                <w:rFonts w:hint="default" w:ascii="Times New Roman" w:hAnsi="Times New Roman" w:cs="Times New Roman" w:eastAsiaTheme="minorEastAsia"/>
                <w:b w:val="0"/>
                <w:bCs/>
                <w:color w:val="auto"/>
                <w:kern w:val="24"/>
                <w:sz w:val="24"/>
                <w:szCs w:val="20"/>
                <w:highlight w:val="none"/>
                <w:lang w:val="en-US" w:eastAsia="zh-CN" w:bidi="ar-SA"/>
              </w:rPr>
              <w:t>由上表可见，该地区SO</w:t>
            </w:r>
            <w:r>
              <w:rPr>
                <w:rFonts w:hint="default" w:ascii="Times New Roman" w:hAnsi="Times New Roman" w:cs="Times New Roman" w:eastAsiaTheme="minorEastAsia"/>
                <w:b w:val="0"/>
                <w:bCs/>
                <w:color w:val="auto"/>
                <w:kern w:val="24"/>
                <w:sz w:val="16"/>
                <w:szCs w:val="20"/>
                <w:highlight w:val="none"/>
                <w:lang w:val="en-US" w:eastAsia="zh-CN" w:bidi="ar-SA"/>
              </w:rPr>
              <w:t>2</w:t>
            </w:r>
            <w:r>
              <w:rPr>
                <w:rFonts w:hint="default" w:ascii="Times New Roman" w:hAnsi="Times New Roman" w:cs="Times New Roman" w:eastAsiaTheme="minorEastAsia"/>
                <w:b w:val="0"/>
                <w:bCs/>
                <w:color w:val="auto"/>
                <w:kern w:val="24"/>
                <w:sz w:val="24"/>
                <w:szCs w:val="20"/>
                <w:highlight w:val="none"/>
                <w:lang w:val="en-US" w:eastAsia="zh-CN" w:bidi="ar-SA"/>
              </w:rPr>
              <w:t>、NO</w:t>
            </w:r>
            <w:r>
              <w:rPr>
                <w:rFonts w:hint="default" w:ascii="Times New Roman" w:hAnsi="Times New Roman" w:cs="Times New Roman" w:eastAsiaTheme="minorEastAsia"/>
                <w:b w:val="0"/>
                <w:bCs/>
                <w:color w:val="auto"/>
                <w:kern w:val="24"/>
                <w:sz w:val="16"/>
                <w:szCs w:val="20"/>
                <w:highlight w:val="none"/>
                <w:lang w:val="en-US" w:eastAsia="zh-CN" w:bidi="ar-SA"/>
              </w:rPr>
              <w:t>2</w:t>
            </w:r>
            <w:r>
              <w:rPr>
                <w:rFonts w:hint="default" w:ascii="Times New Roman" w:hAnsi="Times New Roman" w:cs="Times New Roman" w:eastAsiaTheme="minorEastAsia"/>
                <w:b w:val="0"/>
                <w:bCs/>
                <w:color w:val="auto"/>
                <w:kern w:val="24"/>
                <w:sz w:val="24"/>
                <w:szCs w:val="20"/>
                <w:highlight w:val="none"/>
                <w:lang w:val="en-US" w:eastAsia="zh-CN" w:bidi="ar-SA"/>
              </w:rPr>
              <w:t>、PM</w:t>
            </w:r>
            <w:r>
              <w:rPr>
                <w:rFonts w:hint="default" w:ascii="Times New Roman" w:hAnsi="Times New Roman" w:cs="Times New Roman" w:eastAsiaTheme="minorEastAsia"/>
                <w:b w:val="0"/>
                <w:bCs/>
                <w:color w:val="auto"/>
                <w:kern w:val="24"/>
                <w:sz w:val="16"/>
                <w:szCs w:val="20"/>
                <w:highlight w:val="none"/>
                <w:lang w:val="en-US" w:eastAsia="zh-CN" w:bidi="ar-SA"/>
              </w:rPr>
              <w:t xml:space="preserve">10 </w:t>
            </w:r>
            <w:r>
              <w:rPr>
                <w:rFonts w:hint="default" w:ascii="Times New Roman" w:hAnsi="Times New Roman" w:cs="Times New Roman" w:eastAsiaTheme="minorEastAsia"/>
                <w:b w:val="0"/>
                <w:bCs/>
                <w:color w:val="auto"/>
                <w:kern w:val="24"/>
                <w:sz w:val="24"/>
                <w:szCs w:val="20"/>
                <w:highlight w:val="none"/>
                <w:lang w:val="en-US" w:eastAsia="zh-CN" w:bidi="ar-SA"/>
              </w:rPr>
              <w:t>、PM</w:t>
            </w:r>
            <w:r>
              <w:rPr>
                <w:rFonts w:hint="default" w:ascii="Times New Roman" w:hAnsi="Times New Roman" w:cs="Times New Roman" w:eastAsiaTheme="minorEastAsia"/>
                <w:b w:val="0"/>
                <w:bCs/>
                <w:color w:val="auto"/>
                <w:kern w:val="24"/>
                <w:sz w:val="16"/>
                <w:szCs w:val="20"/>
                <w:highlight w:val="none"/>
                <w:lang w:val="en-US" w:eastAsia="zh-CN" w:bidi="ar-SA"/>
              </w:rPr>
              <w:t xml:space="preserve">2.5 </w:t>
            </w:r>
            <w:r>
              <w:rPr>
                <w:rFonts w:hint="default" w:ascii="Times New Roman" w:hAnsi="Times New Roman" w:cs="Times New Roman" w:eastAsiaTheme="minorEastAsia"/>
                <w:b w:val="0"/>
                <w:bCs/>
                <w:color w:val="auto"/>
                <w:kern w:val="24"/>
                <w:sz w:val="24"/>
                <w:szCs w:val="24"/>
                <w:highlight w:val="none"/>
                <w:lang w:val="en-US" w:eastAsia="zh-CN" w:bidi="ar-SA"/>
              </w:rPr>
              <w:t>年平均质量浓度</w:t>
            </w:r>
            <w:r>
              <w:rPr>
                <w:rFonts w:hint="default" w:ascii="Times New Roman" w:hAnsi="Times New Roman" w:cs="Times New Roman" w:eastAsiaTheme="minorEastAsia"/>
                <w:b w:val="0"/>
                <w:bCs/>
                <w:color w:val="auto"/>
                <w:kern w:val="24"/>
                <w:sz w:val="24"/>
                <w:szCs w:val="20"/>
                <w:highlight w:val="none"/>
                <w:lang w:val="en-US" w:eastAsia="zh-CN" w:bidi="ar-SA"/>
              </w:rPr>
              <w:t>以及CO日均值第95百分位数浓度均满足</w:t>
            </w:r>
            <w:r>
              <w:rPr>
                <w:rFonts w:hint="eastAsia" w:ascii="Times New Roman" w:hAnsi="Times New Roman" w:cs="Times New Roman" w:eastAsiaTheme="minorEastAsia"/>
                <w:b w:val="0"/>
                <w:bCs/>
                <w:color w:val="auto"/>
                <w:kern w:val="24"/>
                <w:sz w:val="24"/>
                <w:szCs w:val="20"/>
                <w:highlight w:val="none"/>
                <w:lang w:val="en-US" w:eastAsia="zh-CN" w:bidi="ar-SA"/>
              </w:rPr>
              <w:t>《环境空气质量标准》（GB3095-2012）及其2018年修改单中的二级标准</w:t>
            </w:r>
            <w:r>
              <w:rPr>
                <w:rFonts w:hint="default" w:ascii="Times New Roman" w:hAnsi="Times New Roman" w:cs="Times New Roman" w:eastAsiaTheme="minorEastAsia"/>
                <w:b w:val="0"/>
                <w:bCs/>
                <w:color w:val="auto"/>
                <w:kern w:val="24"/>
                <w:sz w:val="24"/>
                <w:szCs w:val="20"/>
                <w:highlight w:val="none"/>
                <w:lang w:val="en-US" w:eastAsia="zh-CN" w:bidi="ar-SA"/>
              </w:rPr>
              <w:t>要求，</w:t>
            </w:r>
            <w:r>
              <w:rPr>
                <w:rFonts w:hint="default" w:ascii="Times New Roman" w:hAnsi="Times New Roman" w:cs="Times New Roman" w:eastAsiaTheme="minorEastAsia"/>
                <w:b w:val="0"/>
                <w:bCs/>
                <w:color w:val="auto"/>
                <w:kern w:val="24"/>
                <w:sz w:val="24"/>
                <w:szCs w:val="24"/>
                <w:highlight w:val="none"/>
                <w:lang w:val="en-US" w:eastAsia="zh-CN" w:bidi="ar-SA"/>
              </w:rPr>
              <w:t>O</w:t>
            </w:r>
            <w:r>
              <w:rPr>
                <w:rFonts w:hint="default" w:ascii="Times New Roman" w:hAnsi="Times New Roman" w:cs="Times New Roman" w:eastAsiaTheme="minorEastAsia"/>
                <w:b w:val="0"/>
                <w:bCs/>
                <w:color w:val="auto"/>
                <w:kern w:val="24"/>
                <w:sz w:val="24"/>
                <w:szCs w:val="24"/>
                <w:highlight w:val="none"/>
                <w:vertAlign w:val="subscript"/>
                <w:lang w:val="en-US" w:eastAsia="zh-CN" w:bidi="ar-SA"/>
              </w:rPr>
              <w:t>3</w:t>
            </w:r>
            <w:r>
              <w:rPr>
                <w:rFonts w:hint="default" w:ascii="Times New Roman" w:hAnsi="Times New Roman" w:cs="Times New Roman" w:eastAsiaTheme="minorEastAsia"/>
                <w:b w:val="0"/>
                <w:bCs/>
                <w:color w:val="auto"/>
                <w:kern w:val="24"/>
                <w:sz w:val="24"/>
                <w:szCs w:val="20"/>
                <w:highlight w:val="none"/>
                <w:lang w:val="en-US" w:eastAsia="zh-CN" w:bidi="ar-SA"/>
              </w:rPr>
              <w:t>日最大8小时平均第90百分位数不能满足</w:t>
            </w:r>
            <w:r>
              <w:rPr>
                <w:rFonts w:hint="eastAsia" w:ascii="Times New Roman" w:hAnsi="Times New Roman" w:cs="Times New Roman" w:eastAsiaTheme="minorEastAsia"/>
                <w:b w:val="0"/>
                <w:bCs/>
                <w:color w:val="auto"/>
                <w:kern w:val="24"/>
                <w:sz w:val="24"/>
                <w:szCs w:val="20"/>
                <w:highlight w:val="none"/>
                <w:lang w:val="en-US" w:eastAsia="zh-CN" w:bidi="ar-SA"/>
              </w:rPr>
              <w:t>《环境空气质量标准》（GB3095-2012）及其2018年修改单中的二级标准</w:t>
            </w:r>
            <w:r>
              <w:rPr>
                <w:rFonts w:hint="default" w:ascii="Times New Roman" w:hAnsi="Times New Roman" w:cs="Times New Roman" w:eastAsiaTheme="minorEastAsia"/>
                <w:b w:val="0"/>
                <w:bCs/>
                <w:color w:val="auto"/>
                <w:kern w:val="24"/>
                <w:sz w:val="24"/>
                <w:szCs w:val="20"/>
                <w:highlight w:val="none"/>
                <w:lang w:val="en-US" w:eastAsia="zh-CN" w:bidi="ar-SA"/>
              </w:rPr>
              <w:t>要求。</w:t>
            </w:r>
          </w:p>
          <w:p>
            <w:pPr>
              <w:widowControl w:val="0"/>
              <w:spacing w:after="0"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改善环境质量，江门市已印发《江门市环境空气质量限期达标规划（2018-2020年）》，通过调整产业结构、优化工业布局；优化能源结构，提高清洁能源使用率；强化环境监管，加大工业园减排力度；调整运输结构，强化移动原污染防治；加强精细化管理，深化面源污染治理；强化能力建设，提高环境管理水平；健全法律法规体系，完善 环境管理政策等大气污染防治强化措施，实行区域内2020年环境空气质量全面达标，环境空气质量指标能稳定达到</w:t>
            </w:r>
            <w:r>
              <w:rPr>
                <w:rFonts w:hint="eastAsia" w:ascii="Times New Roman" w:hAnsi="Times New Roman" w:cs="Times New Roman"/>
                <w:color w:val="auto"/>
                <w:sz w:val="24"/>
                <w:highlight w:val="none"/>
                <w:lang w:eastAsia="zh-CN"/>
              </w:rPr>
              <w:t>《环境空气质量标准》（GB3095-2012）及其2018年修改单中的二级标准</w:t>
            </w:r>
            <w:r>
              <w:rPr>
                <w:rFonts w:hint="default" w:ascii="Times New Roman" w:hAnsi="Times New Roman" w:cs="Times New Roman"/>
                <w:color w:val="auto"/>
                <w:sz w:val="24"/>
                <w:highlight w:val="none"/>
              </w:rPr>
              <w:t>要求。</w:t>
            </w:r>
          </w:p>
          <w:p>
            <w:pPr>
              <w:widowControl w:val="0"/>
              <w:spacing w:after="0" w:line="360" w:lineRule="auto"/>
              <w:ind w:firstLine="482" w:firstLineChars="200"/>
              <w:jc w:val="both"/>
              <w:rPr>
                <w:rFonts w:hint="default" w:ascii="Times New Roman" w:hAnsi="Times New Roman" w:eastAsia="宋体" w:cs="Times New Roman"/>
                <w:b/>
                <w:bCs w:val="0"/>
                <w:color w:val="auto"/>
                <w:kern w:val="2"/>
                <w:sz w:val="24"/>
                <w:szCs w:val="24"/>
                <w:highlight w:val="none"/>
              </w:rPr>
            </w:pPr>
            <w:r>
              <w:rPr>
                <w:rFonts w:hint="default" w:ascii="Times New Roman" w:hAnsi="Times New Roman" w:eastAsia="宋体" w:cs="Times New Roman"/>
                <w:b/>
                <w:bCs w:val="0"/>
                <w:color w:val="auto"/>
                <w:kern w:val="2"/>
                <w:sz w:val="24"/>
                <w:szCs w:val="24"/>
                <w:highlight w:val="none"/>
                <w:lang w:eastAsia="zh-CN"/>
              </w:rPr>
              <w:t>（</w:t>
            </w:r>
            <w:r>
              <w:rPr>
                <w:rFonts w:hint="default" w:ascii="Times New Roman" w:hAnsi="Times New Roman" w:eastAsia="宋体" w:cs="Times New Roman"/>
                <w:b/>
                <w:bCs w:val="0"/>
                <w:color w:val="auto"/>
                <w:kern w:val="2"/>
                <w:sz w:val="24"/>
                <w:szCs w:val="24"/>
                <w:highlight w:val="none"/>
                <w:lang w:val="en-US" w:eastAsia="zh-CN"/>
              </w:rPr>
              <w:t>3</w:t>
            </w:r>
            <w:r>
              <w:rPr>
                <w:rFonts w:hint="default" w:ascii="Times New Roman" w:hAnsi="Times New Roman" w:eastAsia="宋体" w:cs="Times New Roman"/>
                <w:b/>
                <w:bCs w:val="0"/>
                <w:color w:val="auto"/>
                <w:kern w:val="2"/>
                <w:sz w:val="24"/>
                <w:szCs w:val="24"/>
                <w:highlight w:val="none"/>
                <w:lang w:eastAsia="zh-CN"/>
              </w:rPr>
              <w:t>）其他污染物环境质量现状</w:t>
            </w:r>
          </w:p>
          <w:p>
            <w:pPr>
              <w:spacing w:line="360" w:lineRule="auto"/>
              <w:ind w:firstLine="480" w:firstLineChars="200"/>
              <w:rPr>
                <w:rFonts w:hint="eastAsia" w:ascii="Times New Roman" w:hAnsi="Times New Roman" w:eastAsia="宋体" w:cs="Times New Roman"/>
                <w:b/>
                <w:color w:val="auto"/>
                <w:kern w:val="0"/>
                <w:sz w:val="21"/>
                <w:szCs w:val="21"/>
                <w:highlight w:val="none"/>
                <w:shd w:val="clear" w:color="auto" w:fill="auto"/>
                <w:lang w:val="en-US" w:eastAsia="zh-CN" w:bidi="ar-SA"/>
              </w:rPr>
            </w:pPr>
            <w:r>
              <w:rPr>
                <w:rFonts w:hint="default" w:ascii="Times New Roman" w:hAnsi="Times New Roman" w:cs="Times New Roman"/>
                <w:bCs/>
                <w:sz w:val="24"/>
              </w:rPr>
              <w:t>本项目特征污染物非甲烷总烃的环境质量现状引用广州市二轻系统环境检测站于2019年6月24日至6月30日</w:t>
            </w:r>
            <w:r>
              <w:rPr>
                <w:rFonts w:hint="default" w:ascii="Times New Roman" w:hAnsi="Times New Roman" w:cs="Times New Roman"/>
                <w:sz w:val="24"/>
              </w:rPr>
              <w:t>对开平市水口镇怡泰五金厂所在地的大气环境进行监测</w:t>
            </w:r>
            <w:r>
              <w:rPr>
                <w:rFonts w:hint="default" w:ascii="Times New Roman" w:hAnsi="Times New Roman" w:cs="Times New Roman"/>
                <w:color w:val="auto"/>
                <w:sz w:val="24"/>
              </w:rPr>
              <w:t>，该厂距离本项目</w:t>
            </w:r>
            <w:r>
              <w:rPr>
                <w:rFonts w:hint="eastAsia" w:ascii="Times New Roman" w:hAnsi="Times New Roman" w:cs="Times New Roman"/>
                <w:color w:val="auto"/>
                <w:sz w:val="24"/>
                <w:lang w:val="en-US" w:eastAsia="zh-CN"/>
              </w:rPr>
              <w:t>1487</w:t>
            </w:r>
            <w:r>
              <w:rPr>
                <w:rFonts w:hint="default" w:ascii="Times New Roman" w:hAnsi="Times New Roman" w:cs="Times New Roman"/>
                <w:color w:val="auto"/>
                <w:sz w:val="24"/>
              </w:rPr>
              <w:t>m，在本项目的评价范围内，因此数据有效</w:t>
            </w:r>
            <w:r>
              <w:rPr>
                <w:rFonts w:hint="eastAsia" w:ascii="Times New Roman" w:hAnsi="Times New Roman" w:cs="Times New Roman"/>
                <w:color w:val="auto"/>
                <w:sz w:val="24"/>
                <w:lang w:eastAsia="zh-CN"/>
              </w:rPr>
              <w:t>；</w:t>
            </w:r>
            <w:r>
              <w:rPr>
                <w:rFonts w:hint="default" w:ascii="Times New Roman" w:hAnsi="Times New Roman" w:cs="Times New Roman"/>
                <w:bCs/>
                <w:color w:val="auto"/>
                <w:sz w:val="24"/>
              </w:rPr>
              <w:t>特征污染物</w:t>
            </w:r>
            <w:r>
              <w:rPr>
                <w:rFonts w:hint="eastAsia" w:ascii="Times New Roman" w:hAnsi="Times New Roman" w:cs="Times New Roman"/>
                <w:bCs/>
                <w:color w:val="auto"/>
                <w:sz w:val="24"/>
                <w:lang w:val="en-US" w:eastAsia="zh-CN"/>
              </w:rPr>
              <w:t>TSP</w:t>
            </w:r>
            <w:r>
              <w:rPr>
                <w:rFonts w:hint="default" w:ascii="Times New Roman" w:hAnsi="Times New Roman" w:cs="Times New Roman"/>
                <w:bCs/>
                <w:color w:val="auto"/>
                <w:sz w:val="24"/>
              </w:rPr>
              <w:t>的环境质量现状引用广州市恒力检测股份有限公司于2018年8月13日至8月19日</w:t>
            </w:r>
            <w:r>
              <w:rPr>
                <w:rFonts w:hint="default" w:ascii="Times New Roman" w:hAnsi="Times New Roman" w:cs="Times New Roman"/>
                <w:color w:val="auto"/>
                <w:sz w:val="24"/>
              </w:rPr>
              <w:t>对</w:t>
            </w:r>
            <w:r>
              <w:rPr>
                <w:rFonts w:hint="eastAsia"/>
                <w:color w:val="auto"/>
                <w:sz w:val="24"/>
                <w:shd w:val="clear" w:color="auto" w:fill="auto"/>
                <w:lang w:eastAsia="zh-CN"/>
              </w:rPr>
              <w:t>开平市水口镇明明五金加工店</w:t>
            </w:r>
            <w:r>
              <w:rPr>
                <w:rFonts w:hint="default" w:ascii="Times New Roman" w:hAnsi="Times New Roman" w:cs="Times New Roman"/>
                <w:color w:val="auto"/>
                <w:sz w:val="24"/>
              </w:rPr>
              <w:t>所在地的大气环境进行监测，该厂距离本项目</w:t>
            </w:r>
            <w:r>
              <w:rPr>
                <w:rFonts w:hint="eastAsia" w:ascii="Times New Roman" w:hAnsi="Times New Roman" w:cs="Times New Roman"/>
                <w:color w:val="auto"/>
                <w:sz w:val="24"/>
                <w:lang w:val="en-US" w:eastAsia="zh-CN"/>
              </w:rPr>
              <w:t>518</w:t>
            </w:r>
            <w:r>
              <w:rPr>
                <w:rFonts w:hint="default" w:ascii="Times New Roman" w:hAnsi="Times New Roman" w:cs="Times New Roman"/>
                <w:color w:val="auto"/>
                <w:sz w:val="24"/>
              </w:rPr>
              <w:t>m，在本项目的评价范围内，因此数据有效</w:t>
            </w:r>
            <w:r>
              <w:rPr>
                <w:rFonts w:hint="eastAsia" w:ascii="Times New Roman" w:hAnsi="Times New Roman" w:cs="Times New Roman"/>
                <w:color w:val="auto"/>
                <w:sz w:val="24"/>
                <w:lang w:eastAsia="zh-CN"/>
              </w:rPr>
              <w:t>；</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非甲烷总烃</w:t>
            </w:r>
            <w:r>
              <w:rPr>
                <w:rFonts w:hint="eastAsia" w:ascii="Times New Roman" w:hAnsi="Times New Roman" w:eastAsia="宋体" w:cs="Times New Roman"/>
                <w:b/>
                <w:color w:val="auto"/>
                <w:sz w:val="21"/>
                <w:szCs w:val="21"/>
                <w:shd w:val="clear" w:color="auto" w:fill="auto"/>
                <w:lang w:val="en-US" w:eastAsia="zh-CN"/>
              </w:rPr>
              <w:t>、TSP</w:t>
            </w:r>
            <w:r>
              <w:rPr>
                <w:rFonts w:hint="default" w:ascii="Times New Roman" w:hAnsi="Times New Roman" w:eastAsia="宋体" w:cs="Times New Roman"/>
                <w:b/>
                <w:color w:val="auto"/>
                <w:sz w:val="21"/>
                <w:szCs w:val="21"/>
                <w:shd w:val="clear" w:color="auto" w:fill="auto"/>
                <w:lang w:val="en-US" w:eastAsia="zh-CN"/>
              </w:rPr>
              <w:t>补充监测点位基本信息</w:t>
            </w:r>
          </w:p>
          <w:tbl>
            <w:tblPr>
              <w:tblStyle w:val="43"/>
              <w:tblW w:w="8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844"/>
              <w:gridCol w:w="814"/>
              <w:gridCol w:w="1209"/>
              <w:gridCol w:w="1268"/>
              <w:gridCol w:w="1335"/>
              <w:gridCol w:w="1095"/>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blHeader/>
                <w:jc w:val="center"/>
              </w:trPr>
              <w:tc>
                <w:tcPr>
                  <w:tcW w:w="1344"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监测点名称</w:t>
                  </w:r>
                </w:p>
              </w:tc>
              <w:tc>
                <w:tcPr>
                  <w:tcW w:w="1658" w:type="dxa"/>
                  <w:gridSpan w:val="2"/>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监测点坐标/m</w:t>
                  </w:r>
                </w:p>
              </w:tc>
              <w:tc>
                <w:tcPr>
                  <w:tcW w:w="1209"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监测因子</w:t>
                  </w:r>
                </w:p>
              </w:tc>
              <w:tc>
                <w:tcPr>
                  <w:tcW w:w="2603" w:type="dxa"/>
                  <w:gridSpan w:val="2"/>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监测时段</w:t>
                  </w:r>
                </w:p>
              </w:tc>
              <w:tc>
                <w:tcPr>
                  <w:tcW w:w="109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bCs/>
                      <w:color w:val="auto"/>
                      <w:kern w:val="2"/>
                      <w:sz w:val="21"/>
                      <w:szCs w:val="21"/>
                      <w:highlight w:val="none"/>
                    </w:rPr>
                    <w:t>相对厂址方位</w:t>
                  </w:r>
                </w:p>
              </w:tc>
              <w:tc>
                <w:tcPr>
                  <w:tcW w:w="106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844"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t>X</w:t>
                  </w:r>
                </w:p>
              </w:tc>
              <w:tc>
                <w:tcPr>
                  <w:tcW w:w="814"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t>Y</w:t>
                  </w: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2603" w:type="dxa"/>
                  <w:gridSpan w:val="2"/>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109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344" w:type="dxa"/>
                  <w:vMerge w:val="restart"/>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开平市水口镇怡泰五金厂所在地</w:t>
                  </w:r>
                </w:p>
              </w:tc>
              <w:tc>
                <w:tcPr>
                  <w:tcW w:w="844"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-1556</w:t>
                  </w:r>
                </w:p>
              </w:tc>
              <w:tc>
                <w:tcPr>
                  <w:tcW w:w="814"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-80</w:t>
                  </w:r>
                </w:p>
              </w:tc>
              <w:tc>
                <w:tcPr>
                  <w:tcW w:w="1209"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非甲烷总烃</w:t>
                  </w: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2019/06/24</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restart"/>
                  <w:tcBorders>
                    <w:tl2br w:val="nil"/>
                    <w:tr2bl w:val="nil"/>
                  </w:tcBorders>
                  <w:vAlign w:val="center"/>
                </w:tcPr>
                <w:p>
                  <w:pPr>
                    <w:widowControl w:val="0"/>
                    <w:tabs>
                      <w:tab w:val="left" w:pos="-2848"/>
                    </w:tabs>
                    <w:jc w:val="center"/>
                    <w:rPr>
                      <w:rFonts w:hint="default" w:ascii="Times New Roman" w:hAnsi="Times New Roman" w:eastAsia="宋体" w:cs="Times New Roman"/>
                      <w:color w:val="auto"/>
                      <w:kern w:val="44"/>
                      <w:sz w:val="21"/>
                      <w:szCs w:val="21"/>
                      <w:highlight w:val="none"/>
                      <w:lang w:val="en-US" w:eastAsia="zh-CN" w:bidi="ar-SA"/>
                    </w:rPr>
                  </w:pPr>
                  <w:r>
                    <w:rPr>
                      <w:rFonts w:hint="eastAsia" w:ascii="Times New Roman" w:hAnsi="Times New Roman" w:eastAsia="宋体" w:cs="Times New Roman"/>
                      <w:color w:val="auto"/>
                      <w:kern w:val="44"/>
                      <w:sz w:val="21"/>
                      <w:szCs w:val="21"/>
                      <w:highlight w:val="none"/>
                      <w:lang w:val="en-US" w:eastAsia="zh-CN" w:bidi="ar-SA"/>
                    </w:rPr>
                    <w:t>西面</w:t>
                  </w:r>
                </w:p>
              </w:tc>
              <w:tc>
                <w:tcPr>
                  <w:tcW w:w="106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2019/06/25</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2019/06/26</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2019/06/27</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2019/06/28</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2019/06/29</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2019/06/30</w:t>
                  </w: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02:00-03:00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08:00-09:00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14:00-15:00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81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0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c>
                <w:tcPr>
                  <w:tcW w:w="126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133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eastAsiaTheme="minorEastAsia"/>
                      <w:color w:val="auto"/>
                      <w:kern w:val="2"/>
                      <w:sz w:val="21"/>
                      <w:szCs w:val="21"/>
                      <w:highlight w:val="none"/>
                    </w:rPr>
                    <w:t>20:00-21:00</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4" w:type="dxa"/>
                  <w:vMerge w:val="restart"/>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844"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297</w:t>
                  </w:r>
                </w:p>
              </w:tc>
              <w:tc>
                <w:tcPr>
                  <w:tcW w:w="814"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-474</w:t>
                  </w:r>
                </w:p>
              </w:tc>
              <w:tc>
                <w:tcPr>
                  <w:tcW w:w="1209"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TSP</w:t>
                  </w: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13</w:t>
                  </w:r>
                </w:p>
              </w:tc>
              <w:tc>
                <w:tcPr>
                  <w:tcW w:w="1095" w:type="dxa"/>
                  <w:vMerge w:val="restart"/>
                  <w:tcBorders>
                    <w:tl2br w:val="nil"/>
                    <w:tr2bl w:val="nil"/>
                  </w:tcBorders>
                  <w:vAlign w:val="center"/>
                </w:tcPr>
                <w:p>
                  <w:pPr>
                    <w:widowControl w:val="0"/>
                    <w:tabs>
                      <w:tab w:val="left" w:pos="-2848"/>
                    </w:tabs>
                    <w:jc w:val="center"/>
                    <w:rPr>
                      <w:rFonts w:hint="default" w:ascii="Times New Roman" w:hAnsi="Times New Roman" w:eastAsia="宋体" w:cs="Times New Roman"/>
                      <w:color w:val="auto"/>
                      <w:kern w:val="44"/>
                      <w:sz w:val="21"/>
                      <w:szCs w:val="21"/>
                      <w:highlight w:val="none"/>
                      <w:lang w:val="en-US" w:eastAsia="zh-CN" w:bidi="ar-SA"/>
                    </w:rPr>
                  </w:pPr>
                  <w:r>
                    <w:rPr>
                      <w:rFonts w:hint="eastAsia" w:ascii="Times New Roman" w:hAnsi="Times New Roman" w:eastAsia="宋体" w:cs="Times New Roman"/>
                      <w:color w:val="auto"/>
                      <w:kern w:val="44"/>
                      <w:sz w:val="21"/>
                      <w:szCs w:val="21"/>
                      <w:highlight w:val="none"/>
                      <w:lang w:val="en-US" w:eastAsia="zh-CN" w:bidi="ar-SA"/>
                    </w:rPr>
                    <w:t>东南面</w:t>
                  </w:r>
                </w:p>
              </w:tc>
              <w:tc>
                <w:tcPr>
                  <w:tcW w:w="106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81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1209"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14</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81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1209"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15</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81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1209"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16</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81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1209"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17</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81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1209"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18</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44" w:type="dxa"/>
                  <w:vMerge w:val="continue"/>
                  <w:tcBorders>
                    <w:tl2br w:val="nil"/>
                    <w:tr2bl w:val="nil"/>
                  </w:tcBorders>
                  <w:vAlign w:val="center"/>
                </w:tcPr>
                <w:p>
                  <w:pPr>
                    <w:widowControl w:val="0"/>
                    <w:autoSpaceDE w:val="0"/>
                    <w:autoSpaceDN w:val="0"/>
                    <w:adjustRightInd w:val="0"/>
                    <w:jc w:val="center"/>
                    <w:rPr>
                      <w:rFonts w:hint="default" w:ascii="Times New Roman" w:hAnsi="Times New Roman" w:eastAsia="宋体" w:cs="Times New Roman"/>
                      <w:color w:val="FF0000"/>
                      <w:sz w:val="21"/>
                      <w:szCs w:val="21"/>
                      <w:highlight w:val="none"/>
                      <w:lang w:val="en-US" w:eastAsia="zh-CN" w:bidi="ar-SA"/>
                    </w:rPr>
                  </w:pPr>
                </w:p>
              </w:tc>
              <w:tc>
                <w:tcPr>
                  <w:tcW w:w="84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814"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1209" w:type="dxa"/>
                  <w:vMerge w:val="continue"/>
                  <w:tcBorders>
                    <w:tl2br w:val="nil"/>
                    <w:tr2bl w:val="nil"/>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lang w:val="en-US" w:eastAsia="zh-CN"/>
                    </w:rPr>
                  </w:pPr>
                </w:p>
              </w:tc>
              <w:tc>
                <w:tcPr>
                  <w:tcW w:w="2603" w:type="dxa"/>
                  <w:gridSpan w:val="2"/>
                  <w:tcBorders>
                    <w:tl2br w:val="nil"/>
                    <w:tr2bl w:val="nil"/>
                  </w:tcBorders>
                  <w:vAlign w:val="center"/>
                </w:tcPr>
                <w:p>
                  <w:pPr>
                    <w:widowControl w:val="0"/>
                    <w:spacing w:after="0" w:line="240" w:lineRule="auto"/>
                    <w:jc w:val="center"/>
                    <w:rPr>
                      <w:rFonts w:hint="default" w:ascii="Times New Roman" w:hAnsi="Times New Roman" w:cs="Times New Roman" w:eastAsiaTheme="minorEastAsia"/>
                      <w:color w:val="FF0000"/>
                      <w:kern w:val="2"/>
                      <w:sz w:val="21"/>
                      <w:szCs w:val="21"/>
                      <w:highlight w:val="none"/>
                    </w:rPr>
                  </w:pPr>
                  <w:r>
                    <w:rPr>
                      <w:rFonts w:hint="default" w:ascii="Times New Roman" w:hAnsi="Times New Roman" w:cs="Times New Roman"/>
                      <w:sz w:val="21"/>
                      <w:szCs w:val="21"/>
                    </w:rPr>
                    <w:t>2018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08</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rPr>
                    <w:t>19</w:t>
                  </w:r>
                </w:p>
              </w:tc>
              <w:tc>
                <w:tcPr>
                  <w:tcW w:w="1095" w:type="dxa"/>
                  <w:vMerge w:val="continue"/>
                  <w:tcBorders>
                    <w:tl2br w:val="nil"/>
                    <w:tr2bl w:val="nil"/>
                  </w:tcBorders>
                  <w:vAlign w:val="center"/>
                </w:tcPr>
                <w:p>
                  <w:pPr>
                    <w:widowControl w:val="0"/>
                    <w:tabs>
                      <w:tab w:val="left" w:pos="-2848"/>
                    </w:tabs>
                    <w:jc w:val="center"/>
                    <w:rPr>
                      <w:rFonts w:hint="default" w:ascii="Times New Roman" w:hAnsi="Times New Roman" w:eastAsia="宋体" w:cs="Times New Roman"/>
                      <w:color w:val="FF0000"/>
                      <w:kern w:val="44"/>
                      <w:sz w:val="21"/>
                      <w:szCs w:val="21"/>
                      <w:highlight w:val="none"/>
                      <w:lang w:val="en-US" w:eastAsia="zh-CN" w:bidi="ar-SA"/>
                    </w:rPr>
                  </w:pPr>
                </w:p>
              </w:tc>
              <w:tc>
                <w:tcPr>
                  <w:tcW w:w="106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p>
              </w:tc>
            </w:tr>
          </w:tbl>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非甲烷总烃环境质量现状（监测结果）表</w:t>
            </w:r>
          </w:p>
          <w:tbl>
            <w:tblPr>
              <w:tblStyle w:val="43"/>
              <w:tblW w:w="94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719"/>
              <w:gridCol w:w="673"/>
              <w:gridCol w:w="719"/>
              <w:gridCol w:w="671"/>
              <w:gridCol w:w="1101"/>
              <w:gridCol w:w="1362"/>
              <w:gridCol w:w="964"/>
              <w:gridCol w:w="887"/>
              <w:gridCol w:w="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blHeader/>
                <w:jc w:val="center"/>
              </w:trPr>
              <w:tc>
                <w:tcPr>
                  <w:tcW w:w="1508"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监测点位</w:t>
                  </w:r>
                </w:p>
              </w:tc>
              <w:tc>
                <w:tcPr>
                  <w:tcW w:w="1392" w:type="dxa"/>
                  <w:gridSpan w:val="2"/>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监测点坐标/m</w:t>
                  </w:r>
                </w:p>
              </w:tc>
              <w:tc>
                <w:tcPr>
                  <w:tcW w:w="719"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污染物</w:t>
                  </w:r>
                </w:p>
              </w:tc>
              <w:tc>
                <w:tcPr>
                  <w:tcW w:w="671"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平均时间</w:t>
                  </w:r>
                </w:p>
              </w:tc>
              <w:tc>
                <w:tcPr>
                  <w:tcW w:w="1101"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评价标准</w:t>
                  </w:r>
                </w:p>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/（μg/m³）</w:t>
                  </w:r>
                </w:p>
              </w:tc>
              <w:tc>
                <w:tcPr>
                  <w:tcW w:w="1362"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监测浓度范围/（μg/m³）</w:t>
                  </w:r>
                </w:p>
              </w:tc>
              <w:tc>
                <w:tcPr>
                  <w:tcW w:w="964"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b/>
                      <w:color w:val="auto"/>
                      <w:kern w:val="2"/>
                      <w:sz w:val="21"/>
                      <w:szCs w:val="21"/>
                      <w:highlight w:val="none"/>
                    </w:rPr>
                    <w:t>最大浓度占标率/%</w:t>
                  </w:r>
                </w:p>
              </w:tc>
              <w:tc>
                <w:tcPr>
                  <w:tcW w:w="887"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超标频率/%</w:t>
                  </w:r>
                </w:p>
              </w:tc>
              <w:tc>
                <w:tcPr>
                  <w:tcW w:w="802"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blHeader/>
                <w:jc w:val="center"/>
              </w:trPr>
              <w:tc>
                <w:tcPr>
                  <w:tcW w:w="1508"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719"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t>X</w:t>
                  </w:r>
                </w:p>
              </w:tc>
              <w:tc>
                <w:tcPr>
                  <w:tcW w:w="673"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t>Y</w:t>
                  </w:r>
                </w:p>
              </w:tc>
              <w:tc>
                <w:tcPr>
                  <w:tcW w:w="719"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671"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1101"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1362"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964"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887"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c>
                <w:tcPr>
                  <w:tcW w:w="802"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508" w:type="dxa"/>
                  <w:tcBorders>
                    <w:tl2br w:val="nil"/>
                    <w:tr2bl w:val="nil"/>
                  </w:tcBorders>
                  <w:vAlign w:val="center"/>
                </w:tcPr>
                <w:p>
                  <w:pPr>
                    <w:widowControl w:val="0"/>
                    <w:autoSpaceDE w:val="0"/>
                    <w:autoSpaceDN w:val="0"/>
                    <w:adjustRightInd w:val="0"/>
                    <w:spacing w:line="240" w:lineRule="auto"/>
                    <w:jc w:val="center"/>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开平市水口镇怡泰五金厂所在地</w:t>
                  </w:r>
                </w:p>
              </w:tc>
              <w:tc>
                <w:tcPr>
                  <w:tcW w:w="719"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-1556</w:t>
                  </w:r>
                </w:p>
              </w:tc>
              <w:tc>
                <w:tcPr>
                  <w:tcW w:w="673"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-80</w:t>
                  </w:r>
                </w:p>
              </w:tc>
              <w:tc>
                <w:tcPr>
                  <w:tcW w:w="719"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非甲烷总烃</w:t>
                  </w:r>
                </w:p>
              </w:tc>
              <w:tc>
                <w:tcPr>
                  <w:tcW w:w="671"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4"/>
                      <w:highlight w:val="none"/>
                    </w:rPr>
                    <w:t>1h</w:t>
                  </w:r>
                </w:p>
              </w:tc>
              <w:tc>
                <w:tcPr>
                  <w:tcW w:w="1101" w:type="dxa"/>
                  <w:tcBorders>
                    <w:tl2br w:val="nil"/>
                    <w:tr2bl w:val="nil"/>
                  </w:tcBorders>
                  <w:vAlign w:val="center"/>
                </w:tcPr>
                <w:p>
                  <w:pPr>
                    <w:widowControl w:val="0"/>
                    <w:tabs>
                      <w:tab w:val="left" w:pos="-2848"/>
                    </w:tabs>
                    <w:spacing w:line="240" w:lineRule="auto"/>
                    <w:jc w:val="center"/>
                    <w:rPr>
                      <w:rFonts w:hint="default" w:ascii="Times New Roman" w:hAnsi="Times New Roman" w:eastAsia="宋体" w:cs="Times New Roman"/>
                      <w:color w:val="auto"/>
                      <w:kern w:val="44"/>
                      <w:sz w:val="21"/>
                      <w:szCs w:val="21"/>
                      <w:highlight w:val="none"/>
                      <w:lang w:val="en-US" w:eastAsia="zh-CN" w:bidi="ar-SA"/>
                    </w:rPr>
                  </w:pPr>
                  <w:r>
                    <w:rPr>
                      <w:rFonts w:hint="eastAsia" w:ascii="Times New Roman" w:hAnsi="Times New Roman" w:eastAsia="宋体" w:cs="Times New Roman"/>
                      <w:color w:val="auto"/>
                      <w:kern w:val="44"/>
                      <w:sz w:val="21"/>
                      <w:szCs w:val="21"/>
                      <w:highlight w:val="none"/>
                      <w:lang w:val="en-US" w:eastAsia="zh-CN" w:bidi="ar-SA"/>
                    </w:rPr>
                    <w:t>2000</w:t>
                  </w:r>
                </w:p>
              </w:tc>
              <w:tc>
                <w:tcPr>
                  <w:tcW w:w="1362"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80</w:t>
                  </w:r>
                  <w:r>
                    <w:rPr>
                      <w:rFonts w:hint="default"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120</w:t>
                  </w:r>
                </w:p>
              </w:tc>
              <w:tc>
                <w:tcPr>
                  <w:tcW w:w="964" w:type="dxa"/>
                  <w:tcBorders>
                    <w:tl2br w:val="nil"/>
                    <w:tr2bl w:val="nil"/>
                  </w:tcBorders>
                  <w:vAlign w:val="center"/>
                </w:tcPr>
                <w:p>
                  <w:pPr>
                    <w:widowControl w:val="0"/>
                    <w:spacing w:after="0" w:line="240" w:lineRule="auto"/>
                    <w:jc w:val="center"/>
                    <w:rPr>
                      <w:rFonts w:hint="default" w:ascii="Times New Roman" w:hAnsi="Times New Roman" w:eastAsia="仿宋_GB2312" w:cs="Times New Roman"/>
                      <w:color w:val="auto"/>
                      <w:kern w:val="2"/>
                      <w:sz w:val="21"/>
                      <w:szCs w:val="24"/>
                      <w:highlight w:val="none"/>
                    </w:rPr>
                  </w:pPr>
                  <w:r>
                    <w:rPr>
                      <w:rFonts w:hint="default" w:ascii="Times New Roman" w:hAnsi="Times New Roman" w:eastAsia="仿宋_GB2312" w:cs="Times New Roman"/>
                      <w:color w:val="auto"/>
                      <w:kern w:val="2"/>
                      <w:sz w:val="21"/>
                      <w:szCs w:val="24"/>
                      <w:highlight w:val="none"/>
                    </w:rPr>
                    <w:t>6</w:t>
                  </w:r>
                </w:p>
              </w:tc>
              <w:tc>
                <w:tcPr>
                  <w:tcW w:w="887"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c>
                <w:tcPr>
                  <w:tcW w:w="802"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508" w:type="dxa"/>
                  <w:tcBorders>
                    <w:tl2br w:val="nil"/>
                    <w:tr2bl w:val="nil"/>
                  </w:tcBorders>
                  <w:vAlign w:val="center"/>
                </w:tcPr>
                <w:p>
                  <w:pPr>
                    <w:widowControl w:val="0"/>
                    <w:autoSpaceDE w:val="0"/>
                    <w:autoSpaceDN w:val="0"/>
                    <w:adjustRightInd w:val="0"/>
                    <w:spacing w:line="240" w:lineRule="auto"/>
                    <w:jc w:val="center"/>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719"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297</w:t>
                  </w:r>
                </w:p>
              </w:tc>
              <w:tc>
                <w:tcPr>
                  <w:tcW w:w="673"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-474</w:t>
                  </w:r>
                </w:p>
              </w:tc>
              <w:tc>
                <w:tcPr>
                  <w:tcW w:w="719"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TSP</w:t>
                  </w:r>
                </w:p>
              </w:tc>
              <w:tc>
                <w:tcPr>
                  <w:tcW w:w="671"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24h</w:t>
                  </w:r>
                </w:p>
              </w:tc>
              <w:tc>
                <w:tcPr>
                  <w:tcW w:w="1101" w:type="dxa"/>
                  <w:tcBorders>
                    <w:tl2br w:val="nil"/>
                    <w:tr2bl w:val="nil"/>
                  </w:tcBorders>
                  <w:vAlign w:val="center"/>
                </w:tcPr>
                <w:p>
                  <w:pPr>
                    <w:widowControl w:val="0"/>
                    <w:tabs>
                      <w:tab w:val="left" w:pos="-2848"/>
                    </w:tabs>
                    <w:spacing w:line="240" w:lineRule="auto"/>
                    <w:jc w:val="center"/>
                    <w:rPr>
                      <w:rFonts w:hint="default" w:ascii="Times New Roman" w:hAnsi="Times New Roman" w:eastAsia="宋体" w:cs="Times New Roman"/>
                      <w:color w:val="auto"/>
                      <w:kern w:val="44"/>
                      <w:sz w:val="21"/>
                      <w:szCs w:val="21"/>
                      <w:highlight w:val="none"/>
                      <w:lang w:val="en-US" w:eastAsia="zh-CN" w:bidi="ar-SA"/>
                    </w:rPr>
                  </w:pPr>
                  <w:r>
                    <w:rPr>
                      <w:rFonts w:hint="eastAsia" w:ascii="Times New Roman" w:hAnsi="Times New Roman" w:eastAsia="宋体" w:cs="Times New Roman"/>
                      <w:color w:val="auto"/>
                      <w:kern w:val="44"/>
                      <w:sz w:val="21"/>
                      <w:szCs w:val="21"/>
                      <w:highlight w:val="none"/>
                      <w:lang w:val="en-US" w:eastAsia="zh-CN" w:bidi="ar-SA"/>
                    </w:rPr>
                    <w:t>300</w:t>
                  </w:r>
                </w:p>
              </w:tc>
              <w:tc>
                <w:tcPr>
                  <w:tcW w:w="1362"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110~128</w:t>
                  </w:r>
                </w:p>
              </w:tc>
              <w:tc>
                <w:tcPr>
                  <w:tcW w:w="964" w:type="dxa"/>
                  <w:tcBorders>
                    <w:tl2br w:val="nil"/>
                    <w:tr2bl w:val="nil"/>
                  </w:tcBorders>
                  <w:vAlign w:val="center"/>
                </w:tcPr>
                <w:p>
                  <w:pPr>
                    <w:widowControl w:val="0"/>
                    <w:spacing w:after="0" w:line="240" w:lineRule="auto"/>
                    <w:jc w:val="center"/>
                    <w:rPr>
                      <w:rFonts w:hint="default" w:ascii="Times New Roman" w:hAnsi="Times New Roman" w:eastAsia="仿宋_GB2312" w:cs="Times New Roman"/>
                      <w:color w:val="auto"/>
                      <w:kern w:val="2"/>
                      <w:sz w:val="21"/>
                      <w:szCs w:val="24"/>
                      <w:highlight w:val="none"/>
                      <w:lang w:val="en-US" w:eastAsia="zh-CN"/>
                    </w:rPr>
                  </w:pPr>
                  <w:r>
                    <w:rPr>
                      <w:rFonts w:hint="eastAsia" w:ascii="Times New Roman" w:hAnsi="Times New Roman" w:eastAsia="仿宋_GB2312" w:cs="Times New Roman"/>
                      <w:color w:val="auto"/>
                      <w:kern w:val="2"/>
                      <w:sz w:val="21"/>
                      <w:szCs w:val="24"/>
                      <w:highlight w:val="none"/>
                      <w:lang w:val="en-US" w:eastAsia="zh-CN"/>
                    </w:rPr>
                    <w:t>42.7</w:t>
                  </w:r>
                </w:p>
              </w:tc>
              <w:tc>
                <w:tcPr>
                  <w:tcW w:w="887"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c>
                <w:tcPr>
                  <w:tcW w:w="802"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highlight w:val="none"/>
                    </w:rPr>
                    <w:t>达标</w:t>
                  </w:r>
                </w:p>
              </w:tc>
            </w:tr>
          </w:tbl>
          <w:p>
            <w:pPr>
              <w:widowControl w:val="0"/>
              <w:spacing w:after="0" w:line="360" w:lineRule="auto"/>
              <w:ind w:firstLine="422" w:firstLineChars="200"/>
              <w:jc w:val="left"/>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说明：坐标原点为本项目所在厂区。</w:t>
            </w:r>
          </w:p>
          <w:p>
            <w:pPr>
              <w:widowControl w:val="0"/>
              <w:spacing w:after="0" w:line="360" w:lineRule="auto"/>
              <w:ind w:firstLine="480" w:firstLineChars="200"/>
              <w:jc w:val="left"/>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监测结果表明，项目所在地非甲烷总烃符合《大气污染物综合排放标准详解》中解释标准，</w:t>
            </w:r>
            <w:r>
              <w:rPr>
                <w:rFonts w:hint="eastAsia" w:ascii="Times New Roman" w:hAnsi="Times New Roman" w:eastAsia="宋体" w:cs="Times New Roman"/>
                <w:color w:val="auto"/>
                <w:kern w:val="2"/>
                <w:sz w:val="24"/>
                <w:szCs w:val="24"/>
                <w:highlight w:val="none"/>
                <w:lang w:val="en-US" w:eastAsia="zh-CN"/>
              </w:rPr>
              <w:t>TSP</w:t>
            </w:r>
            <w:r>
              <w:rPr>
                <w:rFonts w:hint="default" w:ascii="Times New Roman" w:hAnsi="Times New Roman" w:cs="Times New Roman" w:eastAsiaTheme="minorEastAsia"/>
                <w:b w:val="0"/>
                <w:bCs/>
                <w:color w:val="auto"/>
                <w:kern w:val="24"/>
                <w:sz w:val="24"/>
                <w:szCs w:val="20"/>
                <w:highlight w:val="none"/>
                <w:lang w:val="en-US" w:eastAsia="zh-CN" w:bidi="ar-SA"/>
              </w:rPr>
              <w:t>满足</w:t>
            </w:r>
            <w:r>
              <w:rPr>
                <w:rFonts w:hint="eastAsia" w:ascii="Times New Roman" w:hAnsi="Times New Roman" w:cs="Times New Roman" w:eastAsiaTheme="minorEastAsia"/>
                <w:b w:val="0"/>
                <w:bCs/>
                <w:color w:val="auto"/>
                <w:kern w:val="24"/>
                <w:sz w:val="24"/>
                <w:szCs w:val="20"/>
                <w:highlight w:val="none"/>
                <w:lang w:val="en-US" w:eastAsia="zh-CN" w:bidi="ar-SA"/>
              </w:rPr>
              <w:t>《环境空气质量标准》（GB3095-2012）及其2018年修改单中的二级标准</w:t>
            </w:r>
            <w:r>
              <w:rPr>
                <w:rFonts w:hint="default" w:ascii="Times New Roman" w:hAnsi="Times New Roman" w:cs="Times New Roman" w:eastAsiaTheme="minorEastAsia"/>
                <w:b w:val="0"/>
                <w:bCs/>
                <w:color w:val="auto"/>
                <w:kern w:val="24"/>
                <w:sz w:val="24"/>
                <w:szCs w:val="20"/>
                <w:highlight w:val="none"/>
                <w:lang w:val="en-US" w:eastAsia="zh-CN" w:bidi="ar-SA"/>
              </w:rPr>
              <w:t>要求</w:t>
            </w:r>
            <w:r>
              <w:rPr>
                <w:rFonts w:hint="default" w:ascii="Times New Roman" w:hAnsi="Times New Roman" w:eastAsia="宋体" w:cs="Times New Roman"/>
                <w:color w:val="auto"/>
                <w:kern w:val="2"/>
                <w:sz w:val="24"/>
                <w:szCs w:val="24"/>
                <w:highlight w:val="none"/>
              </w:rPr>
              <w:t>。</w:t>
            </w:r>
          </w:p>
          <w:p>
            <w:pPr>
              <w:keepNext/>
              <w:keepLines/>
              <w:widowControl w:val="0"/>
              <w:autoSpaceDE w:val="0"/>
              <w:autoSpaceDN w:val="0"/>
              <w:adjustRightInd w:val="0"/>
              <w:spacing w:before="0" w:after="0" w:line="360" w:lineRule="auto"/>
              <w:ind w:firstLine="470" w:firstLineChars="196"/>
              <w:jc w:val="both"/>
              <w:textAlignment w:val="baseline"/>
              <w:outlineLvl w:val="1"/>
              <w:rPr>
                <w:rFonts w:ascii="Times New Roman" w:hAnsi="Times New Roman" w:cs="Times New Roman" w:eastAsiaTheme="minorEastAsia"/>
                <w:b/>
                <w:kern w:val="24"/>
                <w:sz w:val="24"/>
                <w:szCs w:val="24"/>
                <w:lang w:val="en-US" w:eastAsia="zh-CN" w:bidi="ar-SA"/>
              </w:rPr>
            </w:pPr>
            <w:r>
              <w:rPr>
                <w:rFonts w:ascii="Times New Roman" w:hAnsi="Times New Roman" w:cs="Times New Roman" w:eastAsiaTheme="minorEastAsia"/>
                <w:b w:val="0"/>
                <w:bCs/>
                <w:kern w:val="24"/>
                <w:sz w:val="24"/>
                <w:szCs w:val="24"/>
                <w:lang w:val="en-US" w:eastAsia="zh-CN" w:bidi="ar-SA"/>
              </w:rPr>
              <w:t>综上所述，本项目所在区域为环境空气质量不达标区域；SO</w:t>
            </w:r>
            <w:r>
              <w:rPr>
                <w:rFonts w:ascii="Times New Roman" w:hAnsi="Times New Roman" w:cs="Times New Roman" w:eastAsiaTheme="minorEastAsia"/>
                <w:b w:val="0"/>
                <w:bCs/>
                <w:kern w:val="24"/>
                <w:sz w:val="24"/>
                <w:szCs w:val="24"/>
                <w:vertAlign w:val="subscript"/>
                <w:lang w:val="en-US" w:eastAsia="zh-CN" w:bidi="ar-SA"/>
              </w:rPr>
              <w:t>2</w:t>
            </w:r>
            <w:r>
              <w:rPr>
                <w:rFonts w:ascii="Times New Roman" w:hAnsi="Times New Roman" w:cs="Times New Roman" w:eastAsiaTheme="minorEastAsia"/>
                <w:b w:val="0"/>
                <w:bCs/>
                <w:kern w:val="24"/>
                <w:sz w:val="24"/>
                <w:szCs w:val="24"/>
                <w:lang w:val="en-US" w:eastAsia="zh-CN" w:bidi="ar-SA"/>
              </w:rPr>
              <w:t>、NO</w:t>
            </w:r>
            <w:r>
              <w:rPr>
                <w:rFonts w:ascii="Times New Roman" w:hAnsi="Times New Roman" w:cs="Times New Roman" w:eastAsiaTheme="minorEastAsia"/>
                <w:b w:val="0"/>
                <w:bCs/>
                <w:kern w:val="24"/>
                <w:sz w:val="24"/>
                <w:szCs w:val="24"/>
                <w:vertAlign w:val="subscript"/>
                <w:lang w:val="en-US" w:eastAsia="zh-CN" w:bidi="ar-SA"/>
              </w:rPr>
              <w:t>2</w:t>
            </w:r>
            <w:r>
              <w:rPr>
                <w:rFonts w:ascii="Times New Roman" w:hAnsi="Times New Roman" w:cs="Times New Roman" w:eastAsiaTheme="minorEastAsia"/>
                <w:b w:val="0"/>
                <w:bCs/>
                <w:kern w:val="24"/>
                <w:sz w:val="24"/>
                <w:szCs w:val="24"/>
                <w:lang w:val="en-US" w:eastAsia="zh-CN" w:bidi="ar-SA"/>
              </w:rPr>
              <w:t>、PM</w:t>
            </w:r>
            <w:r>
              <w:rPr>
                <w:rFonts w:ascii="Times New Roman" w:hAnsi="Times New Roman" w:cs="Times New Roman" w:eastAsiaTheme="minorEastAsia"/>
                <w:b w:val="0"/>
                <w:bCs/>
                <w:kern w:val="24"/>
                <w:sz w:val="24"/>
                <w:szCs w:val="24"/>
                <w:vertAlign w:val="subscript"/>
                <w:lang w:val="en-US" w:eastAsia="zh-CN" w:bidi="ar-SA"/>
              </w:rPr>
              <w:t>10</w:t>
            </w:r>
            <w:r>
              <w:rPr>
                <w:rFonts w:ascii="Times New Roman" w:hAnsi="Times New Roman" w:cs="Times New Roman" w:eastAsiaTheme="minorEastAsia"/>
                <w:b w:val="0"/>
                <w:bCs/>
                <w:kern w:val="24"/>
                <w:sz w:val="24"/>
                <w:szCs w:val="24"/>
                <w:lang w:val="en-US" w:eastAsia="zh-CN" w:bidi="ar-SA"/>
              </w:rPr>
              <w:t>、PM</w:t>
            </w:r>
            <w:r>
              <w:rPr>
                <w:rFonts w:ascii="Times New Roman" w:hAnsi="Times New Roman" w:cs="Times New Roman" w:eastAsiaTheme="minorEastAsia"/>
                <w:b w:val="0"/>
                <w:bCs/>
                <w:kern w:val="24"/>
                <w:sz w:val="24"/>
                <w:szCs w:val="24"/>
                <w:vertAlign w:val="subscript"/>
                <w:lang w:val="en-US" w:eastAsia="zh-CN" w:bidi="ar-SA"/>
              </w:rPr>
              <w:t>2.5</w:t>
            </w:r>
            <w:r>
              <w:rPr>
                <w:rFonts w:ascii="Times New Roman" w:hAnsi="Times New Roman" w:cs="Times New Roman" w:eastAsiaTheme="minorEastAsia"/>
                <w:b w:val="0"/>
                <w:bCs/>
                <w:kern w:val="24"/>
                <w:sz w:val="24"/>
                <w:szCs w:val="24"/>
                <w:lang w:val="en-US" w:eastAsia="zh-CN" w:bidi="ar-SA"/>
              </w:rPr>
              <w:t>年平均质量浓度以及CO日均值第95百分位数浓度均满足《环境空气质量标准》（GB3095-2012）及”2018修改单”二级标准要求，O</w:t>
            </w:r>
            <w:r>
              <w:rPr>
                <w:rFonts w:ascii="Times New Roman" w:hAnsi="Times New Roman" w:cs="Times New Roman" w:eastAsiaTheme="minorEastAsia"/>
                <w:b w:val="0"/>
                <w:bCs/>
                <w:kern w:val="24"/>
                <w:sz w:val="24"/>
                <w:szCs w:val="24"/>
                <w:vertAlign w:val="subscript"/>
                <w:lang w:val="en-US" w:eastAsia="zh-CN" w:bidi="ar-SA"/>
              </w:rPr>
              <w:t>3</w:t>
            </w:r>
            <w:r>
              <w:rPr>
                <w:rFonts w:ascii="Times New Roman" w:hAnsi="Times New Roman" w:cs="Times New Roman" w:eastAsiaTheme="minorEastAsia"/>
                <w:b w:val="0"/>
                <w:bCs/>
                <w:kern w:val="24"/>
                <w:sz w:val="24"/>
                <w:szCs w:val="24"/>
                <w:lang w:val="en-US" w:eastAsia="zh-CN" w:bidi="ar-SA"/>
              </w:rPr>
              <w:t>日最大8小时平均第90百分位数不能满足《环境空气质量标准》（GB3095-2012）及”2018修改单”二级标准要求</w:t>
            </w:r>
            <w:r>
              <w:rPr>
                <w:rFonts w:hint="eastAsia" w:ascii="Times New Roman" w:hAnsi="Times New Roman" w:cs="Times New Roman" w:eastAsiaTheme="minorEastAsia"/>
                <w:b w:val="0"/>
                <w:bCs/>
                <w:kern w:val="24"/>
                <w:sz w:val="24"/>
                <w:szCs w:val="24"/>
                <w:lang w:val="en-US" w:eastAsia="zh-CN" w:bidi="ar-SA"/>
              </w:rPr>
              <w:t>；非甲烷总烃满足《大气污染物综合排放标准详解》中解释标准；TSP满足《环境空气质量标准》（GB3095-2012）及其2018年修改单中的二级标准要求。说明项目所在地环境质量现状一般。</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3、声环境质量现状</w:t>
            </w:r>
          </w:p>
          <w:p>
            <w:pPr>
              <w:widowControl w:val="0"/>
              <w:spacing w:after="0" w:line="360" w:lineRule="auto"/>
              <w:ind w:firstLine="480" w:firstLineChars="200"/>
              <w:jc w:val="both"/>
              <w:textAlignment w:val="baseline"/>
              <w:rPr>
                <w:rFonts w:hint="default" w:ascii="Times New Roman" w:hAnsi="Times New Roman" w:eastAsia="宋体" w:cs="Times New Roman"/>
                <w:color w:val="FF0000"/>
                <w:kern w:val="2"/>
                <w:sz w:val="24"/>
              </w:rPr>
            </w:pPr>
            <w:r>
              <w:rPr>
                <w:rFonts w:hint="default" w:ascii="Times New Roman" w:hAnsi="Times New Roman" w:eastAsia="宋体" w:cs="Times New Roman"/>
                <w:color w:val="auto"/>
                <w:kern w:val="2"/>
                <w:sz w:val="24"/>
              </w:rPr>
              <w:t>根据《声环境质量标准》（GB3096-2008）、《声环境功能区划分技术规范》（GB/T159190-2014）的相关规定，</w:t>
            </w:r>
            <w:r>
              <w:rPr>
                <w:rFonts w:hint="eastAsia" w:ascii="Times New Roman" w:hAnsi="Times New Roman" w:eastAsia="宋体" w:cs="Times New Roman"/>
                <w:color w:val="auto"/>
                <w:kern w:val="2"/>
                <w:sz w:val="24"/>
                <w:lang w:eastAsia="zh-CN"/>
              </w:rPr>
              <w:t>本项目</w:t>
            </w:r>
            <w:r>
              <w:rPr>
                <w:rFonts w:hint="default" w:ascii="Times New Roman" w:hAnsi="Times New Roman" w:eastAsia="宋体" w:cs="Times New Roman"/>
                <w:color w:val="auto"/>
                <w:kern w:val="2"/>
                <w:sz w:val="24"/>
              </w:rPr>
              <w:t>属于声环境功能3类区，执行《声环境质量标准》（GB 3096-2008）3类区标准。为了解该区域的声环境质量现状，在项目所在地东南厂界、西南厂界、西北厂界外1m处（由于项目东北厂界与其他厂房紧密相连，不具备布点条件）各布设一个环境噪声监测点，对附近区域的声环境进行现场实测，监测时间为2019年</w:t>
            </w:r>
            <w:r>
              <w:rPr>
                <w:rFonts w:hint="eastAsia" w:ascii="Times New Roman" w:hAnsi="Times New Roman" w:eastAsia="宋体" w:cs="Times New Roman"/>
                <w:color w:val="auto"/>
                <w:kern w:val="2"/>
                <w:sz w:val="24"/>
                <w:lang w:val="en-US" w:eastAsia="zh-CN"/>
              </w:rPr>
              <w:t>11</w:t>
            </w:r>
            <w:r>
              <w:rPr>
                <w:rFonts w:hint="default" w:ascii="Times New Roman" w:hAnsi="Times New Roman" w:eastAsia="宋体" w:cs="Times New Roman"/>
                <w:color w:val="auto"/>
                <w:kern w:val="2"/>
                <w:sz w:val="24"/>
              </w:rPr>
              <w:t>月</w:t>
            </w:r>
            <w:r>
              <w:rPr>
                <w:rFonts w:hint="eastAsia" w:ascii="Times New Roman" w:hAnsi="Times New Roman" w:eastAsia="宋体" w:cs="Times New Roman"/>
                <w:color w:val="auto"/>
                <w:kern w:val="2"/>
                <w:sz w:val="24"/>
                <w:lang w:val="en-US" w:eastAsia="zh-CN"/>
              </w:rPr>
              <w:t>5</w:t>
            </w:r>
            <w:r>
              <w:rPr>
                <w:rFonts w:hint="default" w:ascii="Times New Roman" w:hAnsi="Times New Roman" w:eastAsia="宋体" w:cs="Times New Roman"/>
                <w:color w:val="auto"/>
                <w:kern w:val="2"/>
                <w:sz w:val="24"/>
              </w:rPr>
              <w:t>日-</w:t>
            </w:r>
            <w:r>
              <w:rPr>
                <w:rFonts w:hint="eastAsia" w:ascii="Times New Roman" w:hAnsi="Times New Roman" w:eastAsia="宋体" w:cs="Times New Roman"/>
                <w:color w:val="auto"/>
                <w:kern w:val="2"/>
                <w:sz w:val="24"/>
                <w:lang w:val="en-US" w:eastAsia="zh-CN"/>
              </w:rPr>
              <w:t>11</w:t>
            </w:r>
            <w:r>
              <w:rPr>
                <w:rFonts w:hint="default" w:ascii="Times New Roman" w:hAnsi="Times New Roman" w:eastAsia="宋体" w:cs="Times New Roman"/>
                <w:color w:val="auto"/>
                <w:kern w:val="2"/>
                <w:sz w:val="24"/>
              </w:rPr>
              <w:t>月</w:t>
            </w:r>
            <w:r>
              <w:rPr>
                <w:rFonts w:hint="eastAsia" w:ascii="Times New Roman" w:hAnsi="Times New Roman" w:eastAsia="宋体" w:cs="Times New Roman"/>
                <w:color w:val="auto"/>
                <w:kern w:val="2"/>
                <w:sz w:val="24"/>
                <w:lang w:val="en-US" w:eastAsia="zh-CN"/>
              </w:rPr>
              <w:t>6</w:t>
            </w:r>
            <w:r>
              <w:rPr>
                <w:rFonts w:hint="default" w:ascii="Times New Roman" w:hAnsi="Times New Roman" w:eastAsia="宋体" w:cs="Times New Roman"/>
                <w:color w:val="auto"/>
                <w:kern w:val="2"/>
                <w:sz w:val="24"/>
              </w:rPr>
              <w:t>日。监测结果如下表所示：</w:t>
            </w:r>
          </w:p>
          <w:p>
            <w:pPr>
              <w:pStyle w:val="226"/>
              <w:numPr>
                <w:ilvl w:val="0"/>
                <w:numId w:val="2"/>
              </w:numPr>
              <w:tabs>
                <w:tab w:val="left" w:pos="420"/>
              </w:tabs>
              <w:spacing w:after="0"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噪声监测结果  单位：dB（A）</w:t>
            </w:r>
          </w:p>
          <w:tbl>
            <w:tblPr>
              <w:tblStyle w:val="43"/>
              <w:tblW w:w="952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8"/>
              <w:gridCol w:w="1985"/>
              <w:gridCol w:w="1134"/>
              <w:gridCol w:w="1275"/>
              <w:gridCol w:w="2524"/>
              <w:gridCol w:w="14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监测时间</w:t>
                  </w:r>
                </w:p>
              </w:tc>
              <w:tc>
                <w:tcPr>
                  <w:tcW w:w="1985"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测点编号</w:t>
                  </w:r>
                </w:p>
              </w:tc>
              <w:tc>
                <w:tcPr>
                  <w:tcW w:w="113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时段</w:t>
                  </w:r>
                </w:p>
              </w:tc>
              <w:tc>
                <w:tcPr>
                  <w:tcW w:w="1275" w:type="dxa"/>
                  <w:tcBorders>
                    <w:top w:val="single" w:color="auto" w:sz="4" w:space="0"/>
                    <w:left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Leq</w:t>
                  </w:r>
                </w:p>
              </w:tc>
              <w:tc>
                <w:tcPr>
                  <w:tcW w:w="252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标准值</w:t>
                  </w:r>
                </w:p>
              </w:tc>
              <w:tc>
                <w:tcPr>
                  <w:tcW w:w="1445"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restart"/>
                  <w:shd w:val="clear" w:color="auto" w:fill="auto"/>
                  <w:vAlign w:val="center"/>
                </w:tcPr>
                <w:p>
                  <w:pPr>
                    <w:widowControl w:val="0"/>
                    <w:spacing w:after="0" w:line="240" w:lineRule="auto"/>
                    <w:jc w:val="center"/>
                    <w:rPr>
                      <w:rFonts w:hint="eastAsia"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2019.</w:t>
                  </w:r>
                  <w:r>
                    <w:rPr>
                      <w:rFonts w:hint="eastAsia" w:ascii="Times New Roman" w:hAnsi="Times New Roman" w:eastAsia="宋体" w:cs="Times New Roman"/>
                      <w:color w:val="auto"/>
                      <w:kern w:val="2"/>
                      <w:sz w:val="21"/>
                      <w:szCs w:val="21"/>
                      <w:lang w:val="en-US" w:eastAsia="zh-CN"/>
                    </w:rPr>
                    <w:t>11</w:t>
                  </w:r>
                  <w:r>
                    <w:rPr>
                      <w:rFonts w:hint="default" w:ascii="Times New Roman" w:hAnsi="Times New Roman" w:eastAsia="宋体" w:cs="Times New Roman"/>
                      <w:color w:val="auto"/>
                      <w:kern w:val="2"/>
                      <w:sz w:val="21"/>
                      <w:szCs w:val="21"/>
                    </w:rPr>
                    <w:t>.</w:t>
                  </w:r>
                  <w:r>
                    <w:rPr>
                      <w:rFonts w:hint="eastAsia" w:ascii="Times New Roman" w:hAnsi="Times New Roman" w:eastAsia="宋体" w:cs="Times New Roman"/>
                      <w:color w:val="auto"/>
                      <w:kern w:val="2"/>
                      <w:sz w:val="21"/>
                      <w:szCs w:val="21"/>
                      <w:lang w:val="en-US" w:eastAsia="zh-CN"/>
                    </w:rPr>
                    <w:t>5</w:t>
                  </w:r>
                </w:p>
              </w:tc>
              <w:tc>
                <w:tcPr>
                  <w:tcW w:w="1985"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厂界东南侧外1米处N1</w:t>
                  </w: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昼间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58.3</w:t>
                  </w:r>
                </w:p>
              </w:tc>
              <w:tc>
                <w:tcPr>
                  <w:tcW w:w="2524"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昼间：65dB（A）     </w:t>
                  </w:r>
                </w:p>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夜间：55dB（A）</w:t>
                  </w:r>
                </w:p>
              </w:tc>
              <w:tc>
                <w:tcPr>
                  <w:tcW w:w="144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48.8</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厂界西南侧外1米处N2</w:t>
                  </w: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昼间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58.3</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47.8</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厂界西北侧外1米处N3</w:t>
                  </w: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昼间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55.2</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44.9</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restart"/>
                  <w:shd w:val="clear" w:color="auto" w:fill="auto"/>
                  <w:vAlign w:val="center"/>
                </w:tcPr>
                <w:p>
                  <w:pPr>
                    <w:widowControl w:val="0"/>
                    <w:spacing w:after="0" w:line="240" w:lineRule="auto"/>
                    <w:jc w:val="center"/>
                    <w:rPr>
                      <w:rFonts w:hint="eastAsia"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2019.</w:t>
                  </w:r>
                  <w:r>
                    <w:rPr>
                      <w:rFonts w:hint="eastAsia" w:ascii="Times New Roman" w:hAnsi="Times New Roman" w:eastAsia="宋体" w:cs="Times New Roman"/>
                      <w:color w:val="auto"/>
                      <w:kern w:val="2"/>
                      <w:sz w:val="21"/>
                      <w:szCs w:val="21"/>
                      <w:lang w:val="en-US" w:eastAsia="zh-CN"/>
                    </w:rPr>
                    <w:t>11</w:t>
                  </w:r>
                  <w:r>
                    <w:rPr>
                      <w:rFonts w:hint="default" w:ascii="Times New Roman" w:hAnsi="Times New Roman" w:eastAsia="宋体" w:cs="Times New Roman"/>
                      <w:color w:val="auto"/>
                      <w:kern w:val="2"/>
                      <w:sz w:val="21"/>
                      <w:szCs w:val="21"/>
                    </w:rPr>
                    <w:t>.</w:t>
                  </w:r>
                  <w:r>
                    <w:rPr>
                      <w:rFonts w:hint="eastAsia" w:ascii="Times New Roman" w:hAnsi="Times New Roman" w:eastAsia="宋体" w:cs="Times New Roman"/>
                      <w:color w:val="auto"/>
                      <w:kern w:val="2"/>
                      <w:sz w:val="21"/>
                      <w:szCs w:val="21"/>
                      <w:lang w:val="en-US" w:eastAsia="zh-CN"/>
                    </w:rPr>
                    <w:t>6</w:t>
                  </w:r>
                </w:p>
              </w:tc>
              <w:tc>
                <w:tcPr>
                  <w:tcW w:w="1985"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厂界东南侧外1米处N1</w:t>
                  </w: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昼间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56.0</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45.8</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厂界西南侧外1米处N2</w:t>
                  </w: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昼间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57.4</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48.6</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restart"/>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厂界西北侧外1米处N3</w:t>
                  </w: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昼间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54.6</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1158"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985"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134"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夜间</w:t>
                  </w:r>
                </w:p>
              </w:tc>
              <w:tc>
                <w:tcPr>
                  <w:tcW w:w="1275" w:type="dxa"/>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44.1</w:t>
                  </w:r>
                </w:p>
              </w:tc>
              <w:tc>
                <w:tcPr>
                  <w:tcW w:w="2524" w:type="dxa"/>
                  <w:vMerge w:val="continue"/>
                  <w:shd w:val="clear" w:color="auto" w:fill="auto"/>
                  <w:vAlign w:val="center"/>
                </w:tcPr>
                <w:p>
                  <w:pPr>
                    <w:widowControl w:val="0"/>
                    <w:spacing w:after="0" w:line="240" w:lineRule="auto"/>
                    <w:jc w:val="center"/>
                    <w:rPr>
                      <w:rFonts w:hint="default" w:ascii="Times New Roman" w:hAnsi="Times New Roman" w:eastAsia="宋体" w:cs="Times New Roman"/>
                      <w:color w:val="auto"/>
                      <w:kern w:val="2"/>
                      <w:sz w:val="21"/>
                      <w:szCs w:val="21"/>
                    </w:rPr>
                  </w:pPr>
                </w:p>
              </w:tc>
              <w:tc>
                <w:tcPr>
                  <w:tcW w:w="1445" w:type="dxa"/>
                  <w:shd w:val="clear" w:color="auto" w:fill="auto"/>
                </w:tcPr>
                <w:p>
                  <w:pPr>
                    <w:widowControl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达标</w:t>
                  </w:r>
                </w:p>
              </w:tc>
            </w:tr>
          </w:tbl>
          <w:p>
            <w:pPr>
              <w:widowControl w:val="0"/>
              <w:spacing w:after="0" w:line="360" w:lineRule="auto"/>
              <w:ind w:firstLine="480" w:firstLineChars="200"/>
              <w:jc w:val="both"/>
              <w:textAlignment w:val="baseline"/>
              <w:rPr>
                <w:rFonts w:hint="default" w:ascii="Times New Roman" w:hAnsi="Times New Roman" w:cs="Times New Roman"/>
                <w:color w:val="FF0000"/>
              </w:rPr>
            </w:pPr>
            <w:r>
              <w:rPr>
                <w:rFonts w:hint="default" w:ascii="Times New Roman" w:hAnsi="Times New Roman" w:eastAsia="宋体" w:cs="Times New Roman"/>
                <w:color w:val="auto"/>
                <w:kern w:val="2"/>
                <w:sz w:val="24"/>
              </w:rPr>
              <w:t>从上表可以看出，本项目东南厂界、西南厂界、西北厂界的昼、夜间噪声值均符合《声环境质量标准》（GB3096-2008）3类标准要求，项目所在地能够达到区域声环境功能要求。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5" w:hRule="atLeast"/>
        </w:trPr>
        <w:tc>
          <w:tcPr>
            <w:tcW w:w="9736" w:type="dxa"/>
          </w:tcPr>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主要环境保护目标(列出名单及保护级别):</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1、水环境保护目标</w:t>
            </w:r>
          </w:p>
          <w:p>
            <w:pPr>
              <w:widowControl w:val="0"/>
              <w:tabs>
                <w:tab w:val="left" w:pos="360"/>
              </w:tabs>
              <w:snapToGrid w:val="0"/>
              <w:spacing w:after="0" w:line="360" w:lineRule="auto"/>
              <w:ind w:left="4" w:firstLine="480" w:firstLineChars="200"/>
              <w:jc w:val="both"/>
              <w:rPr>
                <w:rFonts w:ascii="Times New Roman" w:hAnsi="Times New Roman" w:eastAsia="宋体" w:cs="Times New Roman"/>
                <w:color w:val="auto"/>
                <w:kern w:val="2"/>
                <w:sz w:val="24"/>
                <w:szCs w:val="24"/>
              </w:rPr>
            </w:pPr>
            <w:r>
              <w:rPr>
                <w:rFonts w:ascii="Times New Roman" w:hAnsi="Times New Roman" w:eastAsia="宋体" w:cs="Times New Roman"/>
                <w:color w:val="auto"/>
                <w:kern w:val="2"/>
                <w:sz w:val="24"/>
                <w:szCs w:val="24"/>
              </w:rPr>
              <w:t>水环境保护目标是在该建设项目</w:t>
            </w:r>
            <w:r>
              <w:rPr>
                <w:rFonts w:hint="eastAsia" w:ascii="Times New Roman" w:hAnsi="Times New Roman" w:eastAsia="宋体" w:cs="Times New Roman"/>
                <w:color w:val="auto"/>
                <w:kern w:val="2"/>
                <w:sz w:val="24"/>
                <w:szCs w:val="24"/>
              </w:rPr>
              <w:t>营业期间</w:t>
            </w:r>
            <w:r>
              <w:rPr>
                <w:rFonts w:ascii="Times New Roman" w:hAnsi="Times New Roman" w:eastAsia="宋体" w:cs="Times New Roman"/>
                <w:color w:val="auto"/>
                <w:kern w:val="2"/>
                <w:sz w:val="24"/>
                <w:szCs w:val="24"/>
              </w:rPr>
              <w:t>周围的河流水质不受明显的影响</w:t>
            </w:r>
            <w:r>
              <w:rPr>
                <w:rFonts w:hint="eastAsia" w:ascii="Times New Roman" w:hAnsi="Times New Roman" w:eastAsia="宋体" w:cs="Times New Roman"/>
                <w:color w:val="auto"/>
                <w:kern w:val="2"/>
                <w:sz w:val="24"/>
                <w:szCs w:val="24"/>
              </w:rPr>
              <w:t>，</w:t>
            </w:r>
            <w:r>
              <w:rPr>
                <w:rFonts w:ascii="Times New Roman" w:hAnsi="Times New Roman" w:eastAsia="宋体" w:cs="Times New Roman"/>
                <w:color w:val="auto"/>
                <w:kern w:val="2"/>
                <w:sz w:val="24"/>
                <w:szCs w:val="24"/>
              </w:rPr>
              <w:t>控制</w:t>
            </w:r>
            <w:r>
              <w:rPr>
                <w:rFonts w:hint="eastAsia" w:ascii="Times New Roman" w:hAnsi="Times New Roman" w:eastAsia="宋体" w:cs="Times New Roman"/>
                <w:color w:val="auto"/>
                <w:kern w:val="2"/>
                <w:sz w:val="24"/>
                <w:szCs w:val="24"/>
              </w:rPr>
              <w:t>废水</w:t>
            </w:r>
            <w:r>
              <w:rPr>
                <w:rFonts w:ascii="Times New Roman" w:hAnsi="Times New Roman" w:eastAsia="宋体" w:cs="Times New Roman"/>
                <w:color w:val="auto"/>
                <w:kern w:val="2"/>
                <w:sz w:val="24"/>
                <w:szCs w:val="24"/>
              </w:rPr>
              <w:t>排放对附近水环境</w:t>
            </w:r>
            <w:r>
              <w:rPr>
                <w:rFonts w:hint="eastAsia" w:ascii="Times New Roman" w:hAnsi="Times New Roman" w:eastAsia="宋体" w:cs="Times New Roman"/>
                <w:color w:val="auto"/>
                <w:kern w:val="2"/>
                <w:sz w:val="24"/>
                <w:szCs w:val="24"/>
              </w:rPr>
              <w:t>的</w:t>
            </w:r>
            <w:r>
              <w:rPr>
                <w:rFonts w:ascii="Times New Roman" w:hAnsi="Times New Roman" w:eastAsia="宋体" w:cs="Times New Roman"/>
                <w:color w:val="auto"/>
                <w:kern w:val="2"/>
                <w:sz w:val="24"/>
                <w:szCs w:val="24"/>
              </w:rPr>
              <w:t>影响</w:t>
            </w:r>
            <w:r>
              <w:rPr>
                <w:rFonts w:hint="eastAsia" w:ascii="Times New Roman" w:hAnsi="Times New Roman" w:eastAsia="宋体" w:cs="Times New Roman"/>
                <w:color w:val="auto"/>
                <w:kern w:val="2"/>
                <w:sz w:val="24"/>
                <w:szCs w:val="24"/>
              </w:rPr>
              <w:t>，使得附近水环境质量</w:t>
            </w:r>
            <w:r>
              <w:rPr>
                <w:rFonts w:hint="eastAsia" w:ascii="Times New Roman" w:hAnsi="宋体" w:eastAsia="宋体" w:cs="Times New Roman"/>
                <w:color w:val="auto"/>
                <w:kern w:val="2"/>
                <w:sz w:val="24"/>
                <w:szCs w:val="24"/>
              </w:rPr>
              <w:t>达到</w:t>
            </w:r>
            <w:r>
              <w:rPr>
                <w:rFonts w:hint="eastAsia" w:ascii="Times New Roman" w:hAnsi="Times New Roman" w:eastAsia="宋体" w:cs="Times New Roman"/>
                <w:color w:val="auto"/>
                <w:kern w:val="24"/>
                <w:sz w:val="24"/>
                <w:szCs w:val="20"/>
              </w:rPr>
              <w:t>《地表水环境质量标准》</w:t>
            </w:r>
            <w:r>
              <w:rPr>
                <w:rFonts w:ascii="Times New Roman" w:hAnsi="Times New Roman" w:eastAsia="宋体" w:cs="Times New Roman"/>
                <w:color w:val="auto"/>
                <w:kern w:val="2"/>
                <w:sz w:val="24"/>
                <w:szCs w:val="24"/>
              </w:rPr>
              <w:t>(GB3838-2002)</w:t>
            </w:r>
            <w:r>
              <w:rPr>
                <w:rFonts w:hint="eastAsia" w:ascii="Times New Roman" w:hAnsi="Times New Roman" w:eastAsia="宋体" w:cs="Times New Roman"/>
                <w:color w:val="auto"/>
                <w:kern w:val="2"/>
                <w:sz w:val="24"/>
                <w:szCs w:val="24"/>
              </w:rPr>
              <w:t>Ⅱ类</w:t>
            </w:r>
            <w:r>
              <w:rPr>
                <w:rFonts w:hint="eastAsia" w:ascii="Times New Roman" w:hAnsi="Times New Roman" w:eastAsia="宋体" w:cs="Times New Roman"/>
                <w:color w:val="auto"/>
                <w:kern w:val="24"/>
                <w:sz w:val="24"/>
                <w:szCs w:val="20"/>
              </w:rPr>
              <w:t>水质标准的保护要求</w:t>
            </w:r>
            <w:r>
              <w:rPr>
                <w:rFonts w:ascii="Times New Roman" w:hAnsi="Times New Roman" w:eastAsia="宋体" w:cs="Times New Roman"/>
                <w:color w:val="auto"/>
                <w:kern w:val="2"/>
                <w:sz w:val="24"/>
                <w:szCs w:val="24"/>
              </w:rPr>
              <w:t>。</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2、环境空气保护目标</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大气环境保护目标是保护评价区内的大气环境质量符合《环境空气质量标准》(GB3095-2012) 及其2018年修改单二级标准，确保周围地区的环境空气质量不受本项目的影响。</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3、声环境保护目标</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声环境保护目标是保护项目评价区域内声环境质量，保护该区域声环境质量符合《声环境质量标准》(GB3096-2008)的3类标准。</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4、环境敏感点及环境保护目标</w:t>
            </w:r>
          </w:p>
          <w:p>
            <w:pPr>
              <w:widowControl w:val="0"/>
              <w:spacing w:after="0" w:line="360" w:lineRule="auto"/>
              <w:ind w:right="170" w:firstLine="470" w:firstLineChars="196"/>
              <w:jc w:val="both"/>
              <w:rPr>
                <w:rFonts w:hint="default" w:ascii="Times New Roman" w:hAnsi="Times New Roman" w:eastAsia="宋体" w:cs="Times New Roman"/>
                <w:b w:val="0"/>
                <w:bCs/>
                <w:color w:val="auto"/>
                <w:kern w:val="2"/>
                <w:sz w:val="24"/>
                <w:lang w:val="en-US" w:eastAsia="zh-CN"/>
              </w:rPr>
            </w:pPr>
            <w:r>
              <w:rPr>
                <w:rFonts w:hint="eastAsia" w:ascii="Times New Roman" w:hAnsi="Times New Roman" w:eastAsia="宋体" w:cs="Times New Roman"/>
                <w:b w:val="0"/>
                <w:bCs/>
                <w:color w:val="auto"/>
                <w:kern w:val="2"/>
                <w:sz w:val="24"/>
                <w:lang w:val="en-US" w:eastAsia="zh-CN"/>
              </w:rPr>
              <w:t>根据对本项目所在地的实地踏勘，在周边内没有名胜古迹等重要环境敏感点。建设项目附近主要环境保护目标见下表。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建设项目场址附近主要环境保护目标</w:t>
            </w:r>
          </w:p>
          <w:tbl>
            <w:tblPr>
              <w:tblStyle w:val="43"/>
              <w:tblW w:w="9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745"/>
              <w:gridCol w:w="855"/>
              <w:gridCol w:w="826"/>
              <w:gridCol w:w="1032"/>
              <w:gridCol w:w="1059"/>
              <w:gridCol w:w="1290"/>
              <w:gridCol w:w="990"/>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586"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序号</w:t>
                  </w:r>
                </w:p>
              </w:tc>
              <w:tc>
                <w:tcPr>
                  <w:tcW w:w="1745"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保护目标名称</w:t>
                  </w:r>
                </w:p>
              </w:tc>
              <w:tc>
                <w:tcPr>
                  <w:tcW w:w="1681" w:type="dxa"/>
                  <w:gridSpan w:val="2"/>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坐标/m</w:t>
                  </w:r>
                </w:p>
              </w:tc>
              <w:tc>
                <w:tcPr>
                  <w:tcW w:w="1032"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保护对象</w:t>
                  </w:r>
                </w:p>
              </w:tc>
              <w:tc>
                <w:tcPr>
                  <w:tcW w:w="1059"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bCs/>
                      <w:color w:val="auto"/>
                      <w:kern w:val="2"/>
                      <w:sz w:val="21"/>
                      <w:szCs w:val="21"/>
                      <w:highlight w:val="none"/>
                    </w:rPr>
                    <w:t>保护内容</w:t>
                  </w:r>
                </w:p>
              </w:tc>
              <w:tc>
                <w:tcPr>
                  <w:tcW w:w="1290"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环境功能区</w:t>
                  </w:r>
                </w:p>
              </w:tc>
              <w:tc>
                <w:tcPr>
                  <w:tcW w:w="99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bCs/>
                      <w:color w:val="auto"/>
                      <w:kern w:val="2"/>
                      <w:sz w:val="21"/>
                      <w:szCs w:val="21"/>
                      <w:highlight w:val="none"/>
                    </w:rPr>
                    <w:t>相对厂址方位</w:t>
                  </w:r>
                </w:p>
              </w:tc>
              <w:tc>
                <w:tcPr>
                  <w:tcW w:w="997"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bCs/>
                      <w:color w:val="auto"/>
                      <w:kern w:val="2"/>
                      <w:sz w:val="21"/>
                      <w:szCs w:val="21"/>
                      <w:highlight w:val="none"/>
                    </w:rPr>
                    <w:t>相对厂界距离距离/m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586"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1745"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8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X</w:t>
                  </w:r>
                </w:p>
              </w:tc>
              <w:tc>
                <w:tcPr>
                  <w:tcW w:w="826"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Y</w:t>
                  </w:r>
                </w:p>
              </w:tc>
              <w:tc>
                <w:tcPr>
                  <w:tcW w:w="1032"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1059"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p>
              </w:tc>
              <w:tc>
                <w:tcPr>
                  <w:tcW w:w="1290"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9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p>
              </w:tc>
              <w:tc>
                <w:tcPr>
                  <w:tcW w:w="997"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东园</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284</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156</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《环境空气质量标准》环境空气功能二类区、《声环境质量标准》环境噪声功能2类区（200m内）</w:t>
                  </w: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2</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龙溪</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2156</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450</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2272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3</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金龙里</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872</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-211</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743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4</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泮村</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1037</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-780</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1091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5</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松山</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532</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-1119</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1108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6</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永安村</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945</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-1138</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1407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7</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泮南村</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532</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-1523</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东南面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1406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8</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新市社区</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-1101</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-1303</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1553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9</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公益</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-1422</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-2101</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4"/>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2348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10</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东方红社区</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-1514</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-853</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11</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人民社区</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-2082</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-569</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12</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文郁</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-2128</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762</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西北面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13</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庆宁</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-523</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808</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西北面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14</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东溪村</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-1816</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1945</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西北面</w:t>
                  </w:r>
                </w:p>
              </w:tc>
              <w:tc>
                <w:tcPr>
                  <w:tcW w:w="997"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2510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15</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唐联村</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578</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1285</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16</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雁田</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1184</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991</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17</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鹤林</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1963</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1798</w:t>
                  </w:r>
                </w:p>
              </w:tc>
              <w:tc>
                <w:tcPr>
                  <w:tcW w:w="1032"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059"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村落</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18</w:t>
                  </w:r>
                </w:p>
              </w:tc>
              <w:tc>
                <w:tcPr>
                  <w:tcW w:w="17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谭江</w:t>
                  </w:r>
                </w:p>
              </w:tc>
              <w:tc>
                <w:tcPr>
                  <w:tcW w:w="8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-1046</w:t>
                  </w:r>
                </w:p>
              </w:tc>
              <w:tc>
                <w:tcPr>
                  <w:tcW w:w="82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-1780</w:t>
                  </w:r>
                </w:p>
              </w:tc>
              <w:tc>
                <w:tcPr>
                  <w:tcW w:w="103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河流</w:t>
                  </w:r>
                </w:p>
              </w:tc>
              <w:tc>
                <w:tcPr>
                  <w:tcW w:w="1059"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水质</w:t>
                  </w:r>
                </w:p>
              </w:tc>
              <w:tc>
                <w:tcPr>
                  <w:tcW w:w="1290" w:type="dxa"/>
                  <w:vAlign w:val="center"/>
                </w:tcPr>
                <w:p>
                  <w:pPr>
                    <w:widowControl w:val="0"/>
                    <w:spacing w:after="0" w:line="240" w:lineRule="auto"/>
                    <w:jc w:val="center"/>
                    <w:rPr>
                      <w:rFonts w:hint="eastAsia" w:ascii="Times New Roman" w:hAnsi="Times New Roman" w:cs="Times New Roman" w:eastAsiaTheme="minorEastAsia"/>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rPr>
                    <w:t>《地表水环境质量标准》</w:t>
                  </w:r>
                  <w:r>
                    <w:rPr>
                      <w:rFonts w:hint="eastAsia" w:ascii="Times New Roman" w:hAnsi="Times New Roman" w:eastAsia="宋体" w:cs="Times New Roman"/>
                      <w:color w:val="auto"/>
                      <w:kern w:val="2"/>
                      <w:sz w:val="21"/>
                      <w:szCs w:val="21"/>
                      <w:highlight w:val="none"/>
                      <w:lang w:eastAsia="zh-CN"/>
                    </w:rPr>
                    <w:t>地表水功能</w:t>
                  </w:r>
                  <w:r>
                    <w:rPr>
                      <w:rFonts w:hint="default" w:ascii="Times New Roman" w:hAnsi="Times New Roman" w:cs="Times New Roman"/>
                      <w:color w:val="auto"/>
                      <w:sz w:val="21"/>
                      <w:szCs w:val="21"/>
                      <w:shd w:val="clear" w:color="auto" w:fill="auto"/>
                    </w:rPr>
                    <w:t>Ⅱ类</w:t>
                  </w:r>
                  <w:r>
                    <w:rPr>
                      <w:rFonts w:hint="eastAsia" w:ascii="Times New Roman" w:hAnsi="Times New Roman" w:cs="Times New Roman"/>
                      <w:color w:val="auto"/>
                      <w:sz w:val="21"/>
                      <w:szCs w:val="21"/>
                      <w:shd w:val="clear" w:color="auto" w:fill="auto"/>
                      <w:lang w:eastAsia="zh-CN"/>
                    </w:rPr>
                    <w:t>区</w:t>
                  </w: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1915</w:t>
                  </w:r>
                </w:p>
              </w:tc>
            </w:tr>
          </w:tbl>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pStyle w:val="2"/>
              <w:rPr>
                <w:rFonts w:hint="eastAsia"/>
                <w:lang w:val="en-US" w:eastAsia="zh-CN"/>
              </w:rPr>
            </w:pPr>
          </w:p>
          <w:p>
            <w:pPr>
              <w:widowControl/>
              <w:numPr>
                <w:ilvl w:val="0"/>
                <w:numId w:val="0"/>
              </w:numPr>
              <w:tabs>
                <w:tab w:val="left" w:pos="420"/>
              </w:tabs>
              <w:adjustRightInd w:val="0"/>
              <w:snapToGrid w:val="0"/>
              <w:spacing w:line="360" w:lineRule="auto"/>
              <w:jc w:val="both"/>
              <w:rPr>
                <w:rFonts w:hint="eastAsia" w:ascii="Times New Roman" w:hAnsi="Times New Roman" w:eastAsia="宋体" w:cs="Times New Roman"/>
                <w:b/>
                <w:color w:val="auto"/>
                <w:kern w:val="0"/>
                <w:sz w:val="21"/>
                <w:szCs w:val="21"/>
                <w:highlight w:val="none"/>
                <w:lang w:val="en-US" w:eastAsia="zh-CN" w:bidi="ar-SA"/>
              </w:rPr>
            </w:pPr>
          </w:p>
          <w:p>
            <w:pPr>
              <w:pStyle w:val="2"/>
              <w:rPr>
                <w:rFonts w:hint="default" w:ascii="Times New Roman" w:hAnsi="Times New Roman" w:cs="Times New Roman"/>
                <w:color w:val="FF0000"/>
              </w:rPr>
            </w:pPr>
          </w:p>
        </w:tc>
      </w:tr>
    </w:tbl>
    <w:p>
      <w:pPr>
        <w:spacing w:line="0" w:lineRule="atLeast"/>
        <w:rPr>
          <w:rFonts w:hint="default" w:ascii="Times New Roman" w:hAnsi="Times New Roman" w:cs="Times New Roman"/>
          <w:b/>
          <w:color w:val="FF0000"/>
          <w:sz w:val="30"/>
        </w:rPr>
        <w:sectPr>
          <w:footerReference r:id="rId8" w:type="default"/>
          <w:pgSz w:w="11906" w:h="16838"/>
          <w:pgMar w:top="1440" w:right="1080" w:bottom="1440" w:left="1080" w:header="851" w:footer="851" w:gutter="0"/>
          <w:pgBorders>
            <w:top w:val="none" w:sz="0" w:space="0"/>
            <w:left w:val="none" w:sz="0" w:space="0"/>
            <w:bottom w:val="none" w:sz="0" w:space="0"/>
            <w:right w:val="none" w:sz="0" w:space="0"/>
          </w:pgBorders>
          <w:pgNumType w:start="1"/>
          <w:cols w:space="720" w:num="1"/>
          <w:docGrid w:type="lines" w:linePitch="326" w:charSpace="0"/>
        </w:sectPr>
      </w:pPr>
    </w:p>
    <w:p>
      <w:pPr>
        <w:pStyle w:val="14"/>
        <w:pageBreakBefore/>
        <w:widowControl w:val="0"/>
        <w:spacing w:before="0" w:line="360" w:lineRule="auto"/>
        <w:rPr>
          <w:rFonts w:hint="default" w:ascii="Times New Roman" w:hAnsi="Times New Roman" w:cs="Times New Roman"/>
          <w:color w:val="auto"/>
        </w:rPr>
      </w:pPr>
      <w:bookmarkStart w:id="6" w:name="_Toc472601260"/>
      <w:bookmarkStart w:id="7" w:name="_Toc514773521"/>
      <w:r>
        <w:rPr>
          <w:rFonts w:hint="default" w:ascii="Times New Roman" w:hAnsi="Times New Roman" w:cs="Times New Roman"/>
          <w:color w:val="auto"/>
        </w:rPr>
        <w:t>四、评价适用标准</w:t>
      </w:r>
      <w:bookmarkEnd w:id="6"/>
      <w:bookmarkEnd w:id="7"/>
    </w:p>
    <w:tbl>
      <w:tblPr>
        <w:tblStyle w:val="43"/>
        <w:tblW w:w="952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13"/>
        <w:gridCol w:w="871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918" w:hRule="atLeast"/>
        </w:trPr>
        <w:tc>
          <w:tcPr>
            <w:tcW w:w="813" w:type="dxa"/>
            <w:textDirection w:val="tbRlV"/>
            <w:vAlign w:val="center"/>
          </w:tcPr>
          <w:p>
            <w:pPr>
              <w:widowControl w:val="0"/>
              <w:topLinePunct w:val="0"/>
              <w:autoSpaceDE/>
              <w:autoSpaceDN/>
              <w:adjustRightInd/>
              <w:spacing w:before="120" w:line="240" w:lineRule="auto"/>
              <w:ind w:left="113" w:right="113"/>
              <w:jc w:val="center"/>
              <w:textAlignment w:val="auto"/>
              <w:rPr>
                <w:rFonts w:ascii="Times New Roman" w:hAnsi="Times New Roman" w:eastAsia="宋体" w:cs="Times New Roman"/>
                <w:color w:val="auto"/>
                <w:kern w:val="2"/>
                <w:sz w:val="28"/>
                <w:szCs w:val="20"/>
                <w:highlight w:val="none"/>
                <w:lang w:val="en-US" w:eastAsia="zh-CN" w:bidi="ar-SA"/>
              </w:rPr>
            </w:pPr>
            <w:r>
              <w:rPr>
                <w:rFonts w:hint="eastAsia" w:ascii="Times New Roman" w:hAnsi="Times New Roman" w:eastAsia="宋体" w:cs="Times New Roman"/>
                <w:color w:val="auto"/>
                <w:kern w:val="2"/>
                <w:sz w:val="28"/>
                <w:szCs w:val="20"/>
                <w:highlight w:val="none"/>
                <w:lang w:val="en-US" w:eastAsia="zh-CN" w:bidi="ar-SA"/>
              </w:rPr>
              <w:t>环  境  质  量  标  准</w:t>
            </w:r>
          </w:p>
        </w:tc>
        <w:tc>
          <w:tcPr>
            <w:tcW w:w="8715" w:type="dxa"/>
            <w:vAlign w:val="center"/>
          </w:tcPr>
          <w:p>
            <w:pPr>
              <w:widowControl/>
              <w:numPr>
                <w:ilvl w:val="0"/>
                <w:numId w:val="4"/>
              </w:numPr>
              <w:spacing w:line="240" w:lineRule="auto"/>
              <w:ind w:firstLine="0"/>
              <w:jc w:val="left"/>
              <w:rPr>
                <w:rFonts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《地表水环境质量标准》</w:t>
            </w:r>
            <w:r>
              <w:rPr>
                <w:rFonts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GB3838-2002</w:t>
            </w:r>
            <w:r>
              <w:rPr>
                <w:rFonts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0"/>
                <w:highlight w:val="none"/>
                <w:lang w:val="en-US" w:eastAsia="zh-CN" w:bidi="ar-SA"/>
              </w:rPr>
              <w:t>Ⅱ类</w:t>
            </w:r>
            <w:r>
              <w:rPr>
                <w:rFonts w:hint="eastAsia" w:ascii="Times New Roman" w:hAnsi="Times New Roman" w:eastAsia="宋体" w:cs="Times New Roman"/>
                <w:color w:val="auto"/>
                <w:kern w:val="0"/>
                <w:sz w:val="24"/>
                <w:szCs w:val="24"/>
                <w:highlight w:val="none"/>
                <w:lang w:val="en-US" w:eastAsia="zh-CN" w:bidi="ar-SA"/>
              </w:rPr>
              <w:t>水质标准；</w:t>
            </w:r>
          </w:p>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shd w:val="clear" w:color="auto" w:fill="auto"/>
                <w:lang w:val="en-US" w:eastAsia="zh-CN" w:bidi="ar-SA"/>
              </w:rPr>
            </w:pPr>
            <w:r>
              <w:rPr>
                <w:rFonts w:hint="eastAsia" w:ascii="Times New Roman" w:hAnsi="Times New Roman" w:eastAsia="宋体" w:cs="Times New Roman"/>
                <w:b/>
                <w:color w:val="auto"/>
                <w:kern w:val="0"/>
                <w:sz w:val="21"/>
                <w:szCs w:val="21"/>
                <w:shd w:val="clear" w:color="auto" w:fill="auto"/>
                <w:lang w:val="en-US" w:eastAsia="zh-CN" w:bidi="ar-SA"/>
              </w:rPr>
              <w:t>地表水环境质量标准（摘录）     单位：mg/L</w:t>
            </w:r>
          </w:p>
          <w:tbl>
            <w:tblPr>
              <w:tblStyle w:val="43"/>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838"/>
              <w:gridCol w:w="849"/>
              <w:gridCol w:w="1017"/>
              <w:gridCol w:w="941"/>
              <w:gridCol w:w="983"/>
              <w:gridCol w:w="834"/>
              <w:gridCol w:w="86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类别</w:t>
                  </w:r>
                </w:p>
              </w:tc>
              <w:tc>
                <w:tcPr>
                  <w:tcW w:w="838"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pH</w:t>
                  </w:r>
                </w:p>
              </w:tc>
              <w:tc>
                <w:tcPr>
                  <w:tcW w:w="849"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COD</w:t>
                  </w:r>
                  <w:r>
                    <w:rPr>
                      <w:rFonts w:hint="default" w:ascii="Times New Roman" w:hAnsi="Times New Roman" w:eastAsia="宋体" w:cs="Times New Roman"/>
                      <w:b/>
                      <w:color w:val="auto"/>
                      <w:kern w:val="2"/>
                      <w:sz w:val="21"/>
                      <w:szCs w:val="21"/>
                      <w:highlight w:val="none"/>
                      <w:vertAlign w:val="subscript"/>
                    </w:rPr>
                    <w:t>Cr</w:t>
                  </w:r>
                </w:p>
              </w:tc>
              <w:tc>
                <w:tcPr>
                  <w:tcW w:w="1017"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BOD</w:t>
                  </w:r>
                  <w:r>
                    <w:rPr>
                      <w:rFonts w:hint="default" w:ascii="Times New Roman" w:hAnsi="Times New Roman" w:eastAsia="宋体" w:cs="Times New Roman"/>
                      <w:b/>
                      <w:color w:val="auto"/>
                      <w:kern w:val="2"/>
                      <w:sz w:val="21"/>
                      <w:szCs w:val="21"/>
                      <w:highlight w:val="none"/>
                      <w:vertAlign w:val="subscript"/>
                    </w:rPr>
                    <w:t>5</w:t>
                  </w:r>
                </w:p>
              </w:tc>
              <w:tc>
                <w:tcPr>
                  <w:tcW w:w="941"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DO</w:t>
                  </w:r>
                </w:p>
              </w:tc>
              <w:tc>
                <w:tcPr>
                  <w:tcW w:w="983"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NH</w:t>
                  </w:r>
                  <w:r>
                    <w:rPr>
                      <w:rFonts w:hint="default" w:ascii="Times New Roman" w:hAnsi="Times New Roman" w:eastAsia="宋体" w:cs="Times New Roman"/>
                      <w:b/>
                      <w:color w:val="auto"/>
                      <w:kern w:val="2"/>
                      <w:sz w:val="21"/>
                      <w:szCs w:val="21"/>
                      <w:highlight w:val="none"/>
                      <w:vertAlign w:val="subscript"/>
                    </w:rPr>
                    <w:t>3</w:t>
                  </w:r>
                  <w:r>
                    <w:rPr>
                      <w:rFonts w:hint="default" w:ascii="Times New Roman" w:hAnsi="Times New Roman" w:eastAsia="宋体" w:cs="Times New Roman"/>
                      <w:b/>
                      <w:color w:val="auto"/>
                      <w:kern w:val="2"/>
                      <w:sz w:val="21"/>
                      <w:szCs w:val="21"/>
                      <w:highlight w:val="none"/>
                    </w:rPr>
                    <w:t>-N</w:t>
                  </w:r>
                </w:p>
              </w:tc>
              <w:tc>
                <w:tcPr>
                  <w:tcW w:w="834"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总磷</w:t>
                  </w:r>
                </w:p>
              </w:tc>
              <w:tc>
                <w:tcPr>
                  <w:tcW w:w="861"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LAS</w:t>
                  </w:r>
                </w:p>
              </w:tc>
              <w:tc>
                <w:tcPr>
                  <w:tcW w:w="856" w:type="dxa"/>
                  <w:vAlign w:val="center"/>
                </w:tcPr>
                <w:p>
                  <w:pPr>
                    <w:widowControl w:val="0"/>
                    <w:spacing w:after="0" w:line="240" w:lineRule="auto"/>
                    <w:jc w:val="center"/>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Ⅱ</w:t>
                  </w:r>
                  <w:r>
                    <w:rPr>
                      <w:rFonts w:hint="eastAsia" w:ascii="宋体" w:hAnsi="宋体" w:eastAsia="宋体" w:cs="Times New Roman"/>
                      <w:b/>
                      <w:color w:val="auto"/>
                      <w:kern w:val="2"/>
                      <w:sz w:val="21"/>
                      <w:szCs w:val="21"/>
                      <w:highlight w:val="none"/>
                    </w:rPr>
                    <w:t>类标准</w:t>
                  </w:r>
                </w:p>
              </w:tc>
              <w:tc>
                <w:tcPr>
                  <w:tcW w:w="838"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6-9</w:t>
                  </w:r>
                </w:p>
              </w:tc>
              <w:tc>
                <w:tcPr>
                  <w:tcW w:w="849"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15</w:t>
                  </w:r>
                </w:p>
              </w:tc>
              <w:tc>
                <w:tcPr>
                  <w:tcW w:w="1017"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3</w:t>
                  </w:r>
                </w:p>
              </w:tc>
              <w:tc>
                <w:tcPr>
                  <w:tcW w:w="941"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6</w:t>
                  </w:r>
                </w:p>
              </w:tc>
              <w:tc>
                <w:tcPr>
                  <w:tcW w:w="983"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0.5</w:t>
                  </w:r>
                </w:p>
              </w:tc>
              <w:tc>
                <w:tcPr>
                  <w:tcW w:w="834"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0.1</w:t>
                  </w:r>
                </w:p>
              </w:tc>
              <w:tc>
                <w:tcPr>
                  <w:tcW w:w="861"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≤0.2</w:t>
                  </w:r>
                </w:p>
              </w:tc>
              <w:tc>
                <w:tcPr>
                  <w:tcW w:w="856"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≤0.05</w:t>
                  </w:r>
                </w:p>
              </w:tc>
            </w:tr>
          </w:tbl>
          <w:p>
            <w:pPr>
              <w:widowControl/>
              <w:numPr>
                <w:ilvl w:val="0"/>
                <w:numId w:val="4"/>
              </w:numPr>
              <w:spacing w:line="240" w:lineRule="auto"/>
              <w:ind w:firstLine="0"/>
              <w:jc w:val="left"/>
              <w:rPr>
                <w:rFonts w:ascii="Times New Roman" w:hAnsi="Times New Roman" w:eastAsia="宋体" w:cs="Times New Roman"/>
                <w:color w:val="auto"/>
                <w:kern w:val="0"/>
                <w:sz w:val="24"/>
                <w:szCs w:val="24"/>
                <w:highlight w:val="none"/>
                <w:lang w:val="en-US" w:eastAsia="zh-CN" w:bidi="ar-SA"/>
              </w:rPr>
            </w:pPr>
            <w:r>
              <w:rPr>
                <w:rFonts w:hint="eastAsia" w:ascii="Times New Roman" w:hAnsi="Times New Roman" w:cs="Times New Roman" w:eastAsiaTheme="minorEastAsia"/>
                <w:b w:val="0"/>
                <w:bCs/>
                <w:color w:val="auto"/>
                <w:kern w:val="24"/>
                <w:sz w:val="24"/>
                <w:szCs w:val="20"/>
                <w:highlight w:val="none"/>
                <w:lang w:val="en-US" w:eastAsia="zh-CN" w:bidi="ar-SA"/>
              </w:rPr>
              <w:t>《环境空气质量标准》（GB3095-2012）及其2018年修改单</w:t>
            </w:r>
            <w:r>
              <w:rPr>
                <w:rFonts w:hint="eastAsia" w:ascii="Times New Roman" w:hAnsi="Times New Roman" w:eastAsia="宋体" w:cs="Times New Roman"/>
                <w:color w:val="auto"/>
                <w:kern w:val="0"/>
                <w:sz w:val="24"/>
                <w:szCs w:val="24"/>
                <w:highlight w:val="none"/>
                <w:lang w:val="en-US" w:eastAsia="zh-CN" w:bidi="ar-SA"/>
              </w:rPr>
              <w:t>；</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 xml:space="preserve">环境空气质量标准 （摘录）   </w:t>
            </w:r>
          </w:p>
          <w:tbl>
            <w:tblPr>
              <w:tblStyle w:val="43"/>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2115"/>
              <w:gridCol w:w="2130"/>
              <w:gridCol w:w="1500"/>
              <w:gridCol w:w="1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b/>
                      <w:bCs/>
                      <w:color w:val="auto"/>
                      <w:kern w:val="2"/>
                      <w:sz w:val="21"/>
                      <w:szCs w:val="21"/>
                      <w:highlight w:val="none"/>
                    </w:rPr>
                    <w:t>序号</w:t>
                  </w:r>
                </w:p>
              </w:tc>
              <w:tc>
                <w:tcPr>
                  <w:tcW w:w="211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b/>
                      <w:bCs/>
                      <w:color w:val="auto"/>
                      <w:kern w:val="2"/>
                      <w:sz w:val="21"/>
                      <w:szCs w:val="21"/>
                      <w:highlight w:val="none"/>
                    </w:rPr>
                    <w:t>污染物名称</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b/>
                      <w:bCs/>
                      <w:color w:val="auto"/>
                      <w:kern w:val="2"/>
                      <w:sz w:val="21"/>
                      <w:szCs w:val="21"/>
                      <w:highlight w:val="none"/>
                    </w:rPr>
                    <w:t>取值时间</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b/>
                      <w:bCs/>
                      <w:color w:val="auto"/>
                      <w:kern w:val="2"/>
                      <w:sz w:val="21"/>
                      <w:szCs w:val="21"/>
                      <w:highlight w:val="none"/>
                    </w:rPr>
                    <w:t>二级标准</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1</w:t>
                  </w:r>
                </w:p>
              </w:tc>
              <w:tc>
                <w:tcPr>
                  <w:tcW w:w="21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二氧化硫（SO</w:t>
                  </w:r>
                  <w:r>
                    <w:rPr>
                      <w:rFonts w:hint="default" w:ascii="Times New Roman" w:hAnsi="Times New Roman" w:eastAsia="Times New Roman" w:cs="Times New Roman"/>
                      <w:color w:val="auto"/>
                      <w:kern w:val="2"/>
                      <w:sz w:val="21"/>
                      <w:szCs w:val="21"/>
                      <w:highlight w:val="none"/>
                      <w:vertAlign w:val="subscript"/>
                    </w:rPr>
                    <w:t>2</w:t>
                  </w:r>
                  <w:r>
                    <w:rPr>
                      <w:rFonts w:hint="default" w:ascii="Times New Roman" w:hAnsi="Times New Roman" w:eastAsia="Times New Roman" w:cs="Times New Roman"/>
                      <w:color w:val="auto"/>
                      <w:kern w:val="2"/>
                      <w:sz w:val="21"/>
                      <w:szCs w:val="21"/>
                      <w:highlight w:val="none"/>
                    </w:rPr>
                    <w:t>）</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年平均值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60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150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1小时平均值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500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2</w:t>
                  </w:r>
                </w:p>
              </w:tc>
              <w:tc>
                <w:tcPr>
                  <w:tcW w:w="21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二氧化氮（NO</w:t>
                  </w:r>
                  <w:r>
                    <w:rPr>
                      <w:rFonts w:hint="default" w:ascii="Times New Roman" w:hAnsi="Times New Roman" w:eastAsia="Times New Roman" w:cs="Times New Roman"/>
                      <w:color w:val="auto"/>
                      <w:kern w:val="2"/>
                      <w:sz w:val="21"/>
                      <w:szCs w:val="21"/>
                      <w:highlight w:val="none"/>
                      <w:vertAlign w:val="subscript"/>
                    </w:rPr>
                    <w:t>2</w:t>
                  </w:r>
                  <w:r>
                    <w:rPr>
                      <w:rFonts w:hint="default" w:ascii="Times New Roman" w:hAnsi="Times New Roman" w:eastAsia="Times New Roman" w:cs="Times New Roman"/>
                      <w:color w:val="auto"/>
                      <w:kern w:val="2"/>
                      <w:sz w:val="21"/>
                      <w:szCs w:val="21"/>
                      <w:highlight w:val="none"/>
                    </w:rPr>
                    <w:t>）</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年平均值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40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80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1小时平均值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200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w:t>
                  </w:r>
                </w:p>
              </w:tc>
              <w:tc>
                <w:tcPr>
                  <w:tcW w:w="21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一氧化碳（CO）</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mg/m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1小时平均值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10.00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mg/m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w:t>
                  </w:r>
                </w:p>
              </w:tc>
              <w:tc>
                <w:tcPr>
                  <w:tcW w:w="21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臭氧（O</w:t>
                  </w:r>
                  <w:r>
                    <w:rPr>
                      <w:rFonts w:hint="default" w:ascii="Times New Roman" w:hAnsi="Times New Roman" w:eastAsia="宋体" w:cs="Times New Roman"/>
                      <w:color w:val="auto"/>
                      <w:kern w:val="2"/>
                      <w:sz w:val="21"/>
                      <w:szCs w:val="21"/>
                      <w:highlight w:val="none"/>
                      <w:vertAlign w:val="subscript"/>
                    </w:rPr>
                    <w:t>3</w:t>
                  </w:r>
                  <w:r>
                    <w:rPr>
                      <w:rFonts w:hint="default" w:ascii="Times New Roman" w:hAnsi="Times New Roman" w:eastAsia="宋体" w:cs="Times New Roman"/>
                      <w:color w:val="auto"/>
                      <w:kern w:val="2"/>
                      <w:sz w:val="21"/>
                      <w:szCs w:val="21"/>
                      <w:highlight w:val="none"/>
                    </w:rPr>
                    <w:t>）</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日最大8小时平均值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160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w:t>
                  </w:r>
                </w:p>
              </w:tc>
              <w:tc>
                <w:tcPr>
                  <w:tcW w:w="21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颗粒物（PM</w:t>
                  </w:r>
                  <w:r>
                    <w:rPr>
                      <w:rFonts w:hint="default" w:ascii="Times New Roman" w:hAnsi="Times New Roman" w:eastAsia="宋体" w:cs="Times New Roman"/>
                      <w:color w:val="auto"/>
                      <w:kern w:val="2"/>
                      <w:sz w:val="21"/>
                      <w:szCs w:val="21"/>
                      <w:highlight w:val="none"/>
                      <w:vertAlign w:val="subscript"/>
                    </w:rPr>
                    <w:t>10</w:t>
                  </w:r>
                  <w:r>
                    <w:rPr>
                      <w:rFonts w:hint="default" w:ascii="Times New Roman" w:hAnsi="Times New Roman" w:eastAsia="宋体" w:cs="Times New Roman"/>
                      <w:color w:val="auto"/>
                      <w:kern w:val="2"/>
                      <w:sz w:val="21"/>
                      <w:szCs w:val="21"/>
                      <w:highlight w:val="none"/>
                    </w:rPr>
                    <w:t>）</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年平均值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Times New Roman" w:cs="Times New Roman"/>
                      <w:color w:val="auto"/>
                      <w:kern w:val="2"/>
                      <w:sz w:val="21"/>
                      <w:szCs w:val="21"/>
                      <w:highlight w:val="none"/>
                    </w:rPr>
                  </w:pPr>
                  <w:r>
                    <w:rPr>
                      <w:rFonts w:hint="default" w:ascii="Times New Roman" w:hAnsi="Times New Roman" w:eastAsia="Times New Roman"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150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w:t>
                  </w:r>
                </w:p>
              </w:tc>
              <w:tc>
                <w:tcPr>
                  <w:tcW w:w="21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颗粒物（PM</w:t>
                  </w:r>
                  <w:r>
                    <w:rPr>
                      <w:rFonts w:hint="default" w:ascii="Times New Roman" w:hAnsi="Times New Roman" w:eastAsia="宋体" w:cs="Times New Roman"/>
                      <w:color w:val="auto"/>
                      <w:kern w:val="2"/>
                      <w:sz w:val="21"/>
                      <w:szCs w:val="21"/>
                      <w:highlight w:val="none"/>
                      <w:vertAlign w:val="subscript"/>
                    </w:rPr>
                    <w:t>2.5</w:t>
                  </w:r>
                  <w:r>
                    <w:rPr>
                      <w:rFonts w:hint="default" w:ascii="Times New Roman" w:hAnsi="Times New Roman" w:eastAsia="宋体" w:cs="Times New Roman"/>
                      <w:color w:val="auto"/>
                      <w:kern w:val="2"/>
                      <w:sz w:val="21"/>
                      <w:szCs w:val="21"/>
                      <w:highlight w:val="none"/>
                    </w:rPr>
                    <w:t>）</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75</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w:t>
                  </w:r>
                </w:p>
              </w:tc>
              <w:tc>
                <w:tcPr>
                  <w:tcW w:w="2115" w:type="dxa"/>
                  <w:vMerge w:val="restart"/>
                  <w:tcBorders>
                    <w:tl2br w:val="nil"/>
                    <w:tr2bl w:val="nil"/>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TSP</w:t>
                  </w:r>
                  <w:r>
                    <w:rPr>
                      <w:rFonts w:hint="eastAsia" w:ascii="Times New Roman" w:hAnsi="Times New Roman" w:eastAsia="宋体" w:cs="Times New Roman"/>
                      <w:color w:val="auto"/>
                      <w:kern w:val="2"/>
                      <w:sz w:val="21"/>
                      <w:szCs w:val="21"/>
                      <w:highlight w:val="none"/>
                      <w:lang w:eastAsia="zh-CN"/>
                    </w:rPr>
                    <w:t>（总悬浮颗粒物）</w:t>
                  </w: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15" w:type="dxa"/>
                  <w:vMerge w:val="continue"/>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p>
              </w:tc>
              <w:tc>
                <w:tcPr>
                  <w:tcW w:w="213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日平均值</w:t>
                  </w:r>
                </w:p>
              </w:tc>
              <w:tc>
                <w:tcPr>
                  <w:tcW w:w="150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300</w:t>
                  </w:r>
                </w:p>
              </w:tc>
              <w:tc>
                <w:tcPr>
                  <w:tcW w:w="1640" w:type="dxa"/>
                  <w:tcBorders>
                    <w:tl2br w:val="nil"/>
                    <w:tr2bl w:val="nil"/>
                  </w:tcBorders>
                  <w:vAlign w:val="center"/>
                </w:tcPr>
                <w:p>
                  <w:pPr>
                    <w:widowControl w:val="0"/>
                    <w:spacing w:after="0" w:line="240" w:lineRule="auto"/>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μg/m</w:t>
                  </w:r>
                  <w:r>
                    <w:rPr>
                      <w:rFonts w:hint="default" w:ascii="Times New Roman" w:hAnsi="Times New Roman" w:eastAsia="宋体" w:cs="Times New Roman"/>
                      <w:bCs/>
                      <w:color w:val="auto"/>
                      <w:kern w:val="2"/>
                      <w:sz w:val="21"/>
                      <w:szCs w:val="21"/>
                      <w:highlight w:val="none"/>
                      <w:vertAlign w:val="superscript"/>
                    </w:rPr>
                    <w:t>3</w:t>
                  </w:r>
                </w:p>
              </w:tc>
            </w:tr>
          </w:tbl>
          <w:p>
            <w:pPr>
              <w:widowControl/>
              <w:numPr>
                <w:ilvl w:val="0"/>
                <w:numId w:val="4"/>
              </w:numPr>
              <w:spacing w:line="240" w:lineRule="auto"/>
              <w:ind w:firstLine="0"/>
              <w:jc w:val="left"/>
              <w:rPr>
                <w:rFonts w:ascii="Times New Roman" w:hAnsi="Times New Roman" w:eastAsia="宋体" w:cs="Times New Roman"/>
                <w:color w:val="auto"/>
                <w:kern w:val="0"/>
                <w:sz w:val="24"/>
                <w:szCs w:val="24"/>
                <w:highlight w:val="none"/>
                <w:lang w:val="en-US" w:eastAsia="zh-CN" w:bidi="ar-SA"/>
              </w:rPr>
            </w:pPr>
            <w:r>
              <w:rPr>
                <w:rFonts w:ascii="Times New Roman" w:hAnsi="Times New Roman" w:eastAsia="宋体" w:cs="Times New Roman"/>
                <w:color w:val="auto"/>
                <w:kern w:val="0"/>
                <w:sz w:val="24"/>
                <w:szCs w:val="20"/>
                <w:highlight w:val="none"/>
                <w:lang w:val="en-US" w:eastAsia="zh-CN" w:bidi="ar-SA"/>
              </w:rPr>
              <w:t>非甲烷总烃</w:t>
            </w:r>
            <w:r>
              <w:rPr>
                <w:rFonts w:ascii="Times New Roman" w:hAnsi="Times New Roman" w:eastAsia="宋体" w:cs="Times New Roman"/>
                <w:color w:val="auto"/>
                <w:kern w:val="0"/>
                <w:sz w:val="24"/>
                <w:szCs w:val="24"/>
                <w:highlight w:val="none"/>
                <w:lang w:val="en-US" w:eastAsia="zh-CN" w:bidi="ar-SA"/>
              </w:rPr>
              <w:t>执行《大气污染物综合排放标准详解》中解释标准；</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 xml:space="preserve">《大气污染物综合排放标准详解》摘录    </w:t>
            </w:r>
          </w:p>
          <w:tbl>
            <w:tblPr>
              <w:tblStyle w:val="43"/>
              <w:tblW w:w="8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3"/>
              <w:gridCol w:w="2813"/>
              <w:gridCol w:w="2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13" w:type="dxa"/>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类别</w:t>
                  </w:r>
                </w:p>
              </w:tc>
              <w:tc>
                <w:tcPr>
                  <w:tcW w:w="2813" w:type="dxa"/>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浓度标准（mg/m³）</w:t>
                  </w:r>
                </w:p>
              </w:tc>
              <w:tc>
                <w:tcPr>
                  <w:tcW w:w="2814" w:type="dxa"/>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13"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非甲烷总烃</w:t>
                  </w:r>
                </w:p>
              </w:tc>
              <w:tc>
                <w:tcPr>
                  <w:tcW w:w="2813"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2.0</w:t>
                  </w:r>
                </w:p>
              </w:tc>
              <w:tc>
                <w:tcPr>
                  <w:tcW w:w="2814"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r>
          </w:tbl>
          <w:p>
            <w:pPr>
              <w:widowControl/>
              <w:numPr>
                <w:ilvl w:val="0"/>
                <w:numId w:val="4"/>
              </w:numPr>
              <w:spacing w:line="240" w:lineRule="auto"/>
              <w:ind w:firstLine="0"/>
              <w:jc w:val="left"/>
              <w:rPr>
                <w:rFonts w:ascii="Times New Roman" w:hAnsi="Times New Roman" w:eastAsia="宋体" w:cs="Times New Roman"/>
                <w:color w:val="auto"/>
                <w:kern w:val="0"/>
                <w:sz w:val="24"/>
                <w:szCs w:val="24"/>
                <w:highlight w:val="none"/>
                <w:lang w:val="en-US" w:eastAsia="zh-CN" w:bidi="ar-SA"/>
              </w:rPr>
            </w:pPr>
            <w:r>
              <w:rPr>
                <w:rFonts w:ascii="Times New Roman" w:hAnsi="Times New Roman" w:eastAsia="宋体" w:cs="Times New Roman"/>
                <w:color w:val="auto"/>
                <w:kern w:val="0"/>
                <w:sz w:val="24"/>
                <w:szCs w:val="20"/>
                <w:highlight w:val="none"/>
                <w:lang w:val="en-US" w:eastAsia="zh-CN" w:bidi="ar-SA"/>
              </w:rPr>
              <w:t>《</w:t>
            </w:r>
            <w:r>
              <w:rPr>
                <w:rFonts w:hint="eastAsia" w:ascii="Times New Roman" w:hAnsi="Times New Roman" w:eastAsia="宋体" w:cs="Times New Roman"/>
                <w:color w:val="auto"/>
                <w:kern w:val="0"/>
                <w:sz w:val="24"/>
                <w:szCs w:val="20"/>
                <w:highlight w:val="none"/>
                <w:lang w:val="en-US" w:eastAsia="zh-CN" w:bidi="ar-SA"/>
              </w:rPr>
              <w:t>声环境质量标准</w:t>
            </w:r>
            <w:r>
              <w:rPr>
                <w:rFonts w:ascii="Times New Roman" w:hAnsi="Times New Roman" w:eastAsia="宋体" w:cs="Times New Roman"/>
                <w:color w:val="auto"/>
                <w:kern w:val="0"/>
                <w:sz w:val="24"/>
                <w:szCs w:val="20"/>
                <w:highlight w:val="none"/>
                <w:lang w:val="en-US" w:eastAsia="zh-CN" w:bidi="ar-SA"/>
              </w:rPr>
              <w:t>》(GB309</w:t>
            </w:r>
            <w:r>
              <w:rPr>
                <w:rFonts w:hint="eastAsia" w:ascii="Times New Roman" w:hAnsi="Times New Roman" w:eastAsia="宋体" w:cs="Times New Roman"/>
                <w:color w:val="auto"/>
                <w:kern w:val="0"/>
                <w:sz w:val="24"/>
                <w:szCs w:val="20"/>
                <w:highlight w:val="none"/>
                <w:lang w:val="en-US" w:eastAsia="zh-CN" w:bidi="ar-SA"/>
              </w:rPr>
              <w:t>6-2008</w:t>
            </w:r>
            <w:r>
              <w:rPr>
                <w:rFonts w:ascii="Times New Roman" w:hAnsi="Times New Roman" w:eastAsia="宋体" w:cs="Times New Roman"/>
                <w:color w:val="auto"/>
                <w:kern w:val="0"/>
                <w:sz w:val="24"/>
                <w:szCs w:val="20"/>
                <w:highlight w:val="none"/>
                <w:lang w:val="en-US" w:eastAsia="zh-CN" w:bidi="ar-SA"/>
              </w:rPr>
              <w:t>)</w:t>
            </w:r>
            <w:r>
              <w:rPr>
                <w:rFonts w:hint="eastAsia" w:ascii="Times New Roman" w:hAnsi="Times New Roman" w:eastAsia="宋体" w:cs="Times New Roman"/>
                <w:color w:val="auto"/>
                <w:kern w:val="0"/>
                <w:sz w:val="24"/>
                <w:szCs w:val="20"/>
                <w:highlight w:val="none"/>
                <w:lang w:val="en-US" w:eastAsia="zh-CN" w:bidi="ar-SA"/>
              </w:rPr>
              <w:t xml:space="preserve"> 3类</w:t>
            </w:r>
            <w:r>
              <w:rPr>
                <w:rFonts w:ascii="Times New Roman" w:hAnsi="Times New Roman" w:eastAsia="宋体" w:cs="Times New Roman"/>
                <w:color w:val="auto"/>
                <w:kern w:val="0"/>
                <w:sz w:val="24"/>
                <w:szCs w:val="20"/>
                <w:highlight w:val="none"/>
                <w:lang w:val="en-US" w:eastAsia="zh-CN" w:bidi="ar-SA"/>
              </w:rPr>
              <w:t>标准</w:t>
            </w:r>
            <w:r>
              <w:rPr>
                <w:rFonts w:hint="eastAsia" w:ascii="Times New Roman" w:hAnsi="Times New Roman" w:eastAsia="宋体" w:cs="Times New Roman"/>
                <w:color w:val="auto"/>
                <w:kern w:val="0"/>
                <w:sz w:val="24"/>
                <w:szCs w:val="24"/>
                <w:highlight w:val="none"/>
                <w:lang w:val="en-US" w:eastAsia="zh-CN" w:bidi="ar-SA"/>
              </w:rPr>
              <w:t>；</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项目所在区域环境噪声标准限值    单位：dB（A）</w:t>
            </w:r>
          </w:p>
          <w:tbl>
            <w:tblPr>
              <w:tblStyle w:val="43"/>
              <w:tblW w:w="858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43"/>
              <w:gridCol w:w="1939"/>
              <w:gridCol w:w="20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4643" w:type="dxa"/>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宋体" w:eastAsia="宋体" w:cs="Times New Roman"/>
                      <w:b/>
                      <w:color w:val="auto"/>
                      <w:kern w:val="2"/>
                      <w:sz w:val="21"/>
                      <w:szCs w:val="21"/>
                      <w:highlight w:val="none"/>
                    </w:rPr>
                    <w:t>类别</w:t>
                  </w:r>
                </w:p>
              </w:tc>
              <w:tc>
                <w:tcPr>
                  <w:tcW w:w="1939" w:type="dxa"/>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宋体" w:eastAsia="宋体" w:cs="Times New Roman"/>
                      <w:b/>
                      <w:color w:val="auto"/>
                      <w:kern w:val="2"/>
                      <w:sz w:val="21"/>
                      <w:szCs w:val="21"/>
                      <w:highlight w:val="none"/>
                    </w:rPr>
                    <w:t>昼间</w:t>
                  </w:r>
                </w:p>
              </w:tc>
              <w:tc>
                <w:tcPr>
                  <w:tcW w:w="2002" w:type="dxa"/>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宋体" w:eastAsia="宋体" w:cs="Times New Roman"/>
                      <w:b/>
                      <w:color w:val="auto"/>
                      <w:kern w:val="2"/>
                      <w:sz w:val="21"/>
                      <w:szCs w:val="21"/>
                      <w:highlight w:val="none"/>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643" w:type="dxa"/>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宋体" w:eastAsia="宋体" w:cs="Times New Roman"/>
                      <w:b/>
                      <w:color w:val="auto"/>
                      <w:kern w:val="2"/>
                      <w:sz w:val="21"/>
                      <w:szCs w:val="21"/>
                      <w:highlight w:val="none"/>
                    </w:rPr>
                    <w:t>《声环境质量标准》</w:t>
                  </w:r>
                  <w:r>
                    <w:rPr>
                      <w:rFonts w:hint="eastAsia" w:ascii="Times New Roman" w:hAnsi="Times New Roman" w:eastAsia="宋体" w:cs="Times New Roman"/>
                      <w:b/>
                      <w:color w:val="auto"/>
                      <w:kern w:val="2"/>
                      <w:sz w:val="21"/>
                      <w:szCs w:val="21"/>
                      <w:highlight w:val="none"/>
                      <w:lang w:val="en-US" w:eastAsia="zh-CN"/>
                    </w:rPr>
                    <w:t>3</w:t>
                  </w:r>
                  <w:r>
                    <w:rPr>
                      <w:rFonts w:ascii="Times New Roman" w:hAnsi="宋体" w:eastAsia="宋体" w:cs="Times New Roman"/>
                      <w:b/>
                      <w:color w:val="auto"/>
                      <w:kern w:val="2"/>
                      <w:sz w:val="21"/>
                      <w:szCs w:val="21"/>
                      <w:highlight w:val="none"/>
                    </w:rPr>
                    <w:t>类</w:t>
                  </w:r>
                </w:p>
              </w:tc>
              <w:tc>
                <w:tcPr>
                  <w:tcW w:w="1939" w:type="dxa"/>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6</w:t>
                  </w:r>
                  <w:r>
                    <w:rPr>
                      <w:rFonts w:hint="eastAsia" w:ascii="Times New Roman" w:hAnsi="Times New Roman" w:eastAsia="宋体" w:cs="Times New Roman"/>
                      <w:color w:val="auto"/>
                      <w:kern w:val="2"/>
                      <w:sz w:val="21"/>
                      <w:szCs w:val="21"/>
                      <w:highlight w:val="none"/>
                      <w:lang w:val="en-US" w:eastAsia="zh-CN"/>
                    </w:rPr>
                    <w:t>5</w:t>
                  </w:r>
                </w:p>
              </w:tc>
              <w:tc>
                <w:tcPr>
                  <w:tcW w:w="2002" w:type="dxa"/>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5</w:t>
                  </w:r>
                  <w:r>
                    <w:rPr>
                      <w:rFonts w:hint="eastAsia" w:ascii="Times New Roman" w:hAnsi="Times New Roman" w:eastAsia="宋体" w:cs="Times New Roman"/>
                      <w:color w:val="auto"/>
                      <w:kern w:val="2"/>
                      <w:sz w:val="21"/>
                      <w:szCs w:val="21"/>
                      <w:highlight w:val="none"/>
                      <w:lang w:val="en-US" w:eastAsia="zh-CN"/>
                    </w:rPr>
                    <w:t>5</w:t>
                  </w:r>
                </w:p>
              </w:tc>
            </w:tr>
          </w:tbl>
          <w:p>
            <w:pPr>
              <w:widowControl/>
              <w:spacing w:line="240" w:lineRule="auto"/>
              <w:ind w:firstLine="0"/>
              <w:jc w:val="left"/>
              <w:rPr>
                <w:rFonts w:ascii="Times New Roman" w:hAnsi="Times New Roman" w:eastAsia="宋体" w:cs="Times New Roman"/>
                <w:color w:val="auto"/>
                <w:kern w:val="0"/>
                <w:sz w:val="24"/>
                <w:szCs w:val="20"/>
                <w:highlight w:val="none"/>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58" w:hRule="atLeast"/>
        </w:trPr>
        <w:tc>
          <w:tcPr>
            <w:tcW w:w="813" w:type="dxa"/>
            <w:vAlign w:val="center"/>
          </w:tcPr>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污</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染</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物</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排</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放</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标</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准</w:t>
            </w:r>
          </w:p>
        </w:tc>
        <w:tc>
          <w:tcPr>
            <w:tcW w:w="8715" w:type="dxa"/>
            <w:vAlign w:val="center"/>
          </w:tcPr>
          <w:p>
            <w:pPr>
              <w:widowControl w:val="0"/>
              <w:numPr>
                <w:ilvl w:val="0"/>
                <w:numId w:val="5"/>
              </w:numPr>
              <w:spacing w:after="0" w:line="312" w:lineRule="auto"/>
              <w:ind w:left="420" w:hanging="420"/>
              <w:jc w:val="both"/>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生活污水</w:t>
            </w:r>
            <w:r>
              <w:rPr>
                <w:rFonts w:ascii="Times New Roman" w:hAnsi="Times New Roman" w:eastAsia="宋体" w:cs="Times New Roman"/>
                <w:color w:val="auto"/>
                <w:kern w:val="2"/>
                <w:sz w:val="24"/>
                <w:szCs w:val="24"/>
                <w:highlight w:val="none"/>
              </w:rPr>
              <w:t>排入市政污水管网执行</w:t>
            </w:r>
            <w:r>
              <w:rPr>
                <w:rFonts w:hint="eastAsia" w:ascii="Times New Roman" w:hAnsi="Times New Roman" w:eastAsia="宋体" w:cs="Times New Roman"/>
                <w:color w:val="auto"/>
                <w:kern w:val="2"/>
                <w:sz w:val="24"/>
                <w:szCs w:val="24"/>
                <w:highlight w:val="none"/>
              </w:rPr>
              <w:t>广东省地方标准《水污染物排放限值》</w:t>
            </w:r>
            <w:r>
              <w:rPr>
                <w:rFonts w:ascii="Times New Roman" w:hAnsi="Times New Roman" w:eastAsia="宋体" w:cs="Times New Roman"/>
                <w:color w:val="auto"/>
                <w:kern w:val="2"/>
                <w:sz w:val="24"/>
                <w:szCs w:val="24"/>
                <w:highlight w:val="none"/>
              </w:rPr>
              <w:t>（DB44/26-2001）第二时段三级标准</w:t>
            </w:r>
            <w:r>
              <w:rPr>
                <w:rFonts w:hint="eastAsia" w:ascii="Times New Roman" w:hAnsi="Times New Roman" w:eastAsia="宋体" w:cs="Times New Roman"/>
                <w:color w:val="auto"/>
                <w:kern w:val="2"/>
                <w:sz w:val="24"/>
                <w:szCs w:val="24"/>
                <w:highlight w:val="none"/>
              </w:rPr>
              <w:t>和</w:t>
            </w:r>
            <w:r>
              <w:rPr>
                <w:rFonts w:hint="eastAsia" w:ascii="Times New Roman" w:hAnsi="Times New Roman" w:eastAsia="宋体" w:cs="Times New Roman"/>
                <w:color w:val="auto"/>
                <w:kern w:val="2"/>
                <w:sz w:val="24"/>
                <w:szCs w:val="24"/>
                <w:highlight w:val="none"/>
                <w:lang w:eastAsia="zh-CN"/>
              </w:rPr>
              <w:t>《污水排入城镇下水道水质标准》(GB/T31962-2015 )B级标准</w:t>
            </w:r>
            <w:r>
              <w:rPr>
                <w:rFonts w:hint="eastAsia" w:ascii="Times New Roman" w:hAnsi="Times New Roman" w:eastAsia="宋体" w:cs="Times New Roman"/>
                <w:color w:val="auto"/>
                <w:kern w:val="2"/>
                <w:sz w:val="24"/>
                <w:szCs w:val="24"/>
                <w:highlight w:val="none"/>
              </w:rPr>
              <w:t>较严者</w:t>
            </w:r>
            <w:r>
              <w:rPr>
                <w:rFonts w:ascii="Times New Roman" w:hAnsi="Times New Roman" w:eastAsia="宋体" w:cs="Times New Roman"/>
                <w:color w:val="auto"/>
                <w:kern w:val="2"/>
                <w:sz w:val="24"/>
                <w:szCs w:val="24"/>
                <w:highlight w:val="none"/>
              </w:rPr>
              <w:t>，进</w:t>
            </w:r>
            <w:r>
              <w:rPr>
                <w:rFonts w:hint="eastAsia" w:ascii="Times New Roman" w:hAnsi="Times New Roman" w:eastAsia="宋体" w:cs="Times New Roman"/>
                <w:color w:val="auto"/>
                <w:kern w:val="2"/>
                <w:sz w:val="24"/>
                <w:szCs w:val="24"/>
                <w:highlight w:val="none"/>
              </w:rPr>
              <w:t>开平市水口</w:t>
            </w:r>
            <w:r>
              <w:rPr>
                <w:rFonts w:ascii="Times New Roman" w:hAnsi="Times New Roman" w:eastAsia="宋体" w:cs="Times New Roman"/>
                <w:color w:val="auto"/>
                <w:kern w:val="2"/>
                <w:sz w:val="24"/>
                <w:szCs w:val="24"/>
                <w:highlight w:val="none"/>
              </w:rPr>
              <w:t>污水处理厂处理后达到</w:t>
            </w:r>
            <w:r>
              <w:rPr>
                <w:rFonts w:hint="eastAsia" w:ascii="Times New Roman" w:hAnsi="Times New Roman" w:eastAsia="宋体" w:cs="Times New Roman"/>
                <w:color w:val="auto"/>
                <w:kern w:val="2"/>
                <w:sz w:val="24"/>
                <w:szCs w:val="24"/>
                <w:highlight w:val="none"/>
              </w:rPr>
              <w:t>《城镇污水处理厂污染物排放标准》（GB18918-2002）中一级A标准及广东省地方标准《水污染物排放限值》（DB44/26-2001）第二时段一级标准的较严值后排放；</w:t>
            </w:r>
          </w:p>
          <w:p>
            <w:pPr>
              <w:widowControl/>
              <w:numPr>
                <w:ilvl w:val="0"/>
                <w:numId w:val="2"/>
              </w:numPr>
              <w:tabs>
                <w:tab w:val="left" w:pos="420"/>
              </w:tabs>
              <w:adjustRightInd/>
              <w:snapToGrid/>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生活污水排放限值 （mg/L，pH除外）</w:t>
            </w:r>
          </w:p>
          <w:tbl>
            <w:tblPr>
              <w:tblStyle w:val="43"/>
              <w:tblW w:w="849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341"/>
              <w:gridCol w:w="795"/>
              <w:gridCol w:w="806"/>
              <w:gridCol w:w="936"/>
              <w:gridCol w:w="780"/>
              <w:gridCol w:w="83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180" w:hRule="atLeast"/>
                <w:jc w:val="center"/>
              </w:trPr>
              <w:tc>
                <w:tcPr>
                  <w:tcW w:w="4341" w:type="dxa"/>
                  <w:tcMar>
                    <w:top w:w="13" w:type="dxa"/>
                    <w:left w:w="13" w:type="dxa"/>
                    <w:bottom w:w="0" w:type="dxa"/>
                    <w:right w:w="13" w:type="dxa"/>
                  </w:tcMar>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标准</w:t>
                  </w:r>
                </w:p>
              </w:tc>
              <w:tc>
                <w:tcPr>
                  <w:tcW w:w="795" w:type="dxa"/>
                  <w:tcMar>
                    <w:top w:w="13" w:type="dxa"/>
                    <w:left w:w="13" w:type="dxa"/>
                    <w:bottom w:w="0" w:type="dxa"/>
                    <w:right w:w="13" w:type="dxa"/>
                  </w:tcMar>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PH</w:t>
                  </w:r>
                </w:p>
              </w:tc>
              <w:tc>
                <w:tcPr>
                  <w:tcW w:w="806"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COD</w:t>
                  </w:r>
                  <w:r>
                    <w:rPr>
                      <w:rFonts w:ascii="Times New Roman" w:hAnsi="Times New Roman" w:eastAsia="宋体" w:cs="Times New Roman"/>
                      <w:b/>
                      <w:color w:val="auto"/>
                      <w:kern w:val="0"/>
                      <w:sz w:val="21"/>
                      <w:szCs w:val="21"/>
                      <w:highlight w:val="none"/>
                      <w:vertAlign w:val="subscript"/>
                      <w:lang w:val="en-US" w:eastAsia="zh-CN" w:bidi="ar-SA"/>
                    </w:rPr>
                    <w:t>cr</w:t>
                  </w:r>
                </w:p>
              </w:tc>
              <w:tc>
                <w:tcPr>
                  <w:tcW w:w="936"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BOD</w:t>
                  </w:r>
                  <w:r>
                    <w:rPr>
                      <w:rFonts w:ascii="Times New Roman" w:hAnsi="Times New Roman" w:eastAsia="宋体" w:cs="Times New Roman"/>
                      <w:b/>
                      <w:color w:val="auto"/>
                      <w:kern w:val="0"/>
                      <w:sz w:val="21"/>
                      <w:szCs w:val="21"/>
                      <w:highlight w:val="none"/>
                      <w:vertAlign w:val="subscript"/>
                      <w:lang w:val="en-US" w:eastAsia="zh-CN" w:bidi="ar-SA"/>
                    </w:rPr>
                    <w:t>5</w:t>
                  </w:r>
                </w:p>
              </w:tc>
              <w:tc>
                <w:tcPr>
                  <w:tcW w:w="780"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SS</w:t>
                  </w:r>
                </w:p>
              </w:tc>
              <w:tc>
                <w:tcPr>
                  <w:tcW w:w="833"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bCs/>
                      <w:color w:val="auto"/>
                      <w:kern w:val="0"/>
                      <w:sz w:val="21"/>
                      <w:szCs w:val="21"/>
                      <w:highlight w:val="none"/>
                      <w:lang w:val="en-US" w:eastAsia="zh-CN" w:bidi="ar-SA"/>
                    </w:rPr>
                    <w:t>氨氮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1011" w:hRule="atLeast"/>
                <w:jc w:val="center"/>
              </w:trPr>
              <w:tc>
                <w:tcPr>
                  <w:tcW w:w="4341" w:type="dxa"/>
                  <w:tcMar>
                    <w:top w:w="13" w:type="dxa"/>
                    <w:left w:w="13" w:type="dxa"/>
                    <w:bottom w:w="0" w:type="dxa"/>
                    <w:right w:w="13" w:type="dxa"/>
                  </w:tcMar>
                  <w:vAlign w:val="center"/>
                </w:tcPr>
                <w:p>
                  <w:pPr>
                    <w:widowControl w:val="0"/>
                    <w:tabs>
                      <w:tab w:val="left" w:pos="945"/>
                      <w:tab w:val="right" w:leader="dot" w:pos="1155"/>
                      <w:tab w:val="left" w:pos="8715"/>
                    </w:tabs>
                    <w:overflowPunct/>
                    <w:autoSpaceDE/>
                    <w:autoSpaceDN/>
                    <w:adjustRightInd/>
                    <w:spacing w:line="240" w:lineRule="auto"/>
                    <w:jc w:val="center"/>
                    <w:rPr>
                      <w:rStyle w:val="50"/>
                      <w:rFonts w:ascii="Times New Roman" w:hAnsi="Times New Roman" w:eastAsia="宋体" w:cs="Times New Roman"/>
                      <w:color w:val="auto"/>
                      <w:kern w:val="0"/>
                      <w:sz w:val="24"/>
                      <w:szCs w:val="20"/>
                      <w:highlight w:val="none"/>
                      <w:lang w:val="en-US" w:eastAsia="zh-CN" w:bidi="ar-SA"/>
                    </w:rPr>
                  </w:pPr>
                  <w:r>
                    <w:rPr>
                      <w:rStyle w:val="50"/>
                      <w:rFonts w:hint="eastAsia" w:ascii="Times New Roman" w:hAnsi="Times New Roman" w:eastAsia="宋体" w:cs="Times New Roman"/>
                      <w:color w:val="auto"/>
                      <w:kern w:val="0"/>
                      <w:highlight w:val="none"/>
                      <w:lang w:val="en-US" w:eastAsia="zh-CN" w:bidi="ar-SA"/>
                    </w:rPr>
                    <w:t>广东省地方标准《水污染物排放限值》（DB44/26-2001）第二时段三级标准和《污水排入城镇下水道水质标准》(GB/T31962-2015 )B级标准较严者</w:t>
                  </w:r>
                </w:p>
              </w:tc>
              <w:tc>
                <w:tcPr>
                  <w:tcW w:w="795" w:type="dxa"/>
                  <w:tcMar>
                    <w:top w:w="13" w:type="dxa"/>
                    <w:left w:w="13" w:type="dxa"/>
                    <w:bottom w:w="0" w:type="dxa"/>
                    <w:right w:w="13" w:type="dxa"/>
                  </w:tcMar>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6-9</w:t>
                  </w:r>
                </w:p>
              </w:tc>
              <w:tc>
                <w:tcPr>
                  <w:tcW w:w="806"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500</w:t>
                  </w:r>
                </w:p>
              </w:tc>
              <w:tc>
                <w:tcPr>
                  <w:tcW w:w="936"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300</w:t>
                  </w:r>
                </w:p>
              </w:tc>
              <w:tc>
                <w:tcPr>
                  <w:tcW w:w="780"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400</w:t>
                  </w:r>
                </w:p>
              </w:tc>
              <w:tc>
                <w:tcPr>
                  <w:tcW w:w="833"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23" w:hRule="atLeast"/>
                <w:jc w:val="center"/>
              </w:trPr>
              <w:tc>
                <w:tcPr>
                  <w:tcW w:w="4341" w:type="dxa"/>
                  <w:tcMar>
                    <w:top w:w="13" w:type="dxa"/>
                    <w:left w:w="13" w:type="dxa"/>
                    <w:bottom w:w="0" w:type="dxa"/>
                    <w:right w:w="13" w:type="dxa"/>
                  </w:tcMar>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《城镇污水处理厂污染物排放标准》（GB18918-2002）中一级A标准及广东省地方标准《水污染物排放限值》（DB44/26-2001）第二时段一级标准的较严值</w:t>
                  </w:r>
                </w:p>
              </w:tc>
              <w:tc>
                <w:tcPr>
                  <w:tcW w:w="795" w:type="dxa"/>
                  <w:tcMar>
                    <w:top w:w="13" w:type="dxa"/>
                    <w:left w:w="13" w:type="dxa"/>
                    <w:bottom w:w="0" w:type="dxa"/>
                    <w:right w:w="13" w:type="dxa"/>
                  </w:tcMar>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6-9</w:t>
                  </w:r>
                </w:p>
              </w:tc>
              <w:tc>
                <w:tcPr>
                  <w:tcW w:w="806"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40</w:t>
                  </w:r>
                </w:p>
              </w:tc>
              <w:tc>
                <w:tcPr>
                  <w:tcW w:w="936"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w:t>
                  </w:r>
                </w:p>
              </w:tc>
              <w:tc>
                <w:tcPr>
                  <w:tcW w:w="780"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w:t>
                  </w:r>
                </w:p>
              </w:tc>
              <w:tc>
                <w:tcPr>
                  <w:tcW w:w="833" w:type="dxa"/>
                  <w:vAlign w:val="center"/>
                </w:tcPr>
                <w:p>
                  <w:pPr>
                    <w:widowControl w:val="0"/>
                    <w:tabs>
                      <w:tab w:val="left" w:pos="945"/>
                      <w:tab w:val="right" w:leader="dot" w:pos="1155"/>
                      <w:tab w:val="left" w:pos="8715"/>
                    </w:tabs>
                    <w:overflowPunct/>
                    <w:autoSpaceDE/>
                    <w:autoSpaceDN/>
                    <w:adjustRightInd/>
                    <w:spacing w:line="240" w:lineRule="auto"/>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w:t>
                  </w:r>
                </w:p>
              </w:tc>
            </w:tr>
          </w:tbl>
          <w:p>
            <w:pPr>
              <w:widowControl w:val="0"/>
              <w:numPr>
                <w:ilvl w:val="0"/>
                <w:numId w:val="5"/>
              </w:numPr>
              <w:spacing w:after="0" w:line="360" w:lineRule="auto"/>
              <w:ind w:left="420" w:hanging="420"/>
              <w:jc w:val="both"/>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eastAsia="zh-CN"/>
              </w:rPr>
              <w:t>红冲</w:t>
            </w:r>
            <w:r>
              <w:rPr>
                <w:rFonts w:hint="eastAsia" w:ascii="Times New Roman" w:hAnsi="Times New Roman" w:eastAsia="宋体" w:cs="Times New Roman"/>
                <w:color w:val="auto"/>
                <w:kern w:val="2"/>
                <w:sz w:val="24"/>
                <w:szCs w:val="24"/>
                <w:highlight w:val="none"/>
              </w:rPr>
              <w:t>工序、燃料废气以及</w:t>
            </w:r>
            <w:r>
              <w:rPr>
                <w:rFonts w:hint="eastAsia" w:ascii="Times New Roman" w:hAnsi="Times New Roman" w:eastAsia="宋体" w:cs="Times New Roman"/>
                <w:color w:val="auto"/>
                <w:kern w:val="2"/>
                <w:sz w:val="24"/>
                <w:szCs w:val="24"/>
                <w:highlight w:val="none"/>
                <w:lang w:eastAsia="zh-CN"/>
              </w:rPr>
              <w:t>开料、机加工、</w:t>
            </w:r>
            <w:r>
              <w:rPr>
                <w:rFonts w:ascii="Times New Roman" w:hAnsi="Times New Roman" w:eastAsia="宋体" w:cs="Times New Roman"/>
                <w:color w:val="auto"/>
                <w:kern w:val="2"/>
                <w:sz w:val="24"/>
                <w:szCs w:val="24"/>
                <w:highlight w:val="none"/>
              </w:rPr>
              <w:t>抛光</w:t>
            </w:r>
            <w:r>
              <w:rPr>
                <w:rFonts w:hint="eastAsia" w:ascii="Times New Roman" w:hAnsi="Times New Roman" w:eastAsia="宋体" w:cs="Times New Roman"/>
                <w:color w:val="auto"/>
                <w:kern w:val="2"/>
                <w:sz w:val="24"/>
                <w:szCs w:val="24"/>
                <w:highlight w:val="none"/>
              </w:rPr>
              <w:t>工序</w:t>
            </w:r>
            <w:r>
              <w:rPr>
                <w:rFonts w:ascii="Times New Roman" w:hAnsi="Times New Roman" w:eastAsia="宋体" w:cs="Times New Roman"/>
                <w:color w:val="auto"/>
                <w:kern w:val="2"/>
                <w:sz w:val="24"/>
                <w:szCs w:val="24"/>
                <w:highlight w:val="none"/>
              </w:rPr>
              <w:t>产生的</w:t>
            </w:r>
            <w:r>
              <w:rPr>
                <w:rFonts w:hint="eastAsia" w:ascii="Times New Roman" w:hAnsi="Times New Roman" w:eastAsia="宋体" w:cs="Times New Roman"/>
                <w:color w:val="auto"/>
                <w:kern w:val="2"/>
                <w:sz w:val="24"/>
                <w:szCs w:val="24"/>
                <w:highlight w:val="none"/>
              </w:rPr>
              <w:t>污染物</w:t>
            </w:r>
            <w:r>
              <w:rPr>
                <w:rFonts w:ascii="Times New Roman" w:hAnsi="Times New Roman" w:eastAsia="宋体" w:cs="Times New Roman"/>
                <w:color w:val="auto"/>
                <w:kern w:val="2"/>
                <w:sz w:val="24"/>
                <w:szCs w:val="24"/>
                <w:highlight w:val="none"/>
              </w:rPr>
              <w:t>排放</w:t>
            </w:r>
            <w:r>
              <w:rPr>
                <w:rFonts w:hint="eastAsia" w:ascii="Times New Roman" w:hAnsi="Times New Roman" w:eastAsia="宋体" w:cs="Times New Roman"/>
                <w:color w:val="auto"/>
                <w:kern w:val="2"/>
                <w:sz w:val="24"/>
                <w:szCs w:val="24"/>
                <w:highlight w:val="none"/>
              </w:rPr>
              <w:t>均</w:t>
            </w:r>
            <w:r>
              <w:rPr>
                <w:rFonts w:ascii="Times New Roman" w:hAnsi="Times New Roman" w:eastAsia="宋体" w:cs="Times New Roman"/>
                <w:color w:val="auto"/>
                <w:kern w:val="2"/>
                <w:sz w:val="24"/>
                <w:szCs w:val="24"/>
                <w:highlight w:val="none"/>
              </w:rPr>
              <w:t>执行广东省地方标准《大气污染物排放限值》（DB44/27-2001）中第二时段二级标准和第二时段无组织排放监控浓度限值；</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《大气污染物排放限值》摘录</w:t>
            </w:r>
          </w:p>
          <w:tbl>
            <w:tblPr>
              <w:tblStyle w:val="43"/>
              <w:tblW w:w="8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1483"/>
              <w:gridCol w:w="1304"/>
              <w:gridCol w:w="1313"/>
              <w:gridCol w:w="1344"/>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1" w:type="dxa"/>
                  <w:vMerge w:val="restart"/>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项目</w:t>
                  </w:r>
                </w:p>
              </w:tc>
              <w:tc>
                <w:tcPr>
                  <w:tcW w:w="1483" w:type="dxa"/>
                  <w:vMerge w:val="restart"/>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最高允许排放限值（mg/m</w:t>
                  </w:r>
                  <w:r>
                    <w:rPr>
                      <w:rFonts w:hint="eastAsia" w:ascii="Times New Roman" w:hAnsi="Times New Roman" w:eastAsia="宋体" w:cs="Times New Roman"/>
                      <w:b/>
                      <w:bCs/>
                      <w:color w:val="auto"/>
                      <w:kern w:val="2"/>
                      <w:sz w:val="21"/>
                      <w:szCs w:val="21"/>
                      <w:highlight w:val="none"/>
                      <w:vertAlign w:val="superscript"/>
                      <w:lang w:val="en-US" w:eastAsia="zh-CN"/>
                    </w:rPr>
                    <w:t>3</w:t>
                  </w:r>
                  <w:r>
                    <w:rPr>
                      <w:rFonts w:hint="eastAsia" w:ascii="Times New Roman" w:hAnsi="Times New Roman" w:eastAsia="宋体" w:cs="Times New Roman"/>
                      <w:b/>
                      <w:bCs/>
                      <w:color w:val="auto"/>
                      <w:kern w:val="2"/>
                      <w:sz w:val="21"/>
                      <w:szCs w:val="21"/>
                      <w:highlight w:val="none"/>
                      <w:lang w:val="en-US" w:eastAsia="zh-CN"/>
                    </w:rPr>
                    <w:t>）</w:t>
                  </w:r>
                </w:p>
              </w:tc>
              <w:tc>
                <w:tcPr>
                  <w:tcW w:w="1304" w:type="dxa"/>
                  <w:vMerge w:val="restart"/>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排气筒高度</w:t>
                  </w:r>
                </w:p>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（m）</w:t>
                  </w:r>
                </w:p>
              </w:tc>
              <w:tc>
                <w:tcPr>
                  <w:tcW w:w="131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排放速率</w:t>
                  </w:r>
                </w:p>
              </w:tc>
              <w:tc>
                <w:tcPr>
                  <w:tcW w:w="2739" w:type="dxa"/>
                  <w:gridSpan w:val="2"/>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1" w:type="dxa"/>
                  <w:vMerge w:val="continue"/>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p>
              </w:tc>
              <w:tc>
                <w:tcPr>
                  <w:tcW w:w="1483" w:type="dxa"/>
                  <w:vMerge w:val="continue"/>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p>
              </w:tc>
              <w:tc>
                <w:tcPr>
                  <w:tcW w:w="1304" w:type="dxa"/>
                  <w:vMerge w:val="continue"/>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p>
              </w:tc>
              <w:tc>
                <w:tcPr>
                  <w:tcW w:w="131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二级标准值（kg/h）</w:t>
                  </w:r>
                </w:p>
              </w:tc>
              <w:tc>
                <w:tcPr>
                  <w:tcW w:w="134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监测点</w:t>
                  </w:r>
                </w:p>
              </w:tc>
              <w:tc>
                <w:tcPr>
                  <w:tcW w:w="139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浓度</w:t>
                  </w:r>
                </w:p>
                <w:p>
                  <w:pPr>
                    <w:widowControl w:val="0"/>
                    <w:adjustRightInd w:val="0"/>
                    <w:snapToGrid w:val="0"/>
                    <w:spacing w:after="0" w:line="240" w:lineRule="auto"/>
                    <w:jc w:val="center"/>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（mg/m</w:t>
                  </w:r>
                  <w:r>
                    <w:rPr>
                      <w:rFonts w:hint="eastAsia" w:ascii="Times New Roman" w:hAnsi="Times New Roman" w:eastAsia="宋体" w:cs="Times New Roman"/>
                      <w:b/>
                      <w:bCs/>
                      <w:color w:val="auto"/>
                      <w:kern w:val="2"/>
                      <w:sz w:val="21"/>
                      <w:szCs w:val="21"/>
                      <w:highlight w:val="none"/>
                      <w:vertAlign w:val="superscript"/>
                      <w:lang w:val="en-US" w:eastAsia="zh-CN"/>
                    </w:rPr>
                    <w:t>3</w:t>
                  </w:r>
                  <w:r>
                    <w:rPr>
                      <w:rFonts w:hint="eastAsia" w:ascii="Times New Roman" w:hAnsi="Times New Roman" w:eastAsia="宋体" w:cs="Times New Roman"/>
                      <w:b/>
                      <w:bCs/>
                      <w:color w:val="auto"/>
                      <w:kern w:val="2"/>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501"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非甲烷总烃</w:t>
                  </w:r>
                </w:p>
              </w:tc>
              <w:tc>
                <w:tcPr>
                  <w:tcW w:w="148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120</w:t>
                  </w:r>
                </w:p>
              </w:tc>
              <w:tc>
                <w:tcPr>
                  <w:tcW w:w="130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w:t>
                  </w:r>
                </w:p>
              </w:tc>
              <w:tc>
                <w:tcPr>
                  <w:tcW w:w="131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4.2</w:t>
                  </w:r>
                </w:p>
              </w:tc>
              <w:tc>
                <w:tcPr>
                  <w:tcW w:w="134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周界外浓度最高点</w:t>
                  </w:r>
                </w:p>
              </w:tc>
              <w:tc>
                <w:tcPr>
                  <w:tcW w:w="139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1501"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SO</w:t>
                  </w:r>
                  <w:r>
                    <w:rPr>
                      <w:rFonts w:hint="eastAsia" w:ascii="Times New Roman" w:hAnsi="Times New Roman" w:eastAsia="宋体" w:cs="Times New Roman"/>
                      <w:color w:val="auto"/>
                      <w:kern w:val="2"/>
                      <w:sz w:val="21"/>
                      <w:szCs w:val="21"/>
                      <w:highlight w:val="none"/>
                      <w:vertAlign w:val="subscript"/>
                    </w:rPr>
                    <w:t>2</w:t>
                  </w:r>
                </w:p>
              </w:tc>
              <w:tc>
                <w:tcPr>
                  <w:tcW w:w="148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500</w:t>
                  </w:r>
                </w:p>
              </w:tc>
              <w:tc>
                <w:tcPr>
                  <w:tcW w:w="130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w:t>
                  </w:r>
                </w:p>
              </w:tc>
              <w:tc>
                <w:tcPr>
                  <w:tcW w:w="131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1.05</w:t>
                  </w:r>
                </w:p>
              </w:tc>
              <w:tc>
                <w:tcPr>
                  <w:tcW w:w="134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周界外浓度最高点</w:t>
                  </w:r>
                </w:p>
              </w:tc>
              <w:tc>
                <w:tcPr>
                  <w:tcW w:w="139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501"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NO</w:t>
                  </w:r>
                  <w:r>
                    <w:rPr>
                      <w:rFonts w:hint="eastAsia" w:ascii="Times New Roman" w:hAnsi="Times New Roman" w:eastAsia="宋体" w:cs="Times New Roman"/>
                      <w:color w:val="auto"/>
                      <w:kern w:val="2"/>
                      <w:sz w:val="21"/>
                      <w:szCs w:val="21"/>
                      <w:highlight w:val="none"/>
                      <w:vertAlign w:val="subscript"/>
                    </w:rPr>
                    <w:t>X</w:t>
                  </w:r>
                </w:p>
              </w:tc>
              <w:tc>
                <w:tcPr>
                  <w:tcW w:w="148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120</w:t>
                  </w:r>
                </w:p>
              </w:tc>
              <w:tc>
                <w:tcPr>
                  <w:tcW w:w="130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w:t>
                  </w:r>
                </w:p>
              </w:tc>
              <w:tc>
                <w:tcPr>
                  <w:tcW w:w="131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0.32</w:t>
                  </w:r>
                </w:p>
              </w:tc>
              <w:tc>
                <w:tcPr>
                  <w:tcW w:w="134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周界外浓度最高点</w:t>
                  </w:r>
                </w:p>
              </w:tc>
              <w:tc>
                <w:tcPr>
                  <w:tcW w:w="139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1501"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颗粒物</w:t>
                  </w:r>
                </w:p>
              </w:tc>
              <w:tc>
                <w:tcPr>
                  <w:tcW w:w="148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120</w:t>
                  </w:r>
                </w:p>
              </w:tc>
              <w:tc>
                <w:tcPr>
                  <w:tcW w:w="130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w:t>
                  </w:r>
                </w:p>
              </w:tc>
              <w:tc>
                <w:tcPr>
                  <w:tcW w:w="1313"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1.45</w:t>
                  </w:r>
                </w:p>
              </w:tc>
              <w:tc>
                <w:tcPr>
                  <w:tcW w:w="134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周界外浓度最高点</w:t>
                  </w:r>
                </w:p>
              </w:tc>
              <w:tc>
                <w:tcPr>
                  <w:tcW w:w="139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1.0</w:t>
                  </w:r>
                </w:p>
              </w:tc>
            </w:tr>
          </w:tbl>
          <w:p>
            <w:pPr>
              <w:keepNext w:val="0"/>
              <w:keepLines w:val="0"/>
              <w:pageBreakBefore w:val="0"/>
              <w:widowControl w:val="0"/>
              <w:kinsoku/>
              <w:wordWrap/>
              <w:overflowPunct/>
              <w:topLinePunct w:val="0"/>
              <w:autoSpaceDE w:val="0"/>
              <w:autoSpaceDN w:val="0"/>
              <w:bidi w:val="0"/>
              <w:adjustRightInd w:val="0"/>
              <w:snapToGrid/>
              <w:spacing w:line="312" w:lineRule="auto"/>
              <w:ind w:firstLine="422" w:firstLineChars="200"/>
              <w:jc w:val="both"/>
              <w:textAlignment w:val="auto"/>
              <w:rPr>
                <w:rFonts w:ascii="Times New Roman" w:hAnsi="Times New Roman" w:eastAsia="宋体" w:cs="Times New Roman"/>
                <w:color w:val="auto"/>
                <w:sz w:val="21"/>
                <w:szCs w:val="21"/>
                <w:highlight w:val="none"/>
                <w:lang w:val="en-US" w:eastAsia="zh-CN" w:bidi="ar-SA"/>
              </w:rPr>
            </w:pPr>
            <w:r>
              <w:rPr>
                <w:rFonts w:ascii="Times New Roman" w:hAnsi="Times New Roman" w:eastAsia="宋体" w:cs="Times New Roman"/>
                <w:b/>
                <w:bCs/>
                <w:color w:val="auto"/>
                <w:sz w:val="21"/>
                <w:szCs w:val="21"/>
                <w:highlight w:val="none"/>
                <w:lang w:val="en-US" w:eastAsia="zh-CN" w:bidi="ar-SA"/>
              </w:rPr>
              <w:t>注：</w:t>
            </w:r>
            <w:r>
              <w:rPr>
                <w:rFonts w:ascii="Times New Roman" w:hAnsi="Times New Roman" w:eastAsia="宋体" w:cs="Times New Roman"/>
                <w:color w:val="auto"/>
                <w:sz w:val="21"/>
                <w:szCs w:val="21"/>
                <w:highlight w:val="none"/>
                <w:lang w:val="en-US" w:eastAsia="zh-CN" w:bidi="ar-SA"/>
              </w:rPr>
              <w:t>排气筒高度应高出周围200m半径范围的建筑5m以上，不能达到该要求的排气筒，应按其高度对应的排放速率的50%执行。由于项目周围200m半径范围的最高建筑约为20m，本项目排气筒高度设为15米，因此本项目废气排放</w:t>
            </w:r>
            <w:r>
              <w:rPr>
                <w:rFonts w:hint="eastAsia" w:ascii="Times New Roman" w:hAnsi="Times New Roman" w:eastAsia="宋体" w:cs="Times New Roman"/>
                <w:color w:val="auto"/>
                <w:sz w:val="21"/>
                <w:szCs w:val="21"/>
                <w:highlight w:val="none"/>
                <w:lang w:val="en-US" w:eastAsia="zh-CN" w:bidi="ar-SA"/>
              </w:rPr>
              <w:t>筒</w:t>
            </w:r>
            <w:r>
              <w:rPr>
                <w:rFonts w:ascii="Times New Roman" w:hAnsi="Times New Roman" w:eastAsia="宋体" w:cs="Times New Roman"/>
                <w:color w:val="auto"/>
                <w:sz w:val="21"/>
                <w:szCs w:val="21"/>
                <w:highlight w:val="none"/>
                <w:lang w:val="en-US" w:eastAsia="zh-CN" w:bidi="ar-SA"/>
              </w:rPr>
              <w:t>无法达到高出周围200m半径范围的建筑5m以上要求，故项目废气按其高度对应的排放速率限值的50%执行。</w:t>
            </w:r>
          </w:p>
          <w:p>
            <w:pPr>
              <w:widowControl w:val="0"/>
              <w:numPr>
                <w:ilvl w:val="0"/>
                <w:numId w:val="5"/>
              </w:numPr>
              <w:spacing w:after="0" w:line="312" w:lineRule="auto"/>
              <w:ind w:left="420" w:hanging="42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rPr>
              <w:t>工业企业厂界环境噪声排放标准</w:t>
            </w:r>
            <w:r>
              <w:rPr>
                <w:rFonts w:ascii="Times New Roman" w:hAnsi="Times New Roman" w:eastAsia="宋体" w:cs="Times New Roman"/>
                <w:color w:val="auto"/>
                <w:kern w:val="2"/>
                <w:sz w:val="24"/>
                <w:szCs w:val="24"/>
                <w:highlight w:val="none"/>
              </w:rPr>
              <w:t>》(GB12348—</w:t>
            </w:r>
            <w:r>
              <w:rPr>
                <w:rFonts w:hint="eastAsia" w:ascii="Times New Roman" w:hAnsi="Times New Roman" w:eastAsia="宋体" w:cs="Times New Roman"/>
                <w:color w:val="auto"/>
                <w:kern w:val="2"/>
                <w:sz w:val="24"/>
                <w:szCs w:val="24"/>
                <w:highlight w:val="none"/>
              </w:rPr>
              <w:t>2008</w:t>
            </w:r>
            <w:r>
              <w:rPr>
                <w:rFonts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lang w:val="en-US" w:eastAsia="zh-CN"/>
              </w:rPr>
              <w:t>3</w:t>
            </w:r>
            <w:r>
              <w:rPr>
                <w:rFonts w:hint="eastAsia" w:ascii="Times New Roman" w:hAnsi="Times New Roman" w:eastAsia="宋体" w:cs="Times New Roman"/>
                <w:color w:val="auto"/>
                <w:kern w:val="2"/>
                <w:sz w:val="24"/>
                <w:szCs w:val="24"/>
                <w:highlight w:val="none"/>
              </w:rPr>
              <w:t>类</w:t>
            </w:r>
            <w:r>
              <w:rPr>
                <w:rFonts w:ascii="Times New Roman" w:hAnsi="Times New Roman" w:eastAsia="宋体" w:cs="Times New Roman"/>
                <w:color w:val="auto"/>
                <w:kern w:val="2"/>
                <w:sz w:val="24"/>
                <w:szCs w:val="24"/>
                <w:highlight w:val="none"/>
              </w:rPr>
              <w:t>标准</w:t>
            </w:r>
            <w:r>
              <w:rPr>
                <w:rFonts w:hint="eastAsia" w:ascii="Times New Roman" w:hAnsi="Times New Roman" w:eastAsia="宋体" w:cs="Times New Roman"/>
                <w:color w:val="auto"/>
                <w:kern w:val="2"/>
                <w:sz w:val="24"/>
                <w:szCs w:val="24"/>
                <w:highlight w:val="none"/>
              </w:rPr>
              <w:t>；</w:t>
            </w:r>
          </w:p>
          <w:p>
            <w:pPr>
              <w:widowControl/>
              <w:numPr>
                <w:ilvl w:val="0"/>
                <w:numId w:val="2"/>
              </w:numPr>
              <w:tabs>
                <w:tab w:val="left" w:pos="420"/>
              </w:tabs>
              <w:adjustRightInd/>
              <w:snapToGrid/>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工业企业厂界环境噪声排放标准（摘录）    单位：dB(A)</w:t>
            </w:r>
          </w:p>
          <w:tbl>
            <w:tblPr>
              <w:tblStyle w:val="43"/>
              <w:tblW w:w="813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931"/>
              <w:gridCol w:w="2130"/>
              <w:gridCol w:w="207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2" w:hRule="atLeast"/>
                <w:jc w:val="center"/>
              </w:trPr>
              <w:tc>
                <w:tcPr>
                  <w:tcW w:w="3931" w:type="dxa"/>
                  <w:vAlign w:val="center"/>
                </w:tcPr>
                <w:p>
                  <w:pPr>
                    <w:widowControl w:val="0"/>
                    <w:adjustRightInd w:val="0"/>
                    <w:snapToGrid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宋体" w:eastAsia="宋体" w:cs="Times New Roman"/>
                      <w:b/>
                      <w:bCs/>
                      <w:color w:val="auto"/>
                      <w:kern w:val="2"/>
                      <w:sz w:val="21"/>
                      <w:szCs w:val="21"/>
                      <w:highlight w:val="none"/>
                    </w:rPr>
                    <w:t>类别</w:t>
                  </w:r>
                </w:p>
              </w:tc>
              <w:tc>
                <w:tcPr>
                  <w:tcW w:w="2130" w:type="dxa"/>
                  <w:vAlign w:val="center"/>
                </w:tcPr>
                <w:p>
                  <w:pPr>
                    <w:widowControl w:val="0"/>
                    <w:adjustRightInd w:val="0"/>
                    <w:snapToGrid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宋体" w:eastAsia="宋体" w:cs="Times New Roman"/>
                      <w:b/>
                      <w:bCs/>
                      <w:color w:val="auto"/>
                      <w:kern w:val="2"/>
                      <w:sz w:val="21"/>
                      <w:szCs w:val="21"/>
                      <w:highlight w:val="none"/>
                    </w:rPr>
                    <w:t>昼间</w:t>
                  </w:r>
                </w:p>
              </w:tc>
              <w:tc>
                <w:tcPr>
                  <w:tcW w:w="2078" w:type="dxa"/>
                  <w:vAlign w:val="center"/>
                </w:tcPr>
                <w:p>
                  <w:pPr>
                    <w:widowControl w:val="0"/>
                    <w:adjustRightInd w:val="0"/>
                    <w:snapToGrid w:val="0"/>
                    <w:spacing w:after="0" w:line="240" w:lineRule="auto"/>
                    <w:ind w:left="70" w:hanging="70"/>
                    <w:jc w:val="center"/>
                    <w:rPr>
                      <w:rFonts w:ascii="Times New Roman" w:hAnsi="Times New Roman" w:eastAsia="宋体" w:cs="Times New Roman"/>
                      <w:b/>
                      <w:bCs/>
                      <w:color w:val="auto"/>
                      <w:kern w:val="2"/>
                      <w:sz w:val="21"/>
                      <w:szCs w:val="21"/>
                      <w:highlight w:val="none"/>
                    </w:rPr>
                  </w:pPr>
                  <w:r>
                    <w:rPr>
                      <w:rFonts w:ascii="Times New Roman" w:hAnsi="宋体" w:eastAsia="宋体" w:cs="Times New Roman"/>
                      <w:b/>
                      <w:bCs/>
                      <w:color w:val="auto"/>
                      <w:kern w:val="2"/>
                      <w:sz w:val="21"/>
                      <w:szCs w:val="21"/>
                      <w:highlight w:val="none"/>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3931"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《工业企业厂界环境噪声排放标准》</w:t>
                  </w:r>
                  <w:r>
                    <w:rPr>
                      <w:rFonts w:hint="eastAsia" w:ascii="Times New Roman" w:hAnsi="Times New Roman" w:eastAsia="宋体" w:cs="Times New Roman"/>
                      <w:color w:val="auto"/>
                      <w:kern w:val="2"/>
                      <w:sz w:val="21"/>
                      <w:szCs w:val="21"/>
                      <w:highlight w:val="none"/>
                      <w:lang w:val="en-US" w:eastAsia="zh-CN"/>
                    </w:rPr>
                    <w:t>3</w:t>
                  </w:r>
                  <w:r>
                    <w:rPr>
                      <w:rFonts w:hint="eastAsia" w:ascii="Times New Roman" w:hAnsi="Times New Roman" w:eastAsia="宋体" w:cs="Times New Roman"/>
                      <w:color w:val="auto"/>
                      <w:kern w:val="2"/>
                      <w:sz w:val="21"/>
                      <w:szCs w:val="21"/>
                      <w:highlight w:val="none"/>
                    </w:rPr>
                    <w:t>类</w:t>
                  </w:r>
                </w:p>
              </w:tc>
              <w:tc>
                <w:tcPr>
                  <w:tcW w:w="2130" w:type="dxa"/>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≤6</w:t>
                  </w:r>
                  <w:r>
                    <w:rPr>
                      <w:rFonts w:hint="eastAsia" w:ascii="Times New Roman" w:hAnsi="Times New Roman" w:eastAsia="宋体" w:cs="Times New Roman"/>
                      <w:color w:val="auto"/>
                      <w:kern w:val="2"/>
                      <w:sz w:val="21"/>
                      <w:szCs w:val="21"/>
                      <w:highlight w:val="none"/>
                      <w:lang w:val="en-US" w:eastAsia="zh-CN"/>
                    </w:rPr>
                    <w:t>5</w:t>
                  </w:r>
                </w:p>
              </w:tc>
              <w:tc>
                <w:tcPr>
                  <w:tcW w:w="2078" w:type="dxa"/>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2"/>
                      <w:sz w:val="21"/>
                      <w:szCs w:val="21"/>
                      <w:highlight w:val="none"/>
                    </w:rPr>
                    <w:t>≤5</w:t>
                  </w:r>
                  <w:r>
                    <w:rPr>
                      <w:rFonts w:hint="eastAsia" w:ascii="Times New Roman" w:hAnsi="Times New Roman" w:eastAsia="宋体" w:cs="Times New Roman"/>
                      <w:color w:val="auto"/>
                      <w:kern w:val="2"/>
                      <w:sz w:val="21"/>
                      <w:szCs w:val="21"/>
                      <w:highlight w:val="none"/>
                      <w:lang w:val="en-US" w:eastAsia="zh-CN"/>
                    </w:rPr>
                    <w:t>5</w:t>
                  </w:r>
                </w:p>
              </w:tc>
            </w:tr>
          </w:tbl>
          <w:p>
            <w:pPr>
              <w:widowControl w:val="0"/>
              <w:numPr>
                <w:ilvl w:val="0"/>
                <w:numId w:val="5"/>
              </w:numPr>
              <w:spacing w:after="0" w:line="312" w:lineRule="auto"/>
              <w:ind w:left="420" w:hanging="420"/>
              <w:jc w:val="both"/>
              <w:rPr>
                <w:rFonts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4"/>
                <w:szCs w:val="24"/>
                <w:highlight w:val="none"/>
              </w:rPr>
              <w:t>《一般工业固体废物贮存、处置场污染控制标准》（GB 18599-2001）（2013年修订）；</w:t>
            </w:r>
          </w:p>
          <w:p>
            <w:pPr>
              <w:widowControl w:val="0"/>
              <w:numPr>
                <w:ilvl w:val="0"/>
                <w:numId w:val="5"/>
              </w:numPr>
              <w:spacing w:after="0" w:line="312" w:lineRule="auto"/>
              <w:ind w:left="420" w:hanging="420"/>
              <w:jc w:val="both"/>
              <w:rPr>
                <w:rFonts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4"/>
                <w:szCs w:val="24"/>
                <w:highlight w:val="none"/>
              </w:rPr>
              <w:t>《危险废物贮存污染控制标准》(GB 18597-2001)</w:t>
            </w:r>
            <w:r>
              <w:rPr>
                <w:rFonts w:ascii="Times New Roman" w:hAnsi="Times New Roman" w:eastAsia="宋体" w:cs="Times New Roman"/>
                <w:bCs/>
                <w:color w:val="auto"/>
                <w:kern w:val="2"/>
                <w:sz w:val="24"/>
                <w:szCs w:val="24"/>
                <w:highlight w:val="none"/>
              </w:rPr>
              <w:t>（2013年修订</w:t>
            </w:r>
            <w:r>
              <w:rPr>
                <w:rFonts w:hint="eastAsia" w:ascii="Times New Roman" w:hAnsi="Times New Roman" w:eastAsia="宋体" w:cs="Times New Roman"/>
                <w:bCs/>
                <w:color w:val="auto"/>
                <w:kern w:val="2"/>
                <w:sz w:val="24"/>
                <w:szCs w:val="24"/>
                <w:highlight w:val="none"/>
              </w:rPr>
              <w:t>）</w:t>
            </w:r>
            <w:r>
              <w:rPr>
                <w:rFonts w:hint="eastAsia" w:ascii="Times New Roman" w:hAnsi="Times New Roman" w:eastAsia="宋体" w:cs="Times New Roman"/>
                <w:color w:val="auto"/>
                <w:kern w:val="2"/>
                <w:sz w:val="24"/>
                <w:szCs w:val="24"/>
                <w:highlight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71" w:hRule="atLeast"/>
        </w:trPr>
        <w:tc>
          <w:tcPr>
            <w:tcW w:w="813" w:type="dxa"/>
            <w:tcBorders>
              <w:bottom w:val="single" w:color="000000" w:sz="6" w:space="0"/>
            </w:tcBorders>
            <w:vAlign w:val="center"/>
          </w:tcPr>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总</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量</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控</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制</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指</w:t>
            </w:r>
          </w:p>
          <w:p>
            <w:pPr>
              <w:widowControl w:val="0"/>
              <w:topLinePunct w:val="0"/>
              <w:autoSpaceDE/>
              <w:autoSpaceDN/>
              <w:adjustRightInd/>
              <w:spacing w:before="120" w:line="336" w:lineRule="auto"/>
              <w:jc w:val="center"/>
              <w:textAlignment w:val="auto"/>
              <w:rPr>
                <w:rFonts w:ascii="Times New Roman" w:hAnsi="Times New Roman" w:eastAsia="宋体" w:cs="Times New Roman"/>
                <w:color w:val="auto"/>
                <w:kern w:val="2"/>
                <w:sz w:val="28"/>
                <w:szCs w:val="24"/>
                <w:highlight w:val="none"/>
                <w:lang w:val="en-US" w:eastAsia="zh-CN" w:bidi="ar-SA"/>
              </w:rPr>
            </w:pPr>
            <w:r>
              <w:rPr>
                <w:rFonts w:hint="eastAsia" w:ascii="Times New Roman" w:hAnsi="Times New Roman" w:eastAsia="宋体" w:cs="Times New Roman"/>
                <w:color w:val="auto"/>
                <w:kern w:val="2"/>
                <w:sz w:val="28"/>
                <w:szCs w:val="24"/>
                <w:highlight w:val="none"/>
                <w:lang w:val="en-US" w:eastAsia="zh-CN" w:bidi="ar-SA"/>
              </w:rPr>
              <w:t>标</w:t>
            </w:r>
          </w:p>
        </w:tc>
        <w:tc>
          <w:tcPr>
            <w:tcW w:w="8715" w:type="dxa"/>
            <w:tcBorders>
              <w:bottom w:val="single" w:color="000000" w:sz="6" w:space="0"/>
            </w:tcBorders>
            <w:vAlign w:val="center"/>
          </w:tcPr>
          <w:p>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p>
          <w:p>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根据《国务院关于印发“十三五”生态环境保护规划的通知》（国发[2016]65 号）、《广东省环境保护厅关于印发广东省环境保护“十三五”规划的通知》（粤环[2016]51号）及《国务院关于印发大气污染防治行动计划的通知》（国发[2013]37 号），总量控制指标主要为化学需氧量（ CODcr）、氨氮（NH</w:t>
            </w:r>
            <w:r>
              <w:rPr>
                <w:rFonts w:ascii="Times New Roman" w:hAnsi="Times New Roman" w:eastAsia="宋体" w:cs="Times New Roman"/>
                <w:color w:val="auto"/>
                <w:kern w:val="2"/>
                <w:sz w:val="24"/>
                <w:szCs w:val="24"/>
                <w:highlight w:val="none"/>
                <w:vertAlign w:val="subscript"/>
                <w:lang w:val="en-US" w:eastAsia="zh-CN" w:bidi="ar-SA"/>
              </w:rPr>
              <w:t>3</w:t>
            </w:r>
            <w:r>
              <w:rPr>
                <w:rFonts w:ascii="Times New Roman" w:hAnsi="Times New Roman" w:eastAsia="宋体" w:cs="Times New Roman"/>
                <w:color w:val="auto"/>
                <w:kern w:val="2"/>
                <w:sz w:val="24"/>
                <w:szCs w:val="24"/>
                <w:highlight w:val="none"/>
                <w:lang w:val="en-US" w:eastAsia="zh-CN" w:bidi="ar-SA"/>
              </w:rPr>
              <w:t>-N）、二氧化硫（SO</w:t>
            </w:r>
            <w:r>
              <w:rPr>
                <w:rFonts w:ascii="Times New Roman" w:hAnsi="Times New Roman" w:eastAsia="宋体" w:cs="Times New Roman"/>
                <w:color w:val="auto"/>
                <w:kern w:val="2"/>
                <w:sz w:val="24"/>
                <w:szCs w:val="24"/>
                <w:highlight w:val="none"/>
                <w:vertAlign w:val="subscript"/>
                <w:lang w:val="en-US" w:eastAsia="zh-CN" w:bidi="ar-SA"/>
              </w:rPr>
              <w:t>2</w:t>
            </w:r>
            <w:r>
              <w:rPr>
                <w:rFonts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氮氧化物（NOx）、总氮、总磷、挥发性有机物（VOCs）、重点行业的重点重金属。最终以当地环保主管部门下达的总量控制指标为准。</w:t>
            </w:r>
          </w:p>
          <w:p>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废气：项目污染物总量控制指标需由建设方向当地环保部门申请调整分配，经审批同意后方能实施。本项目废气总量控制指标见下表：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项目废气总量控制指标</w:t>
            </w:r>
          </w:p>
          <w:tbl>
            <w:tblPr>
              <w:tblStyle w:val="43"/>
              <w:tblW w:w="66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4"/>
              <w:gridCol w:w="1461"/>
              <w:gridCol w:w="1404"/>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4" w:type="dxa"/>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1461" w:type="dxa"/>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排放方式</w:t>
                  </w:r>
                </w:p>
              </w:tc>
              <w:tc>
                <w:tcPr>
                  <w:tcW w:w="1404" w:type="dxa"/>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排放量</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（t/a）</w:t>
                  </w:r>
                </w:p>
              </w:tc>
              <w:tc>
                <w:tcPr>
                  <w:tcW w:w="1707" w:type="dxa"/>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合计</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4"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1461"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default" w:ascii="Times New Roman" w:hAnsi="Times New Roman" w:eastAsia="Times New Roman" w:cs="Times New Roman"/>
                      <w:color w:val="auto"/>
                      <w:kern w:val="2"/>
                      <w:sz w:val="21"/>
                      <w:szCs w:val="21"/>
                      <w:highlight w:val="none"/>
                      <w:lang w:val="en-US" w:eastAsia="zh-CN"/>
                    </w:rPr>
                    <w:t>有组织</w:t>
                  </w:r>
                </w:p>
              </w:tc>
              <w:tc>
                <w:tcPr>
                  <w:tcW w:w="1404" w:type="dxa"/>
                  <w:vAlign w:val="center"/>
                </w:tcPr>
                <w:p>
                  <w:pPr>
                    <w:widowControl w:val="0"/>
                    <w:spacing w:after="0" w:line="288"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0.020</w:t>
                  </w:r>
                </w:p>
              </w:tc>
              <w:tc>
                <w:tcPr>
                  <w:tcW w:w="1707" w:type="dxa"/>
                  <w:vAlign w:val="center"/>
                </w:tcPr>
                <w:p>
                  <w:pPr>
                    <w:widowControl w:val="0"/>
                    <w:spacing w:after="0" w:line="360" w:lineRule="auto"/>
                    <w:jc w:val="center"/>
                    <w:textAlignment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4"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1461"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default" w:ascii="Times New Roman" w:hAnsi="Times New Roman" w:eastAsia="Times New Roman" w:cs="Times New Roman"/>
                      <w:color w:val="auto"/>
                      <w:kern w:val="2"/>
                      <w:sz w:val="21"/>
                      <w:szCs w:val="21"/>
                      <w:highlight w:val="none"/>
                      <w:lang w:val="en-US" w:eastAsia="zh-CN"/>
                    </w:rPr>
                    <w:t>有组织</w:t>
                  </w:r>
                </w:p>
              </w:tc>
              <w:tc>
                <w:tcPr>
                  <w:tcW w:w="1404" w:type="dxa"/>
                  <w:vAlign w:val="center"/>
                </w:tcPr>
                <w:p>
                  <w:pPr>
                    <w:widowControl w:val="0"/>
                    <w:spacing w:after="0" w:line="288"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0.032</w:t>
                  </w:r>
                </w:p>
              </w:tc>
              <w:tc>
                <w:tcPr>
                  <w:tcW w:w="1707" w:type="dxa"/>
                  <w:vAlign w:val="center"/>
                </w:tcPr>
                <w:p>
                  <w:pPr>
                    <w:widowControl w:val="0"/>
                    <w:spacing w:after="0" w:line="360" w:lineRule="auto"/>
                    <w:jc w:val="center"/>
                    <w:textAlignment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4" w:type="dxa"/>
                  <w:vMerge w:val="restart"/>
                  <w:vAlign w:val="center"/>
                </w:tcPr>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auto"/>
                      <w:kern w:val="24"/>
                      <w:sz w:val="21"/>
                      <w:szCs w:val="21"/>
                      <w:highlight w:val="none"/>
                      <w:lang w:val="en-US" w:eastAsia="zh-CN"/>
                    </w:rPr>
                  </w:pPr>
                  <w:r>
                    <w:rPr>
                      <w:rFonts w:hint="eastAsia" w:ascii="Times New Roman" w:hAnsi="Impact" w:eastAsia="宋体" w:cs="Times New Roman"/>
                      <w:color w:val="auto"/>
                      <w:kern w:val="24"/>
                      <w:sz w:val="21"/>
                      <w:szCs w:val="21"/>
                      <w:highlight w:val="none"/>
                      <w:lang w:val="en-US" w:eastAsia="zh-CN"/>
                    </w:rPr>
                    <w:t>烟粉尘</w:t>
                  </w:r>
                </w:p>
              </w:tc>
              <w:tc>
                <w:tcPr>
                  <w:tcW w:w="1461"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default" w:ascii="Times New Roman" w:hAnsi="Times New Roman" w:eastAsia="Times New Roman" w:cs="Times New Roman"/>
                      <w:color w:val="auto"/>
                      <w:kern w:val="2"/>
                      <w:sz w:val="21"/>
                      <w:szCs w:val="21"/>
                      <w:highlight w:val="none"/>
                      <w:lang w:val="en-US" w:eastAsia="zh-CN"/>
                    </w:rPr>
                    <w:t>有组织</w:t>
                  </w:r>
                </w:p>
              </w:tc>
              <w:tc>
                <w:tcPr>
                  <w:tcW w:w="1404" w:type="dxa"/>
                  <w:vAlign w:val="center"/>
                </w:tcPr>
                <w:p>
                  <w:pPr>
                    <w:widowControl w:val="0"/>
                    <w:spacing w:after="0" w:line="288"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0.015</w:t>
                  </w:r>
                </w:p>
              </w:tc>
              <w:tc>
                <w:tcPr>
                  <w:tcW w:w="1707" w:type="dxa"/>
                  <w:vMerge w:val="restart"/>
                  <w:vAlign w:val="center"/>
                </w:tcPr>
                <w:p>
                  <w:pPr>
                    <w:widowControl w:val="0"/>
                    <w:spacing w:after="0" w:line="360" w:lineRule="auto"/>
                    <w:jc w:val="center"/>
                    <w:textAlignment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4" w:type="dxa"/>
                  <w:vMerge w:val="continue"/>
                  <w:vAlign w:val="center"/>
                </w:tcPr>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auto"/>
                      <w:kern w:val="24"/>
                      <w:sz w:val="21"/>
                      <w:szCs w:val="21"/>
                      <w:highlight w:val="none"/>
                      <w:lang w:val="en-US" w:eastAsia="zh-CN"/>
                    </w:rPr>
                  </w:pPr>
                </w:p>
              </w:tc>
              <w:tc>
                <w:tcPr>
                  <w:tcW w:w="1461"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default" w:ascii="Times New Roman" w:hAnsi="Times New Roman" w:eastAsia="Times New Roman" w:cs="Times New Roman"/>
                      <w:color w:val="auto"/>
                      <w:kern w:val="2"/>
                      <w:sz w:val="21"/>
                      <w:szCs w:val="21"/>
                      <w:highlight w:val="none"/>
                      <w:lang w:val="en-US" w:eastAsia="zh-CN"/>
                    </w:rPr>
                    <w:t>无组织</w:t>
                  </w:r>
                </w:p>
              </w:tc>
              <w:tc>
                <w:tcPr>
                  <w:tcW w:w="1404" w:type="dxa"/>
                  <w:vAlign w:val="center"/>
                </w:tcPr>
                <w:p>
                  <w:pPr>
                    <w:widowControl w:val="0"/>
                    <w:spacing w:after="0" w:line="288"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0.101</w:t>
                  </w:r>
                </w:p>
              </w:tc>
              <w:tc>
                <w:tcPr>
                  <w:tcW w:w="1707" w:type="dxa"/>
                  <w:vMerge w:val="continue"/>
                  <w:vAlign w:val="center"/>
                </w:tcPr>
                <w:p>
                  <w:pPr>
                    <w:widowControl w:val="0"/>
                    <w:spacing w:after="0" w:line="360" w:lineRule="auto"/>
                    <w:jc w:val="center"/>
                    <w:textAlignment w:val="center"/>
                    <w:rPr>
                      <w:rFonts w:ascii="Times New Roman" w:hAnsi="Times New Roman" w:eastAsia="宋体" w:cs="Times New Roman"/>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4" w:type="dxa"/>
                  <w:vMerge w:val="restart"/>
                  <w:vAlign w:val="center"/>
                </w:tcPr>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auto"/>
                      <w:kern w:val="24"/>
                      <w:sz w:val="21"/>
                      <w:szCs w:val="21"/>
                      <w:highlight w:val="none"/>
                      <w:lang w:val="en-US" w:eastAsia="zh-CN"/>
                    </w:rPr>
                  </w:pPr>
                  <w:r>
                    <w:rPr>
                      <w:rFonts w:hint="eastAsia" w:ascii="Times New Roman" w:hAnsi="Impact" w:eastAsia="宋体" w:cs="Times New Roman"/>
                      <w:color w:val="auto"/>
                      <w:kern w:val="24"/>
                      <w:sz w:val="21"/>
                      <w:szCs w:val="21"/>
                      <w:highlight w:val="none"/>
                      <w:lang w:val="en-US" w:eastAsia="zh-CN"/>
                    </w:rPr>
                    <w:t>VOCs</w:t>
                  </w:r>
                </w:p>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auto"/>
                      <w:kern w:val="24"/>
                      <w:sz w:val="21"/>
                      <w:szCs w:val="21"/>
                      <w:highlight w:val="none"/>
                      <w:lang w:val="en-US" w:eastAsia="zh-CN"/>
                    </w:rPr>
                  </w:pPr>
                  <w:r>
                    <w:rPr>
                      <w:rFonts w:hint="eastAsia" w:ascii="Times New Roman" w:hAnsi="Impact" w:eastAsia="宋体" w:cs="Times New Roman"/>
                      <w:color w:val="auto"/>
                      <w:kern w:val="24"/>
                      <w:sz w:val="21"/>
                      <w:szCs w:val="21"/>
                      <w:highlight w:val="none"/>
                      <w:lang w:val="en-US" w:eastAsia="zh-CN"/>
                    </w:rPr>
                    <w:t>（以非甲烷总烃计）</w:t>
                  </w:r>
                </w:p>
              </w:tc>
              <w:tc>
                <w:tcPr>
                  <w:tcW w:w="1461"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default" w:ascii="Times New Roman" w:hAnsi="Times New Roman" w:eastAsia="Times New Roman" w:cs="Times New Roman"/>
                      <w:color w:val="auto"/>
                      <w:kern w:val="2"/>
                      <w:sz w:val="21"/>
                      <w:szCs w:val="21"/>
                      <w:highlight w:val="none"/>
                      <w:lang w:val="en-US" w:eastAsia="zh-CN"/>
                    </w:rPr>
                    <w:t>有组织</w:t>
                  </w:r>
                </w:p>
              </w:tc>
              <w:tc>
                <w:tcPr>
                  <w:tcW w:w="1404"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eastAsia" w:ascii="Times New Roman" w:hAnsi="Times New Roman" w:eastAsia="Times New Roman" w:cs="Times New Roman"/>
                      <w:color w:val="auto"/>
                      <w:kern w:val="2"/>
                      <w:sz w:val="21"/>
                      <w:szCs w:val="21"/>
                      <w:highlight w:val="none"/>
                      <w:lang w:val="en-US" w:eastAsia="zh-CN"/>
                    </w:rPr>
                    <w:t>0.032</w:t>
                  </w:r>
                </w:p>
              </w:tc>
              <w:tc>
                <w:tcPr>
                  <w:tcW w:w="1707" w:type="dxa"/>
                  <w:vMerge w:val="restart"/>
                  <w:vAlign w:val="center"/>
                </w:tcPr>
                <w:p>
                  <w:pPr>
                    <w:widowControl w:val="0"/>
                    <w:autoSpaceDE w:val="0"/>
                    <w:autoSpaceDN w:val="0"/>
                    <w:adjustRightInd w:val="0"/>
                    <w:spacing w:line="360" w:lineRule="auto"/>
                    <w:jc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44" w:type="dxa"/>
                  <w:vMerge w:val="continue"/>
                  <w:vAlign w:val="center"/>
                </w:tcPr>
                <w:p>
                  <w:pPr>
                    <w:widowControl w:val="0"/>
                    <w:tabs>
                      <w:tab w:val="left" w:pos="607"/>
                    </w:tabs>
                    <w:autoSpaceDE w:val="0"/>
                    <w:autoSpaceDN w:val="0"/>
                    <w:adjustRightInd w:val="0"/>
                    <w:snapToGrid w:val="0"/>
                    <w:spacing w:line="360" w:lineRule="auto"/>
                    <w:jc w:val="center"/>
                    <w:rPr>
                      <w:rFonts w:ascii="Times New Roman" w:hAnsi="Times New Roman" w:eastAsia="宋体" w:cs="Times New Roman"/>
                      <w:bCs/>
                      <w:color w:val="auto"/>
                      <w:sz w:val="21"/>
                      <w:szCs w:val="21"/>
                      <w:highlight w:val="none"/>
                      <w:lang w:val="en-US" w:eastAsia="zh-CN" w:bidi="ar-SA"/>
                    </w:rPr>
                  </w:pPr>
                </w:p>
              </w:tc>
              <w:tc>
                <w:tcPr>
                  <w:tcW w:w="1461"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default" w:ascii="Times New Roman" w:hAnsi="Times New Roman" w:eastAsia="Times New Roman" w:cs="Times New Roman"/>
                      <w:color w:val="auto"/>
                      <w:kern w:val="2"/>
                      <w:sz w:val="21"/>
                      <w:szCs w:val="21"/>
                      <w:highlight w:val="none"/>
                      <w:lang w:val="en-US" w:eastAsia="zh-CN"/>
                    </w:rPr>
                    <w:t>无组织</w:t>
                  </w:r>
                </w:p>
              </w:tc>
              <w:tc>
                <w:tcPr>
                  <w:tcW w:w="1404" w:type="dxa"/>
                  <w:vAlign w:val="center"/>
                </w:tcPr>
                <w:p>
                  <w:pPr>
                    <w:widowControl w:val="0"/>
                    <w:spacing w:after="0" w:line="288" w:lineRule="auto"/>
                    <w:jc w:val="center"/>
                    <w:rPr>
                      <w:rFonts w:hint="default" w:ascii="Times New Roman" w:hAnsi="Times New Roman" w:eastAsia="Times New Roman" w:cs="Times New Roman"/>
                      <w:color w:val="auto"/>
                      <w:kern w:val="2"/>
                      <w:sz w:val="21"/>
                      <w:szCs w:val="21"/>
                      <w:highlight w:val="none"/>
                      <w:lang w:val="en-US" w:eastAsia="zh-CN"/>
                    </w:rPr>
                  </w:pPr>
                  <w:r>
                    <w:rPr>
                      <w:rFonts w:hint="eastAsia" w:ascii="Times New Roman" w:hAnsi="Times New Roman" w:eastAsia="Times New Roman" w:cs="Times New Roman"/>
                      <w:color w:val="auto"/>
                      <w:kern w:val="2"/>
                      <w:sz w:val="21"/>
                      <w:szCs w:val="21"/>
                      <w:highlight w:val="none"/>
                      <w:lang w:val="en-US" w:eastAsia="zh-CN"/>
                    </w:rPr>
                    <w:t>0.04</w:t>
                  </w:r>
                </w:p>
              </w:tc>
              <w:tc>
                <w:tcPr>
                  <w:tcW w:w="1707" w:type="dxa"/>
                  <w:vMerge w:val="continue"/>
                  <w:vAlign w:val="center"/>
                </w:tcPr>
                <w:p>
                  <w:pPr>
                    <w:widowControl w:val="0"/>
                    <w:autoSpaceDE w:val="0"/>
                    <w:autoSpaceDN w:val="0"/>
                    <w:adjustRightInd w:val="0"/>
                    <w:spacing w:line="360" w:lineRule="auto"/>
                    <w:jc w:val="center"/>
                    <w:rPr>
                      <w:rFonts w:ascii="Times New Roman" w:hAnsi="Times New Roman" w:eastAsia="宋体" w:cs="Times New Roman"/>
                      <w:color w:val="auto"/>
                      <w:sz w:val="21"/>
                      <w:szCs w:val="21"/>
                      <w:highlight w:val="none"/>
                      <w:lang w:val="en-US" w:eastAsia="zh-CN" w:bidi="ar-SA"/>
                    </w:rPr>
                  </w:pPr>
                </w:p>
              </w:tc>
            </w:tr>
          </w:tbl>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废水：项目生活污水进入</w:t>
            </w:r>
            <w:r>
              <w:rPr>
                <w:rFonts w:hint="eastAsia" w:ascii="Times New Roman" w:hAnsi="Times New Roman" w:eastAsia="宋体" w:cs="Times New Roman"/>
                <w:color w:val="auto"/>
                <w:kern w:val="2"/>
                <w:sz w:val="24"/>
                <w:szCs w:val="24"/>
                <w:highlight w:val="none"/>
              </w:rPr>
              <w:t>开平市</w:t>
            </w:r>
            <w:r>
              <w:rPr>
                <w:rFonts w:ascii="Times New Roman" w:hAnsi="Times New Roman" w:eastAsia="宋体" w:cs="Times New Roman"/>
                <w:color w:val="auto"/>
                <w:kern w:val="2"/>
                <w:sz w:val="24"/>
                <w:szCs w:val="24"/>
                <w:highlight w:val="none"/>
              </w:rPr>
              <w:t>水口污水处理厂处理，水污染物排放总量由区域性调控解决，不分配CODcr、氨氮等总量控制指标。</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lang w:val="en-US" w:eastAsia="zh-CN" w:bidi="ar-SA"/>
              </w:rPr>
            </w:pPr>
          </w:p>
        </w:tc>
      </w:tr>
    </w:tbl>
    <w:p>
      <w:pPr>
        <w:rPr>
          <w:rFonts w:hint="default" w:ascii="Times New Roman" w:hAnsi="Times New Roman" w:cs="Times New Roman"/>
          <w:b/>
          <w:color w:val="FF0000"/>
          <w:sz w:val="30"/>
        </w:rPr>
        <w:sectPr>
          <w:headerReference r:id="rId9" w:type="default"/>
          <w:pgSz w:w="11906" w:h="16838"/>
          <w:pgMar w:top="1304" w:right="1134" w:bottom="1134" w:left="1304" w:header="851" w:footer="851" w:gutter="0"/>
          <w:pgBorders>
            <w:top w:val="none" w:sz="0" w:space="0"/>
            <w:left w:val="none" w:sz="0" w:space="0"/>
            <w:bottom w:val="none" w:sz="0" w:space="0"/>
            <w:right w:val="none" w:sz="0" w:space="0"/>
          </w:pgBorders>
          <w:cols w:space="720" w:num="1"/>
          <w:docGrid w:type="lines" w:linePitch="312" w:charSpace="0"/>
        </w:sectPr>
      </w:pPr>
    </w:p>
    <w:p>
      <w:pPr>
        <w:pStyle w:val="14"/>
        <w:pageBreakBefore/>
        <w:widowControl w:val="0"/>
        <w:spacing w:before="0" w:line="360" w:lineRule="auto"/>
        <w:rPr>
          <w:rFonts w:hint="default" w:ascii="Times New Roman" w:hAnsi="Times New Roman" w:cs="Times New Roman"/>
          <w:color w:val="auto"/>
        </w:rPr>
      </w:pPr>
      <w:bookmarkStart w:id="8" w:name="_Toc514773522"/>
      <w:bookmarkStart w:id="9" w:name="_Toc472601261"/>
      <w:r>
        <w:rPr>
          <w:rFonts w:hint="default" w:ascii="Times New Roman" w:hAnsi="Times New Roman" w:cs="Times New Roman"/>
          <w:color w:val="auto"/>
        </w:rPr>
        <w:t>五、</w:t>
      </w:r>
      <w:r>
        <w:rPr>
          <w:rFonts w:hint="default" w:ascii="Times New Roman" w:hAnsi="Times New Roman" w:eastAsia="宋体" w:cs="Times New Roman"/>
          <w:bCs w:val="0"/>
          <w:color w:val="auto"/>
          <w:kern w:val="44"/>
          <w:sz w:val="30"/>
          <w:szCs w:val="20"/>
        </w:rPr>
        <w:t>建设项目</w:t>
      </w:r>
      <w:r>
        <w:rPr>
          <w:rFonts w:hint="default" w:ascii="Times New Roman" w:hAnsi="Times New Roman" w:cs="Times New Roman"/>
          <w:color w:val="auto"/>
        </w:rPr>
        <w:t>工程分析</w:t>
      </w:r>
      <w:bookmarkEnd w:id="8"/>
      <w:bookmarkEnd w:id="9"/>
    </w:p>
    <w:tbl>
      <w:tblPr>
        <w:tblStyle w:val="43"/>
        <w:tblW w:w="95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9586" w:type="dxa"/>
            <w:tcBorders>
              <w:bottom w:val="single" w:color="auto" w:sz="4" w:space="0"/>
            </w:tcBorders>
          </w:tcPr>
          <w:p>
            <w:pPr>
              <w:widowControl w:val="0"/>
              <w:numPr>
                <w:ilvl w:val="0"/>
                <w:numId w:val="6"/>
              </w:numPr>
              <w:spacing w:after="0" w:line="312" w:lineRule="auto"/>
              <w:ind w:left="510" w:hanging="510"/>
              <w:jc w:val="both"/>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工艺流程简述(图示):</w:t>
            </w:r>
          </w:p>
          <w:p>
            <w:pPr>
              <w:widowControl w:val="0"/>
              <w:spacing w:after="0" w:line="276" w:lineRule="auto"/>
              <w:jc w:val="both"/>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（注：G</w:t>
            </w:r>
            <w:r>
              <w:rPr>
                <w:rFonts w:hint="eastAsia" w:ascii="Times New Roman" w:hAnsi="Times New Roman" w:eastAsia="宋体" w:cs="Times New Roman"/>
                <w:b/>
                <w:bCs/>
                <w:color w:val="auto"/>
                <w:kern w:val="2"/>
                <w:sz w:val="21"/>
                <w:szCs w:val="21"/>
                <w:highlight w:val="none"/>
                <w:vertAlign w:val="subscript"/>
              </w:rPr>
              <w:t>1</w:t>
            </w:r>
            <w:r>
              <w:rPr>
                <w:rFonts w:hint="eastAsia" w:ascii="Times New Roman" w:hAnsi="Times New Roman" w:eastAsia="宋体" w:cs="Times New Roman"/>
                <w:b/>
                <w:bCs/>
                <w:color w:val="auto"/>
                <w:kern w:val="2"/>
                <w:sz w:val="21"/>
                <w:szCs w:val="21"/>
                <w:highlight w:val="none"/>
              </w:rPr>
              <w:t>为粉尘、</w:t>
            </w:r>
            <w:r>
              <w:rPr>
                <w:rFonts w:ascii="Times New Roman" w:hAnsi="Times New Roman" w:eastAsia="宋体" w:cs="Times New Roman"/>
                <w:b/>
                <w:bCs/>
                <w:color w:val="auto"/>
                <w:kern w:val="2"/>
                <w:sz w:val="21"/>
                <w:szCs w:val="21"/>
                <w:highlight w:val="none"/>
              </w:rPr>
              <w:t>G</w:t>
            </w:r>
            <w:r>
              <w:rPr>
                <w:rFonts w:hint="eastAsia" w:ascii="Times New Roman" w:hAnsi="Times New Roman" w:eastAsia="宋体" w:cs="Times New Roman"/>
                <w:b/>
                <w:bCs/>
                <w:color w:val="auto"/>
                <w:kern w:val="2"/>
                <w:sz w:val="21"/>
                <w:szCs w:val="21"/>
                <w:highlight w:val="none"/>
                <w:vertAlign w:val="subscript"/>
              </w:rPr>
              <w:t>2</w:t>
            </w:r>
            <w:r>
              <w:rPr>
                <w:rFonts w:hint="eastAsia" w:ascii="Times New Roman" w:hAnsi="Times New Roman" w:eastAsia="宋体" w:cs="Times New Roman"/>
                <w:b/>
                <w:bCs/>
                <w:color w:val="auto"/>
                <w:kern w:val="2"/>
                <w:sz w:val="21"/>
                <w:szCs w:val="21"/>
                <w:highlight w:val="none"/>
              </w:rPr>
              <w:t>为非甲烷总烃、</w:t>
            </w:r>
            <w:r>
              <w:rPr>
                <w:rFonts w:ascii="Times New Roman" w:hAnsi="Times New Roman" w:eastAsia="宋体" w:cs="Times New Roman"/>
                <w:b/>
                <w:bCs/>
                <w:color w:val="auto"/>
                <w:kern w:val="2"/>
                <w:sz w:val="21"/>
                <w:szCs w:val="21"/>
                <w:highlight w:val="none"/>
              </w:rPr>
              <w:t>G</w:t>
            </w:r>
            <w:r>
              <w:rPr>
                <w:rFonts w:hint="eastAsia" w:ascii="Times New Roman" w:hAnsi="Times New Roman" w:eastAsia="宋体" w:cs="Times New Roman"/>
                <w:b/>
                <w:bCs/>
                <w:color w:val="auto"/>
                <w:kern w:val="2"/>
                <w:sz w:val="21"/>
                <w:szCs w:val="21"/>
                <w:highlight w:val="none"/>
                <w:vertAlign w:val="subscript"/>
              </w:rPr>
              <w:t>3</w:t>
            </w:r>
            <w:r>
              <w:rPr>
                <w:rFonts w:hint="eastAsia" w:ascii="Times New Roman" w:hAnsi="Times New Roman" w:eastAsia="宋体" w:cs="Times New Roman"/>
                <w:b/>
                <w:bCs/>
                <w:color w:val="auto"/>
                <w:kern w:val="2"/>
                <w:sz w:val="21"/>
                <w:szCs w:val="21"/>
                <w:highlight w:val="none"/>
              </w:rPr>
              <w:t>为燃料废气</w:t>
            </w:r>
            <w:r>
              <w:rPr>
                <w:rFonts w:ascii="Times New Roman" w:hAnsi="Times New Roman" w:eastAsia="宋体" w:cs="Times New Roman"/>
                <w:b/>
                <w:bCs/>
                <w:color w:val="auto"/>
                <w:kern w:val="2"/>
                <w:sz w:val="21"/>
                <w:szCs w:val="21"/>
                <w:highlight w:val="none"/>
              </w:rPr>
              <w:t>；</w:t>
            </w:r>
            <w:r>
              <w:rPr>
                <w:rFonts w:hint="eastAsia" w:ascii="Times New Roman" w:hAnsi="Times New Roman" w:eastAsia="宋体" w:cs="Times New Roman"/>
                <w:b/>
                <w:bCs/>
                <w:color w:val="auto"/>
                <w:kern w:val="2"/>
                <w:sz w:val="21"/>
                <w:szCs w:val="21"/>
                <w:highlight w:val="none"/>
              </w:rPr>
              <w:t xml:space="preserve"> S</w:t>
            </w:r>
            <w:r>
              <w:rPr>
                <w:rFonts w:hint="eastAsia" w:ascii="Times New Roman" w:hAnsi="Times New Roman" w:eastAsia="宋体" w:cs="Times New Roman"/>
                <w:b/>
                <w:bCs/>
                <w:color w:val="auto"/>
                <w:kern w:val="2"/>
                <w:sz w:val="21"/>
                <w:szCs w:val="21"/>
                <w:highlight w:val="none"/>
                <w:vertAlign w:val="subscript"/>
              </w:rPr>
              <w:t>1</w:t>
            </w:r>
            <w:r>
              <w:rPr>
                <w:rFonts w:hint="eastAsia" w:ascii="Times New Roman" w:hAnsi="Times New Roman" w:eastAsia="宋体" w:cs="Times New Roman"/>
                <w:b/>
                <w:bCs/>
                <w:color w:val="auto"/>
                <w:kern w:val="2"/>
                <w:sz w:val="21"/>
                <w:szCs w:val="21"/>
                <w:highlight w:val="none"/>
              </w:rPr>
              <w:t>为一般工业固废、S</w:t>
            </w:r>
            <w:r>
              <w:rPr>
                <w:rFonts w:hint="eastAsia" w:ascii="Times New Roman" w:hAnsi="Times New Roman" w:eastAsia="宋体" w:cs="Times New Roman"/>
                <w:b/>
                <w:bCs/>
                <w:color w:val="auto"/>
                <w:kern w:val="2"/>
                <w:sz w:val="21"/>
                <w:szCs w:val="21"/>
                <w:highlight w:val="none"/>
                <w:vertAlign w:val="subscript"/>
              </w:rPr>
              <w:t>2</w:t>
            </w:r>
            <w:r>
              <w:rPr>
                <w:rFonts w:hint="eastAsia" w:ascii="Times New Roman" w:hAnsi="Times New Roman" w:eastAsia="宋体" w:cs="Times New Roman"/>
                <w:b/>
                <w:bCs/>
                <w:color w:val="auto"/>
                <w:kern w:val="2"/>
                <w:sz w:val="21"/>
                <w:szCs w:val="21"/>
                <w:highlight w:val="none"/>
              </w:rPr>
              <w:t>为危险废物；N</w:t>
            </w:r>
            <w:r>
              <w:rPr>
                <w:rFonts w:ascii="Times New Roman" w:hAnsi="Times New Roman" w:eastAsia="宋体" w:cs="Times New Roman"/>
                <w:b/>
                <w:bCs/>
                <w:color w:val="auto"/>
                <w:kern w:val="2"/>
                <w:sz w:val="21"/>
                <w:szCs w:val="21"/>
                <w:highlight w:val="none"/>
              </w:rPr>
              <w:t>为噪声</w:t>
            </w:r>
            <w:r>
              <w:rPr>
                <w:rFonts w:hint="eastAsia" w:ascii="Times New Roman" w:hAnsi="Times New Roman" w:eastAsia="宋体" w:cs="Times New Roman"/>
                <w:b/>
                <w:bCs/>
                <w:color w:val="auto"/>
                <w:kern w:val="2"/>
                <w:sz w:val="21"/>
                <w:szCs w:val="21"/>
                <w:highlight w:val="none"/>
              </w:rPr>
              <w:t>。</w:t>
            </w:r>
            <w:r>
              <w:rPr>
                <w:rFonts w:ascii="Times New Roman" w:hAnsi="Times New Roman" w:eastAsia="宋体" w:cs="Times New Roman"/>
                <w:b/>
                <w:bCs/>
                <w:color w:val="auto"/>
                <w:kern w:val="2"/>
                <w:sz w:val="21"/>
                <w:szCs w:val="21"/>
                <w:highlight w:val="none"/>
              </w:rPr>
              <w:t>）</w:t>
            </w:r>
          </w:p>
          <w:p>
            <w:pPr>
              <w:widowControl w:val="0"/>
              <w:spacing w:after="0" w:line="360" w:lineRule="auto"/>
              <w:jc w:val="both"/>
              <w:rPr>
                <w:rFonts w:ascii="Times New Roman" w:hAnsi="Times New Roman" w:eastAsia="宋体" w:cs="Times New Roman"/>
                <w:b/>
                <w:bCs/>
                <w:color w:val="FF0000"/>
                <w:kern w:val="2"/>
                <w:sz w:val="24"/>
                <w:szCs w:val="24"/>
                <w:highlight w:val="none"/>
              </w:rPr>
            </w:pPr>
            <w:r>
              <w:rPr>
                <w:rFonts w:ascii="Times New Roman" w:hAnsi="Times New Roman" w:eastAsia="宋体" w:cs="Times New Roman"/>
                <w:color w:val="FF0000"/>
                <w:kern w:val="2"/>
                <w:sz w:val="21"/>
                <w:szCs w:val="24"/>
                <w:highlight w:val="none"/>
              </w:rPr>
              <w:pict>
                <v:group id="画布 114" o:spid="_x0000_s2152" o:spt="203" style="height:114.3pt;width:466.65pt;" coordorigin="0,-116840" coordsize="5925827,1451609" editas="canvas">
                  <o:lock v:ext="edit"/>
                  <v:shape id="画布 114" o:spid="_x0000_s2153" o:spt="75" type="#_x0000_t75" style="position:absolute;left:0;top:-116840;height:1451609;width:5925827;" filled="f" stroked="f" coordsize="21600,21600">
                    <v:path/>
                    <v:fill on="f" focussize="0,0"/>
                    <v:stroke on="f"/>
                    <v:imagedata o:title=""/>
                    <o:lock v:ext="edit" rotation="t" aspectratio="t"/>
                  </v:shape>
                  <v:shape id="文本框 105" o:spid="_x0000_s2154" o:spt="202" type="#_x0000_t202" style="position:absolute;left:3818486;top:329565;height:291465;width:815254;"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kern w:val="2"/>
                              <w:sz w:val="21"/>
                              <w:szCs w:val="24"/>
                              <w:lang w:val="en-US" w:eastAsia="zh-CN"/>
                            </w:rPr>
                            <w:t>抛光</w:t>
                          </w:r>
                        </w:p>
                      </w:txbxContent>
                    </v:textbox>
                  </v:shape>
                  <v:shape id="自选图形 2700" o:spid="_x0000_s2155" o:spt="32" type="#_x0000_t32" style="position:absolute;left:946685;top:468630;height:635;width:25460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OsMEAAADcAAAADwAAAGRycy9kb3ducmV2LnhtbERPTUvDQBC9C/0PyxS82V17qBK7LbVU&#10;8FQwCnocstMkNDsbMtM29te7guBtHu9zlusxduZMg7SJPdzPHBjiKoWWaw8f7y93j2BEkQN2icnD&#10;NwmsV5ObJRYhXfiNzqXWJoewFOihUe0La6VqKKLMUk+cuUMaImqGQ23DgJccHjs7d25hI7acGxrs&#10;adtQdSxP0YPunvfd4eFo9euznMv2WjuRjfe303HzBEZp1H/xn/s15PluAb/P5Avs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I6wwQAAANwAAAAPAAAAAAAAAAAAAAAA&#10;AKECAABkcnMvZG93bnJldi54bWxQSwUGAAAAAAQABAD5AAAAjwMAAAAA&#10;">
                    <v:path arrowok="t"/>
                    <v:fill on="f" focussize="0,0"/>
                    <v:stroke weight="0.25pt" color="#000000" endarrow="block"/>
                    <v:imagedata o:title=""/>
                    <o:lock v:ext="edit" aspectratio="f"/>
                  </v:shape>
                  <v:shape id="文本框 2706" o:spid="_x0000_s2156" o:spt="202" type="#_x0000_t202" style="position:absolute;left:1210817;top:317500;height:295275;width:561281;"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kern w:val="2"/>
                              <w:sz w:val="21"/>
                              <w:szCs w:val="24"/>
                              <w:lang w:val="en-US" w:eastAsia="zh-CN"/>
                            </w:rPr>
                            <w:t>开料</w:t>
                          </w:r>
                        </w:p>
                      </w:txbxContent>
                    </v:textbox>
                  </v:shape>
                  <v:shape id="自选图形 2700" o:spid="_x0000_s2157" o:spt="32" type="#_x0000_t32" style="position:absolute;left:1791145;top:467360;height:1270;width:25460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u/WcMAAADcAAAADwAAAGRycy9kb3ducmV2LnhtbESPQUsDQQyF74L/YYjgzc7Yg8raaalF&#10;wZPgKugx7KS7S3cyyya2q7/eHARvCe/lvS+rzZwHd6RJ+sIRrhcBHHFTUs9thPe3p6s7cKLICYfC&#10;FOGbBDbr87MVVqmc+JWOtbbOQlgqjNCpjpX30nSUURZlJDZtX6aMauvU+jThycLz4Jch3PiMPVtD&#10;hyPtOmoO9VeOoI8PL8P+9uD186Neyu6nDSLbGC8v5u09OKVZ/81/18/J8IPR2jM2gV//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7v1nDAAAA3AAAAA8AAAAAAAAAAAAA&#10;AAAAoQIAAGRycy9kb3ducmV2LnhtbFBLBQYAAAAABAAEAPkAAACRAwAAAAA=&#10;">
                    <v:path arrowok="t"/>
                    <v:fill on="f" focussize="0,0"/>
                    <v:stroke weight="0.25pt" color="#000000" endarrow="block"/>
                    <v:imagedata o:title=""/>
                    <o:lock v:ext="edit" aspectratio="f"/>
                  </v:shape>
                  <v:shape id="文本框 2699" o:spid="_x0000_s2158" o:spt="202" type="#_x0000_t202" style="position:absolute;left:2064801;top:320040;height:294640;width:556836;"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kern w:val="2"/>
                              <w:sz w:val="21"/>
                              <w:szCs w:val="24"/>
                              <w:lang w:val="en-US" w:eastAsia="zh-CN"/>
                            </w:rPr>
                            <w:t>红冲</w:t>
                          </w:r>
                        </w:p>
                      </w:txbxContent>
                    </v:textbox>
                  </v:shape>
                  <v:shape id="自选图形 2700" o:spid="_x0000_s2159" o:spt="32" type="#_x0000_t32" style="position:absolute;left:2630527;top:478790;height:635;width:25460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QlgsQAAADcAAAADwAAAGRycy9kb3ducmV2LnhtbESPQUvDQBCF70L/wzIFb3bTHlRit6UW&#10;BU+CsaDHITtNQrOzITO20V/vHARvM7w3732z3k6pd2capcscYLkowBHXOXbcBDi8P9/cgxNFjthn&#10;pgDfJLDdzK7WWMZ84Tc6V9o4C2EpMUCrOpTeS91SQlnkgdi0Yx4Tqq1j4+OIFwtPvV8Vxa1P2LE1&#10;tDjQvqX6VH2lAPr0+Nof705ePz+qlex/mkJkF8L1fNo9gFOa9N/8d/0SDX9p+PaMTe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CWCxAAAANwAAAAPAAAAAAAAAAAA&#10;AAAAAKECAABkcnMvZG93bnJldi54bWxQSwUGAAAAAAQABAD5AAAAkgMAAAAA&#10;">
                    <v:path arrowok="t"/>
                    <v:fill on="f" focussize="0,0"/>
                    <v:stroke weight="0.25pt" color="#000000" endarrow="block"/>
                    <v:imagedata o:title=""/>
                    <o:lock v:ext="edit" aspectratio="f"/>
                  </v:shape>
                  <v:shape id="文本框 2703" o:spid="_x0000_s2160" o:spt="202" type="#_x0000_t202" style="position:absolute;left:339689;top:310515;height:294640;width:589853;"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kern w:val="2"/>
                              <w:sz w:val="21"/>
                              <w:szCs w:val="24"/>
                              <w:lang w:val="en-US" w:eastAsia="zh-CN"/>
                            </w:rPr>
                            <w:t>黄铜棒</w:t>
                          </w:r>
                        </w:p>
                      </w:txbxContent>
                    </v:textbox>
                  </v:shape>
                  <v:shape id="文本框 2703" o:spid="_x0000_s2161" o:spt="202" type="#_x0000_t202" style="position:absolute;left:1130180;top:41910;height:294640;width:734617;" filled="f" stroked="f" coordsize="21600,21600">
                    <v:path/>
                    <v:fill on="f" focussize="0,0"/>
                    <v:stroke on="f" weight="0.25pt"/>
                    <v:imagedata o:title=""/>
                    <o:lock v:ext="edit" aspectratio="f"/>
                    <v:textbox>
                      <w:txbxContent>
                        <w:p>
                          <w:pPr>
                            <w:widowControl w:val="0"/>
                            <w:spacing w:after="0" w:line="240" w:lineRule="auto"/>
                            <w:ind w:firstLine="105" w:firstLineChars="50"/>
                            <w:jc w:val="both"/>
                            <w:rPr>
                              <w:rFonts w:ascii="Times New Roman" w:hAnsi="Times New Roman" w:eastAsia="宋体" w:cs="Times New Roman"/>
                              <w:kern w:val="2"/>
                              <w:sz w:val="21"/>
                              <w:szCs w:val="24"/>
                            </w:rPr>
                          </w:pPr>
                          <w:r>
                            <w:rPr>
                              <w:rFonts w:ascii="Times New Roman" w:hAnsi="Times New Roman" w:eastAsia="宋体" w:cs="Times New Roman"/>
                              <w:bCs/>
                              <w:color w:val="auto"/>
                              <w:kern w:val="2"/>
                              <w:sz w:val="21"/>
                              <w:szCs w:val="24"/>
                            </w:rPr>
                            <w:t>G</w:t>
                          </w:r>
                          <w:r>
                            <w:rPr>
                              <w:rFonts w:hint="eastAsia" w:ascii="Times New Roman" w:hAnsi="Times New Roman" w:eastAsia="宋体" w:cs="Times New Roman"/>
                              <w:bCs/>
                              <w:color w:val="auto"/>
                              <w:kern w:val="2"/>
                              <w:sz w:val="21"/>
                              <w:szCs w:val="24"/>
                              <w:vertAlign w:val="subscript"/>
                              <w:lang w:val="en-US" w:eastAsia="zh-CN"/>
                            </w:rPr>
                            <w:t>1</w:t>
                          </w:r>
                          <w:r>
                            <w:rPr>
                              <w:rFonts w:hint="eastAsia" w:ascii="Times New Roman" w:hAnsi="Times New Roman" w:eastAsia="宋体" w:cs="Times New Roman"/>
                              <w:kern w:val="2"/>
                              <w:sz w:val="21"/>
                              <w:szCs w:val="24"/>
                            </w:rPr>
                            <w:t>N</w:t>
                          </w:r>
                        </w:p>
                      </w:txbxContent>
                    </v:textbox>
                  </v:shape>
                  <v:shape id="文本框 2699" o:spid="_x0000_s2162" o:spt="202" type="#_x0000_t202" style="position:absolute;left:2903548;top:329565;height:292100;width:638107;"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kern w:val="2"/>
                              <w:sz w:val="21"/>
                              <w:szCs w:val="24"/>
                              <w:lang w:val="en-US" w:eastAsia="zh-CN"/>
                            </w:rPr>
                            <w:t>机加工</w:t>
                          </w:r>
                        </w:p>
                      </w:txbxContent>
                    </v:textbox>
                  </v:shape>
                  <v:shape id="自选图形 2700" o:spid="_x0000_s2163" o:spt="32" type="#_x0000_t32" style="position:absolute;left:3551179;top:481965;height:0;width:253973;"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QlgsQAAADcAAAADwAAAGRycy9kb3ducmV2LnhtbESPQUvDQBCF70L/wzIFb3bTHlRit6UW&#10;BU+CsaDHITtNQrOzITO20V/vHARvM7w3732z3k6pd2capcscYLkowBHXOXbcBDi8P9/cgxNFjthn&#10;pgDfJLDdzK7WWMZ84Tc6V9o4C2EpMUCrOpTeS91SQlnkgdi0Yx4Tqq1j4+OIFwtPvV8Vxa1P2LE1&#10;tDjQvqX6VH2lAPr0+Nof705ePz+qlex/mkJkF8L1fNo9gFOa9N/8d/0SDX9p+PaMTe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CWCxAAAANwAAAAPAAAAAAAAAAAA&#10;AAAAAKECAABkcnMvZG93bnJldi54bWxQSwUGAAAAAAQABAD5AAAAkgMAAAAA&#10;">
                    <v:path arrowok="t"/>
                    <v:fill on="f" focussize="0,0"/>
                    <v:stroke weight="0.25pt" color="#000000" endarrow="block"/>
                    <v:imagedata o:title=""/>
                    <o:lock v:ext="edit" aspectratio="f"/>
                  </v:shape>
                  <v:shape id="文本框 2703" o:spid="_x0000_s2164" o:spt="202" type="#_x0000_t202" style="position:absolute;left:3874995;top:43815;height:292100;width:648266;" filled="f" stroked="f" coordsize="21600,21600">
                    <v:path/>
                    <v:fill on="f" focussize="0,0"/>
                    <v:stroke on="f" weight="0.25pt"/>
                    <v:imagedata o:title=""/>
                    <o:lock v:ext="edit" aspectratio="f"/>
                    <v:textbox>
                      <w:txbxContent>
                        <w:p>
                          <w:pPr>
                            <w:widowControl w:val="0"/>
                            <w:spacing w:after="0" w:line="240" w:lineRule="auto"/>
                            <w:ind w:firstLine="105" w:firstLineChars="50"/>
                            <w:jc w:val="both"/>
                            <w:rPr>
                              <w:rFonts w:ascii="Times New Roman" w:hAnsi="Times New Roman" w:eastAsia="宋体" w:cs="Times New Roman"/>
                              <w:kern w:val="2"/>
                              <w:sz w:val="21"/>
                              <w:szCs w:val="24"/>
                            </w:rPr>
                          </w:pPr>
                          <w:r>
                            <w:rPr>
                              <w:rFonts w:hint="eastAsia" w:ascii="Times New Roman" w:hAnsi="Times New Roman" w:eastAsia="宋体" w:cs="Times New Roman"/>
                              <w:bCs/>
                              <w:color w:val="0000FF"/>
                              <w:kern w:val="2"/>
                              <w:sz w:val="21"/>
                              <w:szCs w:val="24"/>
                              <w:vertAlign w:val="subscript"/>
                            </w:rPr>
                            <w:t xml:space="preserve"> </w:t>
                          </w:r>
                          <w:r>
                            <w:rPr>
                              <w:rFonts w:ascii="Times New Roman" w:hAnsi="Times New Roman" w:eastAsia="宋体" w:cs="Times New Roman"/>
                              <w:bCs/>
                              <w:color w:val="auto"/>
                              <w:kern w:val="2"/>
                              <w:sz w:val="21"/>
                              <w:szCs w:val="24"/>
                            </w:rPr>
                            <w:t>G</w:t>
                          </w:r>
                          <w:r>
                            <w:rPr>
                              <w:rFonts w:hint="eastAsia" w:ascii="Times New Roman" w:hAnsi="Times New Roman" w:eastAsia="宋体" w:cs="Times New Roman"/>
                              <w:bCs/>
                              <w:color w:val="auto"/>
                              <w:kern w:val="2"/>
                              <w:sz w:val="21"/>
                              <w:szCs w:val="24"/>
                              <w:vertAlign w:val="subscript"/>
                              <w:lang w:val="en-US" w:eastAsia="zh-CN"/>
                            </w:rPr>
                            <w:t>3</w:t>
                          </w:r>
                          <w:r>
                            <w:rPr>
                              <w:rFonts w:hint="eastAsia" w:ascii="Times New Roman" w:hAnsi="Times New Roman" w:eastAsia="宋体" w:cs="Times New Roman"/>
                              <w:kern w:val="2"/>
                              <w:sz w:val="21"/>
                              <w:szCs w:val="24"/>
                            </w:rPr>
                            <w:t>N</w:t>
                          </w:r>
                        </w:p>
                      </w:txbxContent>
                    </v:textbox>
                  </v:shape>
                  <v:shape id="文本框 2703" o:spid="_x0000_s2165" o:spt="202" type="#_x0000_t202" style="position:absolute;left:2713067;top:34290;height:292100;width:989225;" filled="f" stroked="f" coordsize="21600,21600">
                    <v:path/>
                    <v:fill on="f" focussize="0,0"/>
                    <v:stroke on="f" weight="0.25pt"/>
                    <v:imagedata o:title=""/>
                    <o:lock v:ext="edit" aspectratio="f"/>
                    <v:textbox>
                      <w:txbxContent>
                        <w:p>
                          <w:pPr>
                            <w:widowControl w:val="0"/>
                            <w:spacing w:after="0" w:line="240" w:lineRule="auto"/>
                            <w:ind w:firstLine="105" w:firstLineChars="50"/>
                            <w:jc w:val="both"/>
                            <w:rPr>
                              <w:rFonts w:ascii="Times New Roman" w:hAnsi="Times New Roman" w:eastAsia="宋体" w:cs="Times New Roman"/>
                              <w:kern w:val="2"/>
                              <w:sz w:val="21"/>
                              <w:szCs w:val="24"/>
                            </w:rPr>
                          </w:pPr>
                          <w:r>
                            <w:rPr>
                              <w:rFonts w:hint="eastAsia" w:ascii="Times New Roman" w:hAnsi="Times New Roman" w:eastAsia="宋体" w:cs="Times New Roman"/>
                              <w:bCs/>
                              <w:kern w:val="2"/>
                              <w:sz w:val="21"/>
                              <w:szCs w:val="24"/>
                              <w:vertAlign w:val="subscript"/>
                            </w:rPr>
                            <w:t xml:space="preserve"> </w:t>
                          </w:r>
                          <w:r>
                            <w:rPr>
                              <w:rFonts w:ascii="Times New Roman" w:hAnsi="Times New Roman" w:eastAsia="宋体" w:cs="Times New Roman"/>
                              <w:bCs/>
                              <w:color w:val="auto"/>
                              <w:kern w:val="2"/>
                              <w:sz w:val="21"/>
                              <w:szCs w:val="24"/>
                            </w:rPr>
                            <w:t>G</w:t>
                          </w:r>
                          <w:r>
                            <w:rPr>
                              <w:rFonts w:hint="eastAsia" w:ascii="Times New Roman" w:hAnsi="Times New Roman" w:eastAsia="宋体" w:cs="Times New Roman"/>
                              <w:bCs/>
                              <w:color w:val="auto"/>
                              <w:kern w:val="2"/>
                              <w:sz w:val="21"/>
                              <w:szCs w:val="24"/>
                              <w:vertAlign w:val="subscript"/>
                              <w:lang w:val="en-US" w:eastAsia="zh-CN"/>
                            </w:rPr>
                            <w:t xml:space="preserve">1 </w:t>
                          </w:r>
                          <w:r>
                            <w:rPr>
                              <w:rFonts w:hint="eastAsia" w:ascii="Times New Roman" w:hAnsi="Times New Roman" w:eastAsia="宋体" w:cs="Times New Roman"/>
                              <w:bCs/>
                              <w:kern w:val="2"/>
                              <w:sz w:val="21"/>
                              <w:szCs w:val="21"/>
                            </w:rPr>
                            <w:t>S</w:t>
                          </w:r>
                          <w:r>
                            <w:rPr>
                              <w:rFonts w:hint="eastAsia" w:ascii="Times New Roman" w:hAnsi="Times New Roman" w:eastAsia="宋体" w:cs="Times New Roman"/>
                              <w:kern w:val="2"/>
                              <w:sz w:val="21"/>
                              <w:szCs w:val="24"/>
                              <w:vertAlign w:val="subscript"/>
                              <w:lang w:val="en-US" w:eastAsia="zh-CN"/>
                            </w:rPr>
                            <w:t xml:space="preserve">1 </w:t>
                          </w:r>
                          <w:r>
                            <w:rPr>
                              <w:rFonts w:hint="eastAsia" w:ascii="Times New Roman" w:hAnsi="Times New Roman" w:eastAsia="宋体" w:cs="Times New Roman"/>
                              <w:bCs/>
                              <w:kern w:val="2"/>
                              <w:sz w:val="21"/>
                              <w:szCs w:val="21"/>
                            </w:rPr>
                            <w:t>S</w:t>
                          </w:r>
                          <w:r>
                            <w:rPr>
                              <w:rFonts w:hint="eastAsia" w:ascii="Times New Roman" w:hAnsi="Times New Roman" w:eastAsia="宋体" w:cs="Times New Roman"/>
                              <w:kern w:val="2"/>
                              <w:sz w:val="21"/>
                              <w:szCs w:val="24"/>
                              <w:vertAlign w:val="subscript"/>
                              <w:lang w:val="en-US" w:eastAsia="zh-CN"/>
                            </w:rPr>
                            <w:t xml:space="preserve">2 </w:t>
                          </w:r>
                          <w:r>
                            <w:rPr>
                              <w:rFonts w:hint="eastAsia" w:ascii="Times New Roman" w:hAnsi="Times New Roman" w:eastAsia="宋体" w:cs="Times New Roman"/>
                              <w:kern w:val="2"/>
                              <w:sz w:val="21"/>
                              <w:szCs w:val="24"/>
                            </w:rPr>
                            <w:t>N</w:t>
                          </w:r>
                        </w:p>
                      </w:txbxContent>
                    </v:textbox>
                  </v:shape>
                  <v:shape id="文本框 105" o:spid="_x0000_s2166" o:spt="202" type="#_x0000_t202" style="position:absolute;left:4998826;top:977900;height:279400;width:609535;"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eastAsia="zh-CN"/>
                            </w:rPr>
                          </w:pPr>
                          <w:r>
                            <w:rPr>
                              <w:rFonts w:hint="eastAsia" w:ascii="Times New Roman" w:hAnsi="Times New Roman" w:eastAsia="宋体" w:cs="Times New Roman"/>
                              <w:kern w:val="2"/>
                              <w:sz w:val="21"/>
                              <w:szCs w:val="24"/>
                              <w:lang w:eastAsia="zh-CN"/>
                            </w:rPr>
                            <w:t>组装</w:t>
                          </w:r>
                        </w:p>
                      </w:txbxContent>
                    </v:textbox>
                  </v:shape>
                  <v:shape id="文本框 105" o:spid="_x0000_s2167" o:spt="202" type="#_x0000_t202" style="position:absolute;left:4884538;top:329565;height:279400;width:790491;"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kern w:val="2"/>
                              <w:sz w:val="21"/>
                              <w:szCs w:val="24"/>
                              <w:lang w:val="en-US" w:eastAsia="zh-CN"/>
                            </w:rPr>
                            <w:t>外发电镀</w:t>
                          </w:r>
                        </w:p>
                      </w:txbxContent>
                    </v:textbox>
                  </v:shape>
                  <v:shape id="自选图形 2700" o:spid="_x0000_s2168" o:spt="32" type="#_x0000_t32" style="position:absolute;left:4646438;top:472440;height:0;width:253973;"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QlgsQAAADcAAAADwAAAGRycy9kb3ducmV2LnhtbESPQUvDQBCF70L/wzIFb3bTHlRit6UW&#10;BU+CsaDHITtNQrOzITO20V/vHARvM7w3732z3k6pd2capcscYLkowBHXOXbcBDi8P9/cgxNFjthn&#10;pgDfJLDdzK7WWMZ84Tc6V9o4C2EpMUCrOpTeS91SQlnkgdi0Yx4Tqq1j4+OIFwtPvV8Vxa1P2LE1&#10;tDjQvqX6VH2lAPr0+Nof705ePz+qlex/mkJkF8L1fNo9gFOa9N/8d/0SDX9p+PaMTe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CWCxAAAANwAAAAPAAAAAAAAAAAA&#10;AAAAAKECAABkcnMvZG93bnJldi54bWxQSwUGAAAAAAQABAD5AAAAkgMAAAAA&#10;">
                    <v:path arrowok="t"/>
                    <v:fill on="f" focussize="0,0"/>
                    <v:stroke weight="0.25pt" color="#000000" endarrow="block"/>
                    <v:imagedata o:title=""/>
                    <o:lock v:ext="edit" aspectratio="f"/>
                  </v:shape>
                  <v:shape id="自选图形 2700" o:spid="_x0000_s2169" o:spt="32" type="#_x0000_t32" style="position:absolute;left:4713106;top:1127760;flip:x y;height:1905;width:295244;" filled="f" stroked="t" coordsize="21600,21600">
                    <v:path arrowok="t"/>
                    <v:fill on="f" focussize="0,0"/>
                    <v:stroke weight="0.25pt" color="#000000" endarrow="block"/>
                    <v:imagedata o:title=""/>
                    <o:lock v:ext="edit" aspectratio="f"/>
                  </v:shape>
                  <v:shape id="文本框 2703" o:spid="_x0000_s2170" o:spt="202" type="#_x0000_t202" style="position:absolute;left:1798764;top:34290;height:292100;width:1187324;" filled="f" stroked="f" coordsize="21600,21600">
                    <v:path/>
                    <v:fill on="f" focussize="0,0"/>
                    <v:stroke on="f" weight="0.25pt"/>
                    <v:imagedata o:title=""/>
                    <o:lock v:ext="edit" aspectratio="f"/>
                    <v:textbox>
                      <w:txbxContent>
                        <w:p>
                          <w:pPr>
                            <w:widowControl w:val="0"/>
                            <w:spacing w:after="0" w:line="240" w:lineRule="auto"/>
                            <w:ind w:firstLine="105" w:firstLineChars="50"/>
                            <w:jc w:val="both"/>
                            <w:rPr>
                              <w:rFonts w:ascii="Times New Roman" w:hAnsi="Times New Roman" w:eastAsia="宋体" w:cs="Times New Roman"/>
                              <w:kern w:val="2"/>
                              <w:sz w:val="21"/>
                              <w:szCs w:val="24"/>
                            </w:rPr>
                          </w:pPr>
                          <w:r>
                            <w:rPr>
                              <w:rFonts w:hint="eastAsia" w:ascii="Times New Roman" w:hAnsi="Times New Roman" w:eastAsia="宋体" w:cs="Times New Roman"/>
                              <w:bCs/>
                              <w:color w:val="auto"/>
                              <w:kern w:val="2"/>
                              <w:sz w:val="21"/>
                              <w:szCs w:val="24"/>
                              <w:vertAlign w:val="subscript"/>
                            </w:rPr>
                            <w:t xml:space="preserve"> </w:t>
                          </w:r>
                          <w:r>
                            <w:rPr>
                              <w:rFonts w:ascii="Times New Roman" w:hAnsi="Times New Roman" w:eastAsia="宋体" w:cs="Times New Roman"/>
                              <w:bCs/>
                              <w:color w:val="auto"/>
                              <w:kern w:val="2"/>
                              <w:sz w:val="21"/>
                              <w:szCs w:val="24"/>
                            </w:rPr>
                            <w:t>G</w:t>
                          </w:r>
                          <w:r>
                            <w:rPr>
                              <w:rFonts w:hint="eastAsia" w:ascii="Times New Roman" w:hAnsi="Times New Roman" w:eastAsia="宋体" w:cs="Times New Roman"/>
                              <w:bCs/>
                              <w:color w:val="auto"/>
                              <w:kern w:val="2"/>
                              <w:sz w:val="21"/>
                              <w:szCs w:val="24"/>
                              <w:vertAlign w:val="subscript"/>
                              <w:lang w:val="en-US" w:eastAsia="zh-CN"/>
                            </w:rPr>
                            <w:t>2</w:t>
                          </w:r>
                          <w:r>
                            <w:rPr>
                              <w:rFonts w:ascii="Times New Roman" w:hAnsi="Times New Roman" w:eastAsia="宋体" w:cs="Times New Roman"/>
                              <w:bCs/>
                              <w:color w:val="auto"/>
                              <w:kern w:val="2"/>
                              <w:sz w:val="21"/>
                              <w:szCs w:val="24"/>
                            </w:rPr>
                            <w:t>G</w:t>
                          </w:r>
                          <w:r>
                            <w:rPr>
                              <w:rFonts w:hint="eastAsia" w:ascii="Times New Roman" w:hAnsi="Times New Roman" w:eastAsia="宋体" w:cs="Times New Roman"/>
                              <w:bCs/>
                              <w:color w:val="auto"/>
                              <w:kern w:val="2"/>
                              <w:sz w:val="21"/>
                              <w:szCs w:val="24"/>
                              <w:vertAlign w:val="subscript"/>
                              <w:lang w:val="en-US" w:eastAsia="zh-CN"/>
                            </w:rPr>
                            <w:t xml:space="preserve">3 </w:t>
                          </w:r>
                          <w:r>
                            <w:rPr>
                              <w:rFonts w:hint="eastAsia" w:ascii="Times New Roman" w:hAnsi="Times New Roman" w:eastAsia="宋体" w:cs="Times New Roman"/>
                              <w:bCs/>
                              <w:kern w:val="2"/>
                              <w:sz w:val="21"/>
                              <w:szCs w:val="21"/>
                            </w:rPr>
                            <w:t>S</w:t>
                          </w:r>
                          <w:r>
                            <w:rPr>
                              <w:rFonts w:hint="eastAsia" w:ascii="Times New Roman" w:hAnsi="Times New Roman" w:eastAsia="宋体" w:cs="Times New Roman"/>
                              <w:bCs/>
                              <w:kern w:val="2"/>
                              <w:sz w:val="21"/>
                              <w:szCs w:val="21"/>
                              <w:vertAlign w:val="subscript"/>
                              <w:lang w:val="en-US" w:eastAsia="zh-CN"/>
                            </w:rPr>
                            <w:t xml:space="preserve">2 </w:t>
                          </w:r>
                          <w:r>
                            <w:rPr>
                              <w:rFonts w:hint="eastAsia" w:ascii="Times New Roman" w:hAnsi="Times New Roman" w:eastAsia="宋体" w:cs="Times New Roman"/>
                              <w:kern w:val="2"/>
                              <w:sz w:val="21"/>
                              <w:szCs w:val="24"/>
                            </w:rPr>
                            <w:t>N</w:t>
                          </w:r>
                        </w:p>
                      </w:txbxContent>
                    </v:textbox>
                  </v:shape>
                  <v:shape id="文本框 2703" o:spid="_x0000_s2171" o:spt="202" type="#_x0000_t202" style="position:absolute;left:4141666;top:756919;height:272415;width:551757;" filled="f" stroked="f" coordsize="21600,21600">
                    <v:path/>
                    <v:fill on="f" focussize="0,0"/>
                    <v:stroke on="f" weight="0.25pt"/>
                    <v:imagedata o:title=""/>
                    <o:lock v:ext="edit" aspectratio="f"/>
                    <v:textbox>
                      <w:txbxContent>
                        <w:p>
                          <w:pPr>
                            <w:widowControl w:val="0"/>
                            <w:spacing w:after="0" w:line="240" w:lineRule="auto"/>
                            <w:ind w:firstLine="105" w:firstLineChars="50"/>
                            <w:jc w:val="both"/>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bCs/>
                              <w:kern w:val="2"/>
                              <w:sz w:val="21"/>
                              <w:szCs w:val="24"/>
                              <w:vertAlign w:val="subscript"/>
                            </w:rPr>
                            <w:t xml:space="preserve"> </w:t>
                          </w:r>
                          <w:r>
                            <w:rPr>
                              <w:rFonts w:hint="eastAsia" w:ascii="Times New Roman" w:hAnsi="Times New Roman" w:eastAsia="宋体" w:cs="Times New Roman"/>
                              <w:bCs/>
                              <w:kern w:val="2"/>
                              <w:sz w:val="21"/>
                              <w:szCs w:val="21"/>
                            </w:rPr>
                            <w:t>S</w:t>
                          </w:r>
                          <w:r>
                            <w:rPr>
                              <w:rFonts w:hint="eastAsia" w:ascii="Times New Roman" w:hAnsi="Times New Roman" w:eastAsia="宋体" w:cs="Times New Roman"/>
                              <w:bCs/>
                              <w:kern w:val="2"/>
                              <w:sz w:val="21"/>
                              <w:szCs w:val="21"/>
                              <w:vertAlign w:val="subscript"/>
                              <w:lang w:val="en-US" w:eastAsia="zh-CN"/>
                            </w:rPr>
                            <w:t>1</w:t>
                          </w:r>
                        </w:p>
                      </w:txbxContent>
                    </v:textbox>
                  </v:shape>
                  <v:shape id="文本框 105" o:spid="_x0000_s2172" o:spt="202" type="#_x0000_t202" style="position:absolute;left:4090872;top:986790;height:279400;width:609535;"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eastAsia="zh-CN"/>
                            </w:rPr>
                          </w:pPr>
                          <w:r>
                            <w:rPr>
                              <w:rFonts w:hint="eastAsia" w:ascii="Times New Roman" w:hAnsi="Times New Roman" w:eastAsia="宋体" w:cs="Times New Roman"/>
                              <w:kern w:val="2"/>
                              <w:sz w:val="21"/>
                              <w:szCs w:val="24"/>
                              <w:lang w:eastAsia="zh-CN"/>
                            </w:rPr>
                            <w:t>测试</w:t>
                          </w:r>
                        </w:p>
                      </w:txbxContent>
                    </v:textbox>
                  </v:shape>
                  <v:shape id="自选图形 2700" o:spid="_x0000_s2173" o:spt="32" type="#_x0000_t32" style="position:absolute;left:3798803;top:1139190;flip:x y;height:0;width:292069;" filled="f" stroked="t" coordsize="21600,21600">
                    <v:path arrowok="t"/>
                    <v:fill on="f" focussize="0,0"/>
                    <v:stroke weight="0.25pt" color="#000000" endarrow="block"/>
                    <v:imagedata o:title=""/>
                    <o:lock v:ext="edit" aspectratio="f"/>
                  </v:shape>
                  <v:shape id="文本框 105" o:spid="_x0000_s2174" o:spt="202" type="#_x0000_t202" style="position:absolute;left:3186093;top:986790;height:279400;width:609535;" filled="f" stroked="t" coordsize="21600,21600">
                    <v:path/>
                    <v:fill on="f" focussize="0,0"/>
                    <v:stroke weight="0.25pt" color="#000000" joinstyle="miter"/>
                    <v:imagedata o:title=""/>
                    <o:lock v:ext="edit" aspectratio="f"/>
                    <v:textbox>
                      <w:txbxContent>
                        <w:p>
                          <w:pPr>
                            <w:widowControl w:val="0"/>
                            <w:spacing w:after="0" w:line="240" w:lineRule="auto"/>
                            <w:jc w:val="center"/>
                            <w:rPr>
                              <w:rFonts w:hint="eastAsia" w:ascii="Times New Roman" w:hAnsi="Times New Roman" w:eastAsia="宋体" w:cs="Times New Roman"/>
                              <w:kern w:val="2"/>
                              <w:sz w:val="21"/>
                              <w:szCs w:val="24"/>
                              <w:lang w:eastAsia="zh-CN"/>
                            </w:rPr>
                          </w:pPr>
                          <w:r>
                            <w:rPr>
                              <w:rFonts w:hint="eastAsia" w:ascii="Times New Roman" w:hAnsi="Times New Roman" w:eastAsia="宋体" w:cs="Times New Roman"/>
                              <w:kern w:val="2"/>
                              <w:sz w:val="21"/>
                              <w:szCs w:val="24"/>
                              <w:lang w:eastAsia="zh-CN"/>
                            </w:rPr>
                            <w:t>包装</w:t>
                          </w:r>
                        </w:p>
                      </w:txbxContent>
                    </v:textbox>
                  </v:shape>
                  <v:shape id="自选图形 2700" o:spid="_x0000_s2175" o:spt="32" type="#_x0000_t32" style="position:absolute;left:5294070;top:622935;height:361950;width:0;" filled="f" stroked="t" coordsize="21600,21600">
                    <v:path arrowok="t"/>
                    <v:fill on="f" focussize="0,0"/>
                    <v:stroke weight="0.25pt" color="#000000" endarrow="block"/>
                    <v:imagedata o:title=""/>
                    <o:lock v:ext="edit" aspectratio="f"/>
                  </v:shape>
                  <v:shape id="文本框 2703" o:spid="_x0000_s2176" o:spt="202" type="#_x0000_t202" style="position:absolute;left:3236887;top:758189;height:266700;width:542233;" filled="f" stroked="f" coordsize="21600,21600">
                    <v:path/>
                    <v:fill on="f" focussize="0,0"/>
                    <v:stroke on="f" weight="0.25pt"/>
                    <v:imagedata o:title=""/>
                    <o:lock v:ext="edit" aspectratio="f"/>
                    <v:textbox>
                      <w:txbxContent>
                        <w:p>
                          <w:pPr>
                            <w:widowControl w:val="0"/>
                            <w:spacing w:after="0" w:line="240" w:lineRule="auto"/>
                            <w:ind w:firstLine="105" w:firstLineChars="50"/>
                            <w:jc w:val="both"/>
                            <w:rPr>
                              <w:rFonts w:hint="eastAsia" w:ascii="Times New Roman" w:hAnsi="Times New Roman" w:eastAsia="宋体" w:cs="Times New Roman"/>
                              <w:kern w:val="2"/>
                              <w:sz w:val="21"/>
                              <w:szCs w:val="24"/>
                              <w:lang w:val="en-US" w:eastAsia="zh-CN"/>
                            </w:rPr>
                          </w:pPr>
                          <w:r>
                            <w:rPr>
                              <w:rFonts w:hint="eastAsia" w:ascii="Times New Roman" w:hAnsi="Times New Roman" w:eastAsia="宋体" w:cs="Times New Roman"/>
                              <w:bCs/>
                              <w:kern w:val="2"/>
                              <w:sz w:val="21"/>
                              <w:szCs w:val="24"/>
                              <w:vertAlign w:val="subscript"/>
                            </w:rPr>
                            <w:t xml:space="preserve"> </w:t>
                          </w:r>
                          <w:r>
                            <w:rPr>
                              <w:rFonts w:hint="eastAsia" w:ascii="Times New Roman" w:hAnsi="Times New Roman" w:eastAsia="宋体" w:cs="Times New Roman"/>
                              <w:bCs/>
                              <w:kern w:val="2"/>
                              <w:sz w:val="21"/>
                              <w:szCs w:val="21"/>
                            </w:rPr>
                            <w:t>S</w:t>
                          </w:r>
                          <w:r>
                            <w:rPr>
                              <w:rFonts w:hint="eastAsia" w:ascii="Times New Roman" w:hAnsi="Times New Roman" w:eastAsia="宋体" w:cs="Times New Roman"/>
                              <w:bCs/>
                              <w:kern w:val="2"/>
                              <w:sz w:val="21"/>
                              <w:szCs w:val="21"/>
                              <w:vertAlign w:val="subscript"/>
                              <w:lang w:val="en-US" w:eastAsia="zh-CN"/>
                            </w:rPr>
                            <w:t>1</w:t>
                          </w:r>
                        </w:p>
                      </w:txbxContent>
                    </v:textbox>
                  </v:shape>
                  <w10:wrap type="none"/>
                  <w10:anchorlock/>
                </v:group>
              </w:pict>
            </w:r>
          </w:p>
          <w:p>
            <w:pPr>
              <w:keepNext w:val="0"/>
              <w:keepLines w:val="0"/>
              <w:pageBreakBefore w:val="0"/>
              <w:widowControl w:val="0"/>
              <w:kinsoku/>
              <w:wordWrap/>
              <w:overflowPunct/>
              <w:topLinePunct w:val="0"/>
              <w:autoSpaceDE/>
              <w:autoSpaceDN/>
              <w:bidi w:val="0"/>
              <w:adjustRightInd/>
              <w:snapToGrid/>
              <w:spacing w:after="0" w:line="360" w:lineRule="auto"/>
              <w:ind w:firstLine="472" w:firstLineChars="196"/>
              <w:jc w:val="both"/>
              <w:textAlignment w:val="auto"/>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二、</w:t>
            </w:r>
            <w:r>
              <w:rPr>
                <w:rFonts w:ascii="Times New Roman" w:hAnsi="Times New Roman" w:eastAsia="宋体" w:cs="Times New Roman"/>
                <w:b/>
                <w:bCs/>
                <w:color w:val="auto"/>
                <w:kern w:val="2"/>
                <w:sz w:val="24"/>
                <w:szCs w:val="24"/>
                <w:highlight w:val="none"/>
              </w:rPr>
              <w:t>主要工艺流程简述</w:t>
            </w:r>
          </w:p>
          <w:p>
            <w:pPr>
              <w:keepNext w:val="0"/>
              <w:keepLines w:val="0"/>
              <w:pageBreakBefore w:val="0"/>
              <w:widowControl w:val="0"/>
              <w:kinsoku/>
              <w:wordWrap/>
              <w:overflowPunct/>
              <w:topLinePunct w:val="0"/>
              <w:autoSpaceDE/>
              <w:autoSpaceDN/>
              <w:bidi w:val="0"/>
              <w:adjustRightInd/>
              <w:snapToGrid/>
              <w:spacing w:after="0" w:line="360" w:lineRule="auto"/>
              <w:ind w:firstLine="472" w:firstLineChars="196"/>
              <w:jc w:val="left"/>
              <w:textAlignment w:val="auto"/>
              <w:rPr>
                <w:rFonts w:ascii="Times New Roman" w:hAnsi="Times New Roman" w:eastAsia="宋体" w:cs="Times New Roman"/>
                <w:b/>
                <w:bCs/>
                <w:color w:val="auto"/>
                <w:kern w:val="2"/>
                <w:sz w:val="24"/>
                <w:szCs w:val="24"/>
                <w:highlight w:val="none"/>
              </w:rPr>
            </w:pPr>
            <w:r>
              <w:rPr>
                <w:rFonts w:hint="eastAsia" w:ascii="Times New Roman" w:hAnsi="宋体" w:eastAsia="宋体" w:cs="Times New Roman"/>
                <w:b/>
                <w:bCs/>
                <w:color w:val="auto"/>
                <w:kern w:val="2"/>
                <w:sz w:val="24"/>
                <w:szCs w:val="24"/>
                <w:highlight w:val="none"/>
              </w:rPr>
              <w:t>开料：</w:t>
            </w:r>
            <w:r>
              <w:rPr>
                <w:rFonts w:hint="eastAsia" w:ascii="Times New Roman" w:hAnsi="宋体" w:eastAsia="宋体" w:cs="Times New Roman"/>
                <w:color w:val="auto"/>
                <w:kern w:val="2"/>
                <w:sz w:val="24"/>
                <w:szCs w:val="24"/>
                <w:highlight w:val="none"/>
              </w:rPr>
              <w:t>项目使用</w:t>
            </w:r>
            <w:r>
              <w:rPr>
                <w:rFonts w:hint="eastAsia" w:ascii="Times New Roman" w:hAnsi="宋体" w:eastAsia="宋体" w:cs="Times New Roman"/>
                <w:color w:val="auto"/>
                <w:kern w:val="2"/>
                <w:sz w:val="24"/>
                <w:szCs w:val="24"/>
                <w:highlight w:val="none"/>
                <w:lang w:eastAsia="zh-CN"/>
              </w:rPr>
              <w:t>切割机</w:t>
            </w:r>
            <w:r>
              <w:rPr>
                <w:rFonts w:hint="eastAsia" w:ascii="Times New Roman" w:hAnsi="宋体" w:eastAsia="宋体" w:cs="Times New Roman"/>
                <w:color w:val="auto"/>
                <w:kern w:val="2"/>
                <w:sz w:val="24"/>
                <w:szCs w:val="24"/>
                <w:highlight w:val="none"/>
              </w:rPr>
              <w:t>对外购铜棒进行开料，</w:t>
            </w:r>
            <w:r>
              <w:rPr>
                <w:rFonts w:hint="eastAsia" w:ascii="Times New Roman" w:hAnsi="Times New Roman" w:eastAsia="宋体" w:cs="Times New Roman"/>
                <w:color w:val="auto"/>
                <w:kern w:val="2"/>
                <w:sz w:val="24"/>
                <w:szCs w:val="24"/>
                <w:highlight w:val="none"/>
              </w:rPr>
              <w:t>该过程产生</w:t>
            </w:r>
            <w:r>
              <w:rPr>
                <w:rFonts w:hint="eastAsia" w:ascii="Times New Roman" w:hAnsi="Times New Roman" w:eastAsia="宋体" w:cs="Times New Roman"/>
                <w:color w:val="auto"/>
                <w:kern w:val="2"/>
                <w:sz w:val="24"/>
                <w:szCs w:val="24"/>
                <w:highlight w:val="none"/>
                <w:lang w:eastAsia="zh-CN"/>
              </w:rPr>
              <w:t>少量粉尘</w:t>
            </w:r>
            <w:r>
              <w:rPr>
                <w:rFonts w:hint="eastAsia" w:ascii="Times New Roman" w:hAnsi="Times New Roman" w:eastAsia="宋体" w:cs="Times New Roman"/>
                <w:color w:val="auto"/>
                <w:kern w:val="2"/>
                <w:sz w:val="24"/>
                <w:szCs w:val="24"/>
                <w:highlight w:val="none"/>
              </w:rPr>
              <w:t>和噪声。</w:t>
            </w:r>
          </w:p>
          <w:p>
            <w:pPr>
              <w:keepNext w:val="0"/>
              <w:keepLines w:val="0"/>
              <w:pageBreakBefore w:val="0"/>
              <w:widowControl w:val="0"/>
              <w:kinsoku/>
              <w:wordWrap/>
              <w:overflowPunct/>
              <w:topLinePunct w:val="0"/>
              <w:autoSpaceDE/>
              <w:autoSpaceDN/>
              <w:bidi w:val="0"/>
              <w:adjustRightInd/>
              <w:snapToGrid/>
              <w:spacing w:after="0" w:line="360" w:lineRule="auto"/>
              <w:ind w:firstLine="472" w:firstLineChars="196"/>
              <w:jc w:val="both"/>
              <w:textAlignment w:val="auto"/>
              <w:rPr>
                <w:rFonts w:ascii="Times New Roman" w:hAnsi="宋体" w:eastAsia="宋体" w:cs="Times New Roman"/>
                <w:bCs/>
                <w:color w:val="auto"/>
                <w:kern w:val="2"/>
                <w:sz w:val="24"/>
                <w:szCs w:val="24"/>
                <w:highlight w:val="none"/>
              </w:rPr>
            </w:pPr>
            <w:r>
              <w:rPr>
                <w:rFonts w:hint="eastAsia" w:ascii="Times New Roman" w:hAnsi="宋体" w:eastAsia="宋体" w:cs="Times New Roman"/>
                <w:b/>
                <w:bCs/>
                <w:color w:val="auto"/>
                <w:kern w:val="2"/>
                <w:sz w:val="24"/>
                <w:szCs w:val="24"/>
                <w:highlight w:val="none"/>
                <w:lang w:eastAsia="zh-CN"/>
              </w:rPr>
              <w:t>红冲</w:t>
            </w:r>
            <w:r>
              <w:rPr>
                <w:rFonts w:hint="eastAsia" w:ascii="Times New Roman" w:hAnsi="宋体" w:eastAsia="宋体" w:cs="Times New Roman"/>
                <w:b/>
                <w:bCs/>
                <w:color w:val="auto"/>
                <w:kern w:val="2"/>
                <w:sz w:val="24"/>
                <w:szCs w:val="24"/>
                <w:highlight w:val="none"/>
              </w:rPr>
              <w:t>：</w:t>
            </w:r>
            <w:r>
              <w:rPr>
                <w:rFonts w:hint="eastAsia" w:ascii="Times New Roman" w:hAnsi="宋体" w:eastAsia="宋体" w:cs="Times New Roman"/>
                <w:bCs/>
                <w:color w:val="auto"/>
                <w:kern w:val="2"/>
                <w:sz w:val="24"/>
                <w:szCs w:val="24"/>
                <w:highlight w:val="none"/>
              </w:rPr>
              <w:t>项目使用</w:t>
            </w:r>
            <w:r>
              <w:rPr>
                <w:rFonts w:hint="eastAsia" w:ascii="Times New Roman" w:hAnsi="宋体" w:eastAsia="宋体" w:cs="Times New Roman"/>
                <w:bCs/>
                <w:color w:val="auto"/>
                <w:kern w:val="2"/>
                <w:sz w:val="24"/>
                <w:szCs w:val="24"/>
                <w:highlight w:val="none"/>
                <w:lang w:eastAsia="zh-CN"/>
              </w:rPr>
              <w:t>热冲床</w:t>
            </w:r>
            <w:r>
              <w:rPr>
                <w:rFonts w:hint="eastAsia" w:ascii="Times New Roman" w:hAnsi="宋体" w:eastAsia="宋体" w:cs="Times New Roman"/>
                <w:bCs/>
                <w:color w:val="auto"/>
                <w:kern w:val="2"/>
                <w:sz w:val="24"/>
                <w:szCs w:val="24"/>
                <w:highlight w:val="none"/>
              </w:rPr>
              <w:t>进行加热（</w:t>
            </w:r>
            <w:r>
              <w:rPr>
                <w:rFonts w:hint="eastAsia" w:ascii="Times New Roman" w:hAnsi="宋体" w:eastAsia="宋体" w:cs="Times New Roman"/>
                <w:bCs/>
                <w:color w:val="auto"/>
                <w:kern w:val="2"/>
                <w:sz w:val="24"/>
                <w:szCs w:val="24"/>
                <w:highlight w:val="none"/>
                <w:lang w:eastAsia="zh-CN"/>
              </w:rPr>
              <w:t>热冲床</w:t>
            </w:r>
            <w:r>
              <w:rPr>
                <w:rFonts w:hint="eastAsia" w:ascii="Times New Roman" w:hAnsi="宋体" w:eastAsia="宋体" w:cs="Times New Roman"/>
                <w:bCs/>
                <w:color w:val="auto"/>
                <w:kern w:val="2"/>
                <w:sz w:val="24"/>
                <w:szCs w:val="24"/>
                <w:highlight w:val="none"/>
              </w:rPr>
              <w:t>配套加热槽）并冲压成型，加热温度约为</w:t>
            </w:r>
            <w:r>
              <w:rPr>
                <w:rFonts w:hint="eastAsia" w:ascii="Times New Roman" w:hAnsi="Times New Roman" w:eastAsia="宋体" w:cs="Times New Roman"/>
                <w:bCs/>
                <w:color w:val="auto"/>
                <w:kern w:val="2"/>
                <w:sz w:val="24"/>
                <w:szCs w:val="24"/>
                <w:highlight w:val="none"/>
                <w:lang w:val="en-US" w:eastAsia="zh-CN"/>
              </w:rPr>
              <w:t>750-850</w:t>
            </w:r>
            <w:r>
              <w:rPr>
                <w:rFonts w:hint="eastAsia" w:ascii="Times New Roman" w:hAnsi="宋体" w:eastAsia="宋体" w:cs="Times New Roman"/>
                <w:bCs/>
                <w:color w:val="auto"/>
                <w:kern w:val="2"/>
                <w:sz w:val="24"/>
                <w:szCs w:val="24"/>
                <w:highlight w:val="none"/>
              </w:rPr>
              <w:t>℃，加热的主要作用在于减少金属的变形抗力和提高铜棒的可塑性，使铜棒稳定地改变形状而不出现破裂。冲压过程需使用润滑油进行润滑，润滑油</w:t>
            </w:r>
            <w:r>
              <w:rPr>
                <w:rFonts w:ascii="Times New Roman" w:hAnsi="宋体" w:eastAsia="宋体" w:cs="Times New Roman"/>
                <w:color w:val="auto"/>
                <w:kern w:val="2"/>
                <w:sz w:val="24"/>
                <w:szCs w:val="24"/>
                <w:highlight w:val="none"/>
              </w:rPr>
              <w:t>受热分解产生</w:t>
            </w:r>
            <w:r>
              <w:rPr>
                <w:rFonts w:hint="eastAsia" w:ascii="Times New Roman" w:hAnsi="宋体" w:eastAsia="宋体" w:cs="Times New Roman"/>
                <w:color w:val="auto"/>
                <w:kern w:val="2"/>
                <w:sz w:val="24"/>
                <w:szCs w:val="24"/>
                <w:highlight w:val="none"/>
              </w:rPr>
              <w:t>油雾</w:t>
            </w:r>
            <w:r>
              <w:rPr>
                <w:rFonts w:ascii="Times New Roman" w:hAnsi="宋体" w:eastAsia="宋体" w:cs="Times New Roman"/>
                <w:color w:val="auto"/>
                <w:kern w:val="2"/>
                <w:sz w:val="24"/>
                <w:szCs w:val="24"/>
                <w:highlight w:val="none"/>
              </w:rPr>
              <w:t>，</w:t>
            </w:r>
            <w:r>
              <w:rPr>
                <w:rFonts w:hint="eastAsia" w:ascii="Times New Roman" w:hAnsi="宋体" w:eastAsia="宋体" w:cs="Times New Roman"/>
                <w:color w:val="auto"/>
                <w:kern w:val="2"/>
                <w:sz w:val="24"/>
                <w:szCs w:val="24"/>
                <w:highlight w:val="none"/>
              </w:rPr>
              <w:t>主要污染物为非甲烷总烃</w:t>
            </w:r>
            <w:r>
              <w:rPr>
                <w:rFonts w:hint="eastAsia" w:ascii="Times New Roman" w:hAnsi="宋体" w:eastAsia="宋体" w:cs="Times New Roman"/>
                <w:bCs/>
                <w:color w:val="auto"/>
                <w:kern w:val="2"/>
                <w:sz w:val="24"/>
                <w:szCs w:val="24"/>
                <w:highlight w:val="none"/>
              </w:rPr>
              <w:t>；加热使用的燃料为天然气，会产生少量燃料废气</w:t>
            </w:r>
            <w:r>
              <w:rPr>
                <w:rFonts w:hint="eastAsia" w:ascii="Times New Roman" w:hAnsi="宋体" w:eastAsia="宋体" w:cs="Times New Roman"/>
                <w:color w:val="auto"/>
                <w:kern w:val="2"/>
                <w:sz w:val="24"/>
                <w:szCs w:val="24"/>
                <w:highlight w:val="none"/>
              </w:rPr>
              <w:t>。</w:t>
            </w:r>
            <w:r>
              <w:rPr>
                <w:rFonts w:hint="eastAsia" w:ascii="Times New Roman" w:hAnsi="宋体" w:eastAsia="宋体" w:cs="Times New Roman"/>
                <w:bCs/>
                <w:color w:val="auto"/>
                <w:kern w:val="2"/>
                <w:sz w:val="24"/>
                <w:szCs w:val="24"/>
                <w:highlight w:val="none"/>
              </w:rPr>
              <w:t>因此该过程产生少量非甲烷总烃、燃料废气、废润滑油油桶、含油抹布和噪声。</w:t>
            </w:r>
          </w:p>
          <w:p>
            <w:pPr>
              <w:keepNext w:val="0"/>
              <w:keepLines w:val="0"/>
              <w:pageBreakBefore w:val="0"/>
              <w:widowControl w:val="0"/>
              <w:tabs>
                <w:tab w:val="left" w:pos="1860"/>
              </w:tabs>
              <w:kinsoku/>
              <w:wordWrap/>
              <w:overflowPunct/>
              <w:topLinePunct w:val="0"/>
              <w:autoSpaceDE/>
              <w:autoSpaceDN/>
              <w:bidi w:val="0"/>
              <w:adjustRightInd/>
              <w:snapToGrid/>
              <w:spacing w:after="0" w:line="360" w:lineRule="auto"/>
              <w:ind w:firstLine="472" w:firstLineChars="196"/>
              <w:jc w:val="left"/>
              <w:textAlignment w:val="auto"/>
              <w:rPr>
                <w:rFonts w:ascii="Times New Roman" w:hAnsi="Times New Roman" w:eastAsia="宋体" w:cs="Times New Roman"/>
                <w:b/>
                <w:bCs/>
                <w:color w:val="FF0000"/>
                <w:kern w:val="2"/>
                <w:sz w:val="24"/>
                <w:szCs w:val="24"/>
                <w:highlight w:val="none"/>
              </w:rPr>
            </w:pPr>
            <w:r>
              <w:rPr>
                <w:rFonts w:hint="eastAsia" w:ascii="Times New Roman" w:hAnsi="Times New Roman" w:eastAsia="宋体" w:cs="Times New Roman"/>
                <w:b/>
                <w:bCs/>
                <w:color w:val="auto"/>
                <w:kern w:val="2"/>
                <w:sz w:val="24"/>
                <w:szCs w:val="24"/>
                <w:highlight w:val="none"/>
              </w:rPr>
              <w:t>机加工：</w:t>
            </w:r>
            <w:r>
              <w:rPr>
                <w:rFonts w:hint="eastAsia" w:ascii="Times New Roman" w:hAnsi="Times New Roman" w:eastAsia="宋体" w:cs="Times New Roman"/>
                <w:color w:val="auto"/>
                <w:kern w:val="2"/>
                <w:sz w:val="24"/>
                <w:szCs w:val="24"/>
                <w:highlight w:val="none"/>
              </w:rPr>
              <w:t>按要求使用加工中心、台式单头钻</w:t>
            </w:r>
            <w:r>
              <w:rPr>
                <w:rFonts w:hint="eastAsia" w:ascii="宋体" w:hAnsi="宋体" w:eastAsia="宋体" w:cs="宋体"/>
                <w:color w:val="auto"/>
                <w:kern w:val="0"/>
                <w:sz w:val="24"/>
                <w:szCs w:val="24"/>
                <w:highlight w:val="none"/>
              </w:rPr>
              <w:t>、</w:t>
            </w:r>
            <w:r>
              <w:rPr>
                <w:rFonts w:hint="default" w:ascii="Times New Roman" w:hAnsi="Times New Roman" w:eastAsia="宋体" w:cs="Times New Roman"/>
                <w:color w:val="auto"/>
                <w:sz w:val="24"/>
                <w:szCs w:val="24"/>
              </w:rPr>
              <w:t>铣床</w:t>
            </w:r>
            <w:r>
              <w:rPr>
                <w:rFonts w:hint="eastAsia" w:ascii="Times New Roman" w:hAnsi="Times New Roman" w:eastAsia="宋体" w:cs="Times New Roman"/>
                <w:color w:val="auto"/>
                <w:kern w:val="2"/>
                <w:sz w:val="24"/>
                <w:szCs w:val="24"/>
                <w:highlight w:val="none"/>
              </w:rPr>
              <w:t>等设备对</w:t>
            </w:r>
            <w:r>
              <w:rPr>
                <w:rFonts w:hint="eastAsia" w:ascii="Times New Roman" w:hAnsi="Times New Roman" w:eastAsia="宋体" w:cs="Times New Roman"/>
                <w:color w:val="auto"/>
                <w:kern w:val="2"/>
                <w:sz w:val="24"/>
                <w:szCs w:val="24"/>
                <w:highlight w:val="none"/>
                <w:lang w:eastAsia="zh-CN"/>
              </w:rPr>
              <w:t>红冲</w:t>
            </w:r>
            <w:r>
              <w:rPr>
                <w:rFonts w:hint="eastAsia" w:ascii="Times New Roman" w:hAnsi="Times New Roman" w:eastAsia="宋体" w:cs="Times New Roman"/>
                <w:color w:val="auto"/>
                <w:kern w:val="2"/>
                <w:sz w:val="24"/>
                <w:szCs w:val="24"/>
                <w:highlight w:val="none"/>
              </w:rPr>
              <w:t>成型后的工件进行机械加工，</w:t>
            </w:r>
            <w:r>
              <w:rPr>
                <w:rFonts w:hint="eastAsia"/>
                <w:b w:val="0"/>
                <w:bCs w:val="0"/>
                <w:color w:val="auto"/>
                <w:sz w:val="24"/>
                <w:shd w:val="clear" w:color="auto" w:fill="auto"/>
                <w:lang w:eastAsia="zh-CN"/>
              </w:rPr>
              <w:t>其中加工中心需添加乳化液进行冷却润滑，乳化液循环使用，定期更换。</w:t>
            </w:r>
            <w:r>
              <w:rPr>
                <w:rFonts w:hint="eastAsia" w:ascii="Times New Roman" w:hAnsi="Times New Roman" w:eastAsia="宋体" w:cs="Times New Roman"/>
                <w:color w:val="auto"/>
                <w:kern w:val="2"/>
                <w:sz w:val="24"/>
                <w:szCs w:val="24"/>
                <w:highlight w:val="none"/>
              </w:rPr>
              <w:t>因此该过程产生</w:t>
            </w:r>
            <w:r>
              <w:rPr>
                <w:rFonts w:hint="eastAsia" w:ascii="Times New Roman" w:hAnsi="Times New Roman" w:eastAsia="宋体" w:cs="Times New Roman"/>
                <w:color w:val="auto"/>
                <w:kern w:val="2"/>
                <w:sz w:val="24"/>
                <w:szCs w:val="24"/>
                <w:highlight w:val="none"/>
                <w:lang w:eastAsia="zh-CN"/>
              </w:rPr>
              <w:t>少量粉尘、</w:t>
            </w:r>
            <w:r>
              <w:rPr>
                <w:rFonts w:hint="eastAsia" w:ascii="Times New Roman" w:hAnsi="Times New Roman" w:eastAsia="宋体" w:cs="Times New Roman"/>
                <w:color w:val="auto"/>
                <w:kern w:val="2"/>
                <w:sz w:val="24"/>
                <w:szCs w:val="24"/>
                <w:highlight w:val="none"/>
              </w:rPr>
              <w:t>金属碎屑、金属边角料、废</w:t>
            </w:r>
            <w:r>
              <w:rPr>
                <w:rFonts w:hint="eastAsia" w:ascii="Times New Roman" w:hAnsi="Times New Roman" w:eastAsia="宋体" w:cs="Times New Roman"/>
                <w:color w:val="auto"/>
                <w:kern w:val="2"/>
                <w:sz w:val="24"/>
                <w:szCs w:val="24"/>
                <w:highlight w:val="none"/>
                <w:lang w:eastAsia="zh-CN"/>
              </w:rPr>
              <w:t>乳化液</w:t>
            </w:r>
            <w:r>
              <w:rPr>
                <w:rFonts w:hint="eastAsia" w:ascii="Times New Roman" w:hAnsi="Times New Roman" w:eastAsia="宋体" w:cs="Times New Roman"/>
                <w:color w:val="auto"/>
                <w:kern w:val="2"/>
                <w:sz w:val="24"/>
                <w:szCs w:val="24"/>
                <w:highlight w:val="none"/>
              </w:rPr>
              <w:t>、</w:t>
            </w:r>
            <w:r>
              <w:rPr>
                <w:rFonts w:hint="eastAsia" w:ascii="Times New Roman" w:hAnsi="宋体" w:eastAsia="宋体" w:cs="Times New Roman"/>
                <w:bCs/>
                <w:color w:val="auto"/>
                <w:kern w:val="2"/>
                <w:sz w:val="24"/>
                <w:szCs w:val="24"/>
                <w:highlight w:val="none"/>
              </w:rPr>
              <w:t>废</w:t>
            </w:r>
            <w:r>
              <w:rPr>
                <w:rFonts w:hint="eastAsia" w:ascii="Times New Roman" w:hAnsi="宋体" w:eastAsia="宋体" w:cs="Times New Roman"/>
                <w:bCs/>
                <w:color w:val="auto"/>
                <w:kern w:val="2"/>
                <w:sz w:val="24"/>
                <w:szCs w:val="24"/>
                <w:highlight w:val="none"/>
                <w:lang w:eastAsia="zh-CN"/>
              </w:rPr>
              <w:t>乳化液</w:t>
            </w:r>
            <w:r>
              <w:rPr>
                <w:rFonts w:hint="eastAsia" w:ascii="Times New Roman" w:hAnsi="宋体" w:eastAsia="宋体" w:cs="Times New Roman"/>
                <w:bCs/>
                <w:color w:val="auto"/>
                <w:kern w:val="2"/>
                <w:sz w:val="24"/>
                <w:szCs w:val="24"/>
                <w:highlight w:val="none"/>
              </w:rPr>
              <w:t>桶</w:t>
            </w:r>
            <w:r>
              <w:rPr>
                <w:rFonts w:hint="eastAsia" w:ascii="Times New Roman" w:hAnsi="Times New Roman" w:eastAsia="宋体" w:cs="Times New Roman"/>
                <w:color w:val="auto"/>
                <w:kern w:val="2"/>
                <w:sz w:val="24"/>
                <w:szCs w:val="24"/>
                <w:highlight w:val="none"/>
              </w:rPr>
              <w:t>和噪声。</w:t>
            </w:r>
          </w:p>
          <w:p>
            <w:pPr>
              <w:keepNext w:val="0"/>
              <w:keepLines w:val="0"/>
              <w:pageBreakBefore w:val="0"/>
              <w:widowControl w:val="0"/>
              <w:tabs>
                <w:tab w:val="left" w:pos="1860"/>
              </w:tabs>
              <w:kinsoku/>
              <w:wordWrap/>
              <w:overflowPunct/>
              <w:topLinePunct w:val="0"/>
              <w:autoSpaceDE/>
              <w:autoSpaceDN/>
              <w:bidi w:val="0"/>
              <w:adjustRightInd/>
              <w:snapToGrid/>
              <w:spacing w:after="0" w:line="360" w:lineRule="auto"/>
              <w:ind w:firstLine="472" w:firstLineChars="196"/>
              <w:jc w:val="left"/>
              <w:textAlignment w:val="auto"/>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b/>
                <w:bCs/>
                <w:color w:val="auto"/>
                <w:kern w:val="2"/>
                <w:sz w:val="24"/>
                <w:szCs w:val="24"/>
                <w:highlight w:val="none"/>
                <w:lang w:val="en-US" w:eastAsia="zh-CN"/>
              </w:rPr>
              <w:t>抛光：</w:t>
            </w:r>
            <w:r>
              <w:rPr>
                <w:rFonts w:hint="eastAsia" w:ascii="Times New Roman" w:hAnsi="Times New Roman" w:eastAsia="宋体" w:cs="Times New Roman"/>
                <w:color w:val="auto"/>
                <w:kern w:val="2"/>
                <w:sz w:val="24"/>
                <w:szCs w:val="24"/>
                <w:highlight w:val="none"/>
                <w:lang w:val="en-US" w:eastAsia="zh-CN"/>
              </w:rPr>
              <w:t>项目使用抛光机对机加工后的工件进行抛光加工，使工件表面粗糙度降低，以获得光亮、平整表面。该过程产生粉尘和噪声。</w:t>
            </w:r>
          </w:p>
          <w:p>
            <w:pPr>
              <w:keepNext w:val="0"/>
              <w:keepLines w:val="0"/>
              <w:pageBreakBefore w:val="0"/>
              <w:widowControl w:val="0"/>
              <w:tabs>
                <w:tab w:val="left" w:pos="1860"/>
              </w:tabs>
              <w:kinsoku/>
              <w:wordWrap/>
              <w:overflowPunct/>
              <w:topLinePunct w:val="0"/>
              <w:autoSpaceDE/>
              <w:autoSpaceDN/>
              <w:bidi w:val="0"/>
              <w:adjustRightInd/>
              <w:snapToGrid/>
              <w:spacing w:after="0" w:line="360" w:lineRule="auto"/>
              <w:ind w:firstLine="472" w:firstLineChars="196"/>
              <w:jc w:val="left"/>
              <w:textAlignment w:val="auto"/>
              <w:rPr>
                <w:rFonts w:hint="eastAsia" w:ascii="Times New Roman" w:hAnsi="Times New Roman" w:eastAsia="宋体" w:cs="Times New Roman"/>
                <w:color w:val="auto"/>
                <w:kern w:val="2"/>
                <w:sz w:val="24"/>
                <w:szCs w:val="24"/>
                <w:highlight w:val="none"/>
                <w:lang w:eastAsia="zh-CN"/>
              </w:rPr>
            </w:pPr>
            <w:r>
              <w:rPr>
                <w:rFonts w:hint="eastAsia" w:ascii="Times New Roman" w:hAnsi="Times New Roman" w:eastAsia="宋体" w:cs="Times New Roman"/>
                <w:b/>
                <w:bCs/>
                <w:color w:val="auto"/>
                <w:kern w:val="2"/>
                <w:sz w:val="24"/>
                <w:szCs w:val="24"/>
                <w:highlight w:val="none"/>
                <w:lang w:eastAsia="zh-CN"/>
              </w:rPr>
              <w:t>组装：</w:t>
            </w:r>
            <w:r>
              <w:rPr>
                <w:rFonts w:hint="eastAsia" w:ascii="Times New Roman" w:hAnsi="Times New Roman" w:eastAsia="宋体" w:cs="Times New Roman"/>
                <w:color w:val="auto"/>
                <w:kern w:val="2"/>
                <w:sz w:val="24"/>
                <w:szCs w:val="24"/>
                <w:highlight w:val="none"/>
                <w:lang w:eastAsia="zh-CN"/>
              </w:rPr>
              <w:t>人工对外发电镀回厂的工件进行组装。</w:t>
            </w:r>
          </w:p>
          <w:p>
            <w:pPr>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textAlignment w:val="auto"/>
              <w:rPr>
                <w:rFonts w:ascii="Times New Roman" w:hAnsi="Times New Roman" w:eastAsia="宋体" w:cs="Times New Roman"/>
                <w:b/>
                <w:color w:val="FF0000"/>
                <w:kern w:val="2"/>
                <w:sz w:val="24"/>
                <w:szCs w:val="24"/>
                <w:highlight w:val="none"/>
              </w:rPr>
            </w:pPr>
            <w:r>
              <w:rPr>
                <w:rFonts w:hint="eastAsia" w:ascii="Times New Roman" w:hAnsi="Times New Roman" w:eastAsia="宋体" w:cs="Times New Roman"/>
                <w:b/>
                <w:color w:val="auto"/>
                <w:kern w:val="2"/>
                <w:sz w:val="24"/>
                <w:szCs w:val="24"/>
                <w:highlight w:val="none"/>
                <w:lang w:eastAsia="zh-CN"/>
              </w:rPr>
              <w:t>试水</w:t>
            </w:r>
            <w:r>
              <w:rPr>
                <w:rFonts w:hint="eastAsia" w:ascii="Times New Roman" w:hAnsi="Times New Roman" w:eastAsia="宋体" w:cs="Times New Roman"/>
                <w:b/>
                <w:color w:val="auto"/>
                <w:kern w:val="2"/>
                <w:sz w:val="24"/>
                <w:szCs w:val="24"/>
                <w:highlight w:val="none"/>
              </w:rPr>
              <w:t>：</w:t>
            </w:r>
            <w:r>
              <w:rPr>
                <w:rFonts w:hint="eastAsia"/>
                <w:color w:val="auto"/>
                <w:sz w:val="24"/>
              </w:rPr>
              <w:t>使用</w:t>
            </w:r>
            <w:r>
              <w:rPr>
                <w:rFonts w:hint="eastAsia"/>
                <w:color w:val="auto"/>
                <w:sz w:val="24"/>
                <w:lang w:eastAsia="zh-CN"/>
              </w:rPr>
              <w:t>试水机</w:t>
            </w:r>
            <w:r>
              <w:rPr>
                <w:rFonts w:hint="eastAsia"/>
                <w:color w:val="auto"/>
                <w:sz w:val="24"/>
              </w:rPr>
              <w:t>对</w:t>
            </w:r>
            <w:r>
              <w:rPr>
                <w:rFonts w:hint="eastAsia"/>
                <w:color w:val="auto"/>
                <w:sz w:val="24"/>
                <w:lang w:eastAsia="zh-CN"/>
              </w:rPr>
              <w:t>组装</w:t>
            </w:r>
            <w:r>
              <w:rPr>
                <w:rFonts w:hint="eastAsia"/>
                <w:color w:val="auto"/>
                <w:sz w:val="24"/>
              </w:rPr>
              <w:t>后的</w:t>
            </w:r>
            <w:r>
              <w:rPr>
                <w:rFonts w:hint="eastAsia"/>
                <w:color w:val="auto"/>
                <w:sz w:val="24"/>
                <w:lang w:eastAsia="zh-CN"/>
              </w:rPr>
              <w:t>成品</w:t>
            </w:r>
            <w:r>
              <w:rPr>
                <w:rFonts w:hint="eastAsia"/>
                <w:color w:val="auto"/>
                <w:sz w:val="24"/>
              </w:rPr>
              <w:t>进行</w:t>
            </w:r>
            <w:r>
              <w:rPr>
                <w:rFonts w:hint="eastAsia"/>
                <w:color w:val="auto"/>
                <w:sz w:val="24"/>
                <w:lang w:eastAsia="zh-CN"/>
              </w:rPr>
              <w:t>测试其性能</w:t>
            </w:r>
            <w:r>
              <w:rPr>
                <w:rFonts w:hint="eastAsia"/>
                <w:color w:val="auto"/>
                <w:sz w:val="24"/>
              </w:rPr>
              <w:t>，</w:t>
            </w:r>
            <w:r>
              <w:rPr>
                <w:bCs/>
                <w:color w:val="auto"/>
                <w:sz w:val="24"/>
              </w:rPr>
              <w:t>该</w:t>
            </w:r>
            <w:r>
              <w:rPr>
                <w:rFonts w:hint="eastAsia"/>
                <w:bCs/>
                <w:color w:val="auto"/>
                <w:sz w:val="24"/>
              </w:rPr>
              <w:t>工序</w:t>
            </w:r>
            <w:r>
              <w:rPr>
                <w:bCs/>
                <w:color w:val="auto"/>
                <w:sz w:val="24"/>
              </w:rPr>
              <w:t>产生</w:t>
            </w:r>
            <w:r>
              <w:rPr>
                <w:rFonts w:hint="eastAsia"/>
                <w:bCs/>
                <w:color w:val="auto"/>
                <w:sz w:val="24"/>
              </w:rPr>
              <w:t>少量</w:t>
            </w:r>
            <w:r>
              <w:rPr>
                <w:rFonts w:hint="eastAsia"/>
                <w:bCs/>
                <w:color w:val="auto"/>
                <w:sz w:val="24"/>
                <w:lang w:eastAsia="zh-CN"/>
              </w:rPr>
              <w:t>不合格品</w:t>
            </w:r>
            <w:r>
              <w:rPr>
                <w:rFonts w:hint="eastAsia"/>
                <w:bCs/>
                <w:color w:val="auto"/>
                <w:sz w:val="24"/>
              </w:rPr>
              <w:t>和噪声</w:t>
            </w:r>
            <w:r>
              <w:rPr>
                <w:rFonts w:ascii="Times New Roman" w:hAnsi="Times New Roman" w:eastAsia="宋体" w:cs="Times New Roman"/>
                <w:bCs/>
                <w:color w:val="auto"/>
                <w:kern w:val="2"/>
                <w:sz w:val="24"/>
                <w:szCs w:val="24"/>
                <w:highlight w:val="none"/>
              </w:rPr>
              <w:t>。</w:t>
            </w:r>
          </w:p>
          <w:p>
            <w:pPr>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textAlignment w:val="auto"/>
              <w:rPr>
                <w:rFonts w:ascii="Times New Roman" w:hAnsi="Times New Roman" w:eastAsia="宋体" w:cs="Times New Roman"/>
                <w:b/>
                <w:color w:val="auto"/>
                <w:kern w:val="2"/>
                <w:sz w:val="24"/>
                <w:szCs w:val="24"/>
                <w:highlight w:val="none"/>
              </w:rPr>
            </w:pPr>
            <w:r>
              <w:rPr>
                <w:rFonts w:hint="eastAsia" w:ascii="Times New Roman" w:hAnsi="Times New Roman" w:eastAsia="宋体" w:cs="Times New Roman"/>
                <w:b/>
                <w:color w:val="auto"/>
                <w:kern w:val="2"/>
                <w:sz w:val="24"/>
                <w:szCs w:val="24"/>
                <w:highlight w:val="none"/>
              </w:rPr>
              <w:t>包装：</w:t>
            </w:r>
            <w:r>
              <w:rPr>
                <w:rFonts w:hint="eastAsia" w:ascii="Times New Roman" w:hAnsi="Times New Roman" w:eastAsia="宋体" w:cs="Times New Roman"/>
                <w:color w:val="auto"/>
                <w:kern w:val="2"/>
                <w:sz w:val="24"/>
                <w:szCs w:val="24"/>
                <w:highlight w:val="none"/>
              </w:rPr>
              <w:t>人工将成品用包装材料进行包装后即可出货，该过程产生废包装材料。</w:t>
            </w:r>
          </w:p>
          <w:p>
            <w:pPr>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textAlignment w:val="auto"/>
              <w:rPr>
                <w:rFonts w:hint="eastAsia" w:ascii="Times New Roman" w:hAnsi="Times New Roman" w:eastAsia="宋体" w:cs="Times New Roman"/>
                <w:color w:val="auto"/>
                <w:kern w:val="2"/>
                <w:sz w:val="24"/>
                <w:szCs w:val="24"/>
                <w:highlight w:val="none"/>
              </w:rPr>
            </w:pPr>
            <w:r>
              <w:rPr>
                <w:rFonts w:hint="eastAsia" w:ascii="Times New Roman" w:hAnsi="宋体" w:eastAsia="宋体" w:cs="Times New Roman"/>
                <w:b/>
                <w:bCs/>
                <w:color w:val="auto"/>
                <w:kern w:val="2"/>
                <w:sz w:val="24"/>
                <w:szCs w:val="24"/>
                <w:highlight w:val="none"/>
              </w:rPr>
              <w:t>说明：</w:t>
            </w:r>
            <w:r>
              <w:rPr>
                <w:rFonts w:hint="eastAsia" w:ascii="Times New Roman" w:hAnsi="宋体" w:eastAsia="宋体" w:cs="Times New Roman"/>
                <w:color w:val="auto"/>
                <w:kern w:val="2"/>
                <w:sz w:val="24"/>
                <w:szCs w:val="24"/>
                <w:highlight w:val="none"/>
              </w:rPr>
              <w:t>1、</w:t>
            </w:r>
            <w:r>
              <w:rPr>
                <w:rFonts w:hint="eastAsia" w:ascii="Times New Roman" w:hAnsi="Times New Roman" w:eastAsia="宋体" w:cs="Times New Roman"/>
                <w:color w:val="auto"/>
                <w:kern w:val="2"/>
                <w:sz w:val="24"/>
                <w:szCs w:val="24"/>
                <w:highlight w:val="none"/>
              </w:rPr>
              <w:t>项目空压机为辅助设备，使用过程中产生噪声。</w:t>
            </w:r>
          </w:p>
          <w:p>
            <w:pPr>
              <w:keepNext w:val="0"/>
              <w:keepLines w:val="0"/>
              <w:pageBreakBefore w:val="0"/>
              <w:widowControl w:val="0"/>
              <w:kinsoku/>
              <w:wordWrap/>
              <w:overflowPunct/>
              <w:topLinePunct w:val="0"/>
              <w:autoSpaceDE/>
              <w:autoSpaceDN/>
              <w:bidi w:val="0"/>
              <w:adjustRightInd/>
              <w:snapToGrid/>
              <w:spacing w:after="0" w:line="360" w:lineRule="auto"/>
              <w:ind w:firstLine="1200" w:firstLineChars="500"/>
              <w:jc w:val="both"/>
              <w:textAlignment w:val="auto"/>
              <w:rPr>
                <w:rFonts w:hint="default" w:ascii="Times New Roman" w:hAnsi="Times New Roman" w:eastAsia="宋体" w:cs="Times New Roman"/>
                <w:color w:val="auto"/>
                <w:kern w:val="2"/>
                <w:sz w:val="24"/>
                <w:szCs w:val="24"/>
                <w:highlight w:val="none"/>
                <w:lang w:val="en-US" w:eastAsia="zh-CN"/>
              </w:rPr>
            </w:pPr>
            <w:r>
              <w:rPr>
                <w:rFonts w:hint="eastAsia" w:ascii="Times New Roman" w:cs="Times New Roman"/>
                <w:color w:val="auto"/>
                <w:kern w:val="2"/>
                <w:sz w:val="24"/>
                <w:szCs w:val="24"/>
                <w:highlight w:val="none"/>
                <w:lang w:val="en-US" w:eastAsia="zh-CN"/>
              </w:rPr>
              <w:t>2、项目模具先由本厂外购钢材，然</w:t>
            </w:r>
            <w:r>
              <w:rPr>
                <w:rFonts w:hint="eastAsia" w:ascii="Times New Roman" w:hAnsi="Times New Roman" w:eastAsia="宋体" w:cs="Times New Roman"/>
                <w:color w:val="auto"/>
                <w:kern w:val="2"/>
                <w:sz w:val="24"/>
                <w:szCs w:val="24"/>
                <w:highlight w:val="none"/>
                <w:lang w:val="en-US" w:eastAsia="zh-CN"/>
              </w:rPr>
              <w:t>后外发给其他厂家进行加工。</w:t>
            </w:r>
          </w:p>
          <w:p>
            <w:pPr>
              <w:keepNext w:val="0"/>
              <w:keepLines w:val="0"/>
              <w:pageBreakBefore w:val="0"/>
              <w:widowControl w:val="0"/>
              <w:kinsoku/>
              <w:wordWrap/>
              <w:overflowPunct/>
              <w:topLinePunct w:val="0"/>
              <w:autoSpaceDE/>
              <w:autoSpaceDN/>
              <w:bidi w:val="0"/>
              <w:adjustRightInd/>
              <w:snapToGrid/>
              <w:spacing w:after="0" w:line="360" w:lineRule="auto"/>
              <w:ind w:firstLine="1200" w:firstLineChars="500"/>
              <w:jc w:val="both"/>
              <w:textAlignment w:val="auto"/>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3、项目部分产品不经过红冲工序，直接进入机加工工序等后续工艺。</w:t>
            </w:r>
          </w:p>
          <w:p>
            <w:pPr>
              <w:keepNext w:val="0"/>
              <w:keepLines w:val="0"/>
              <w:pageBreakBefore w:val="0"/>
              <w:widowControl w:val="0"/>
              <w:kinsoku/>
              <w:wordWrap/>
              <w:overflowPunct/>
              <w:topLinePunct w:val="0"/>
              <w:autoSpaceDE/>
              <w:autoSpaceDN/>
              <w:bidi w:val="0"/>
              <w:adjustRightInd/>
              <w:snapToGrid/>
              <w:spacing w:after="0" w:line="360" w:lineRule="auto"/>
              <w:ind w:firstLine="1200" w:firstLineChars="500"/>
              <w:jc w:val="both"/>
              <w:textAlignment w:val="auto"/>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4、项目原料中600吨铜棒由客户提供，经过红冲工序即可交货；本项目产品所用铜棒为250吨/年。</w:t>
            </w:r>
          </w:p>
          <w:p>
            <w:pPr>
              <w:keepNext w:val="0"/>
              <w:keepLines w:val="0"/>
              <w:pageBreakBefore w:val="0"/>
              <w:widowControl w:val="0"/>
              <w:kinsoku/>
              <w:wordWrap/>
              <w:overflowPunct/>
              <w:topLinePunct w:val="0"/>
              <w:autoSpaceDE/>
              <w:autoSpaceDN/>
              <w:bidi w:val="0"/>
              <w:adjustRightInd/>
              <w:snapToGrid/>
              <w:spacing w:after="0" w:line="360" w:lineRule="auto"/>
              <w:ind w:firstLine="1100" w:firstLineChars="500"/>
              <w:jc w:val="both"/>
              <w:textAlignment w:val="auto"/>
              <w:rPr>
                <w:rFonts w:hint="default" w:ascii="Times New Roman" w:hAnsi="Times New Roman" w:cs="Times New Roman"/>
                <w:color w:val="FF0000"/>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586" w:type="dxa"/>
          </w:tcPr>
          <w:p>
            <w:pPr>
              <w:spacing w:after="0"/>
              <w:rPr>
                <w:rFonts w:hint="eastAsia" w:ascii="Times New Roman" w:hAnsi="Times New Roman" w:cs="Times New Roman" w:eastAsiaTheme="minorEastAsia"/>
                <w:b/>
                <w:color w:val="auto"/>
                <w:sz w:val="24"/>
                <w:szCs w:val="24"/>
                <w:lang w:eastAsia="zh-CN"/>
              </w:rPr>
            </w:pPr>
            <w:r>
              <w:rPr>
                <w:rFonts w:hint="default" w:ascii="Times New Roman" w:hAnsi="Times New Roman" w:cs="Times New Roman"/>
                <w:b/>
                <w:color w:val="auto"/>
                <w:sz w:val="24"/>
                <w:szCs w:val="24"/>
              </w:rPr>
              <w:t>产污环节分析</w:t>
            </w:r>
            <w:r>
              <w:rPr>
                <w:rFonts w:hint="eastAsia" w:ascii="Times New Roman" w:hAnsi="Times New Roman" w:cs="Times New Roman"/>
                <w:b/>
                <w:color w:val="auto"/>
                <w:sz w:val="24"/>
                <w:szCs w:val="24"/>
                <w:lang w:eastAsia="zh-CN"/>
              </w:rPr>
              <w:t>：</w:t>
            </w:r>
          </w:p>
          <w:p>
            <w:pPr>
              <w:widowControl w:val="0"/>
              <w:spacing w:after="0" w:line="360" w:lineRule="auto"/>
              <w:ind w:firstLine="480" w:firstLineChars="200"/>
              <w:jc w:val="both"/>
              <w:textAlignment w:val="baseline"/>
              <w:rPr>
                <w:rFonts w:hint="default" w:ascii="Times New Roman" w:hAnsi="Times New Roman" w:eastAsia="宋体" w:cs="Times New Roman"/>
                <w:color w:val="FF0000"/>
                <w:kern w:val="2"/>
                <w:sz w:val="24"/>
              </w:rPr>
            </w:pPr>
            <w:r>
              <w:rPr>
                <w:rFonts w:hint="default" w:ascii="Times New Roman" w:hAnsi="Times New Roman" w:eastAsia="宋体" w:cs="Times New Roman"/>
                <w:color w:val="auto"/>
                <w:kern w:val="2"/>
                <w:sz w:val="24"/>
              </w:rPr>
              <w:t>（1）废气：</w:t>
            </w:r>
            <w:r>
              <w:rPr>
                <w:rFonts w:hint="eastAsia" w:ascii="Times New Roman" w:hAnsi="Times New Roman" w:eastAsia="宋体" w:cs="Times New Roman"/>
                <w:color w:val="auto"/>
                <w:kern w:val="2"/>
                <w:sz w:val="24"/>
                <w:lang w:eastAsia="zh-CN"/>
              </w:rPr>
              <w:t>开料</w:t>
            </w:r>
            <w:r>
              <w:rPr>
                <w:rFonts w:hint="default" w:ascii="Times New Roman" w:hAnsi="Times New Roman" w:eastAsia="宋体" w:cs="Times New Roman"/>
                <w:color w:val="auto"/>
                <w:kern w:val="2"/>
                <w:sz w:val="24"/>
              </w:rPr>
              <w:t>、机加工</w:t>
            </w:r>
            <w:r>
              <w:rPr>
                <w:rFonts w:hint="eastAsia" w:ascii="Times New Roman" w:hAnsi="Times New Roman" w:eastAsia="宋体" w:cs="Times New Roman"/>
                <w:color w:val="auto"/>
                <w:kern w:val="2"/>
                <w:sz w:val="24"/>
                <w:lang w:eastAsia="zh-CN"/>
              </w:rPr>
              <w:t>、抛光</w:t>
            </w:r>
            <w:r>
              <w:rPr>
                <w:rFonts w:hint="default" w:ascii="Times New Roman" w:hAnsi="Times New Roman" w:eastAsia="宋体" w:cs="Times New Roman"/>
                <w:color w:val="auto"/>
                <w:kern w:val="2"/>
                <w:sz w:val="24"/>
              </w:rPr>
              <w:t>工序产生的粉尘；红冲</w:t>
            </w:r>
            <w:r>
              <w:rPr>
                <w:rFonts w:hint="eastAsia" w:ascii="Times New Roman" w:hAnsi="Times New Roman" w:eastAsia="宋体" w:cs="Times New Roman"/>
                <w:color w:val="auto"/>
                <w:kern w:val="2"/>
                <w:sz w:val="24"/>
                <w:lang w:eastAsia="zh-CN"/>
              </w:rPr>
              <w:t>工序产生的非甲烷总烃和</w:t>
            </w:r>
            <w:r>
              <w:rPr>
                <w:rFonts w:hint="default" w:ascii="Times New Roman" w:hAnsi="Times New Roman" w:eastAsia="宋体" w:cs="Times New Roman"/>
                <w:color w:val="auto"/>
                <w:kern w:val="2"/>
                <w:sz w:val="24"/>
              </w:rPr>
              <w:t>燃烧废气。</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（2）废水：</w:t>
            </w:r>
            <w:r>
              <w:rPr>
                <w:rFonts w:hint="eastAsia" w:ascii="Times New Roman" w:hAnsi="Times New Roman" w:eastAsia="宋体" w:cs="Times New Roman"/>
                <w:color w:val="auto"/>
                <w:kern w:val="2"/>
                <w:sz w:val="24"/>
                <w:lang w:eastAsia="zh-CN"/>
              </w:rPr>
              <w:t>测试用水、喷淋废水、</w:t>
            </w:r>
            <w:r>
              <w:rPr>
                <w:rFonts w:hint="default" w:ascii="Times New Roman" w:hAnsi="Times New Roman" w:eastAsia="宋体" w:cs="Times New Roman"/>
                <w:color w:val="auto"/>
                <w:kern w:val="2"/>
                <w:sz w:val="24"/>
              </w:rPr>
              <w:t>员工生活污水。</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（3）噪声：</w:t>
            </w:r>
            <w:r>
              <w:rPr>
                <w:rFonts w:ascii="Times New Roman" w:hAnsi="Times New Roman" w:eastAsia="宋体" w:cs="Times New Roman"/>
                <w:color w:val="auto"/>
                <w:kern w:val="2"/>
                <w:sz w:val="24"/>
                <w:szCs w:val="24"/>
              </w:rPr>
              <w:t>普通加工机械的运行噪声</w:t>
            </w:r>
            <w:r>
              <w:rPr>
                <w:rFonts w:hint="eastAsia" w:ascii="Times New Roman" w:hAnsi="Times New Roman" w:eastAsia="宋体" w:cs="Times New Roman"/>
                <w:color w:val="auto"/>
                <w:kern w:val="2"/>
                <w:sz w:val="24"/>
                <w:szCs w:val="24"/>
                <w:lang w:eastAsia="zh-CN"/>
              </w:rPr>
              <w:t>、</w:t>
            </w:r>
            <w:r>
              <w:rPr>
                <w:rFonts w:ascii="Times New Roman" w:hAnsi="Times New Roman" w:eastAsia="宋体" w:cs="Times New Roman"/>
                <w:color w:val="auto"/>
                <w:kern w:val="2"/>
                <w:sz w:val="24"/>
                <w:szCs w:val="24"/>
              </w:rPr>
              <w:t>空压机的运行噪声</w:t>
            </w:r>
            <w:r>
              <w:rPr>
                <w:rFonts w:hint="eastAsia" w:ascii="Times New Roman" w:hAnsi="Times New Roman" w:eastAsia="宋体" w:cs="Times New Roman"/>
                <w:color w:val="auto"/>
                <w:kern w:val="2"/>
                <w:sz w:val="24"/>
                <w:szCs w:val="24"/>
                <w:lang w:eastAsia="zh-CN"/>
              </w:rPr>
              <w:t>、</w:t>
            </w:r>
            <w:r>
              <w:rPr>
                <w:rFonts w:ascii="Times New Roman" w:hAnsi="Times New Roman" w:eastAsia="宋体" w:cs="Times New Roman"/>
                <w:color w:val="auto"/>
                <w:kern w:val="2"/>
                <w:sz w:val="24"/>
                <w:szCs w:val="24"/>
              </w:rPr>
              <w:t>机械通风所用通风机运行时产生的噪声</w:t>
            </w:r>
            <w:r>
              <w:rPr>
                <w:rFonts w:hint="default" w:ascii="Times New Roman" w:hAnsi="Times New Roman" w:eastAsia="宋体" w:cs="Times New Roman"/>
                <w:color w:val="auto"/>
                <w:kern w:val="2"/>
                <w:sz w:val="24"/>
              </w:rPr>
              <w:t>。</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（4）一般固体废物：主要为员工生活垃圾和沉降金属粉尘</w:t>
            </w:r>
            <w:r>
              <w:rPr>
                <w:rFonts w:hint="eastAsia"/>
                <w:color w:val="auto"/>
                <w:spacing w:val="-2"/>
                <w:sz w:val="24"/>
                <w:highlight w:val="none"/>
              </w:rPr>
              <w:t>、边角料、不合格品、废包装材料、布袋除尘装置收集的粉尘</w:t>
            </w:r>
            <w:r>
              <w:rPr>
                <w:rFonts w:hint="default" w:ascii="Times New Roman" w:hAnsi="Times New Roman" w:eastAsia="宋体" w:cs="Times New Roman"/>
                <w:color w:val="auto"/>
                <w:kern w:val="2"/>
                <w:sz w:val="24"/>
              </w:rPr>
              <w:t>。</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（5）危险废物：</w:t>
            </w:r>
            <w:r>
              <w:rPr>
                <w:rFonts w:hint="eastAsia" w:ascii="Times New Roman" w:hAnsi="Times New Roman" w:eastAsia="宋体" w:cs="Times New Roman"/>
                <w:color w:val="auto"/>
                <w:kern w:val="2"/>
                <w:sz w:val="24"/>
                <w:szCs w:val="24"/>
                <w:lang w:eastAsia="zh-CN"/>
              </w:rPr>
              <w:t>废润滑油油桶、废乳化液桶、废润滑油、废乳化液、</w:t>
            </w:r>
            <w:r>
              <w:rPr>
                <w:rFonts w:hint="eastAsia"/>
                <w:color w:val="auto"/>
                <w:sz w:val="24"/>
                <w:szCs w:val="22"/>
                <w:highlight w:val="none"/>
              </w:rPr>
              <w:t>含油抹布、</w:t>
            </w:r>
            <w:r>
              <w:rPr>
                <w:rFonts w:hint="eastAsia" w:ascii="Times New Roman" w:hAnsi="Times New Roman" w:eastAsia="宋体" w:cs="Times New Roman"/>
                <w:color w:val="auto"/>
                <w:kern w:val="2"/>
                <w:sz w:val="24"/>
                <w:szCs w:val="24"/>
                <w:lang w:eastAsia="zh-CN"/>
              </w:rPr>
              <w:t>废活性炭</w:t>
            </w:r>
            <w:r>
              <w:rPr>
                <w:rFonts w:hint="default" w:ascii="Times New Roman" w:hAnsi="Times New Roman" w:eastAsia="宋体" w:cs="Times New Roman"/>
                <w:color w:val="auto"/>
                <w:kern w:val="2"/>
                <w:sz w:val="24"/>
              </w:rPr>
              <w:t>。</w:t>
            </w:r>
          </w:p>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主要污染源分析</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1、水污染物</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◇生活污水</w:t>
            </w:r>
          </w:p>
          <w:p>
            <w:pPr>
              <w:widowControl w:val="0"/>
              <w:snapToGrid w:val="0"/>
              <w:spacing w:after="0" w:line="360" w:lineRule="auto"/>
              <w:ind w:firstLine="480" w:firstLineChars="200"/>
              <w:jc w:val="both"/>
              <w:rPr>
                <w:rFonts w:ascii="Times New Roman" w:hAnsi="Times New Roman" w:eastAsia="宋体" w:cs="Times New Roman"/>
                <w:color w:val="auto"/>
                <w:kern w:val="2"/>
                <w:sz w:val="24"/>
                <w:szCs w:val="24"/>
                <w:shd w:val="clear" w:color="auto" w:fill="auto"/>
              </w:rPr>
            </w:pPr>
            <w:r>
              <w:rPr>
                <w:rFonts w:ascii="Times New Roman" w:hAnsi="Times New Roman" w:eastAsia="宋体" w:cs="Times New Roman"/>
                <w:color w:val="auto"/>
                <w:kern w:val="2"/>
                <w:sz w:val="24"/>
                <w:szCs w:val="24"/>
                <w:shd w:val="clear" w:color="auto" w:fill="auto"/>
              </w:rPr>
              <w:t>项目设有员工及管理人员总数为</w:t>
            </w:r>
            <w:r>
              <w:rPr>
                <w:rFonts w:hint="eastAsia" w:ascii="Times New Roman" w:hAnsi="Times New Roman" w:eastAsia="宋体" w:cs="Times New Roman"/>
                <w:color w:val="auto"/>
                <w:kern w:val="2"/>
                <w:sz w:val="24"/>
                <w:szCs w:val="24"/>
                <w:shd w:val="clear" w:color="auto" w:fill="auto"/>
                <w:lang w:val="en-US" w:eastAsia="zh-CN"/>
              </w:rPr>
              <w:t>32</w:t>
            </w:r>
            <w:r>
              <w:rPr>
                <w:rFonts w:ascii="Times New Roman" w:hAnsi="Times New Roman" w:eastAsia="宋体" w:cs="Times New Roman"/>
                <w:color w:val="auto"/>
                <w:kern w:val="2"/>
                <w:sz w:val="24"/>
                <w:szCs w:val="24"/>
                <w:shd w:val="clear" w:color="auto" w:fill="auto"/>
              </w:rPr>
              <w:t>人，</w:t>
            </w:r>
            <w:r>
              <w:rPr>
                <w:rFonts w:hint="eastAsia" w:ascii="Times New Roman" w:hAnsi="Times New Roman" w:eastAsia="宋体" w:cs="Times New Roman"/>
                <w:color w:val="auto"/>
                <w:kern w:val="2"/>
                <w:sz w:val="24"/>
                <w:szCs w:val="24"/>
                <w:shd w:val="clear" w:color="auto" w:fill="auto"/>
              </w:rPr>
              <w:t>均</w:t>
            </w:r>
            <w:r>
              <w:rPr>
                <w:rFonts w:hint="eastAsia" w:ascii="Times New Roman" w:hAnsi="Times New Roman" w:eastAsia="宋体" w:cs="Times New Roman"/>
                <w:color w:val="auto"/>
                <w:kern w:val="2"/>
                <w:sz w:val="24"/>
                <w:szCs w:val="24"/>
                <w:shd w:val="clear" w:color="auto" w:fill="auto"/>
                <w:lang w:eastAsia="zh-CN"/>
              </w:rPr>
              <w:t>不</w:t>
            </w:r>
            <w:r>
              <w:rPr>
                <w:rFonts w:hint="eastAsia" w:ascii="Times New Roman" w:hAnsi="Times New Roman" w:eastAsia="宋体" w:cs="Times New Roman"/>
                <w:color w:val="auto"/>
                <w:kern w:val="2"/>
                <w:sz w:val="24"/>
                <w:szCs w:val="24"/>
                <w:shd w:val="clear" w:color="auto" w:fill="auto"/>
              </w:rPr>
              <w:t>在项目内食宿</w:t>
            </w:r>
            <w:r>
              <w:rPr>
                <w:rFonts w:hint="eastAsia" w:ascii="Times New Roman" w:hAnsi="Times New Roman" w:eastAsia="宋体" w:cs="Times New Roman"/>
                <w:bCs/>
                <w:color w:val="auto"/>
                <w:kern w:val="2"/>
                <w:sz w:val="24"/>
                <w:szCs w:val="24"/>
                <w:shd w:val="clear" w:color="auto" w:fill="auto"/>
              </w:rPr>
              <w:t>，</w:t>
            </w:r>
            <w:r>
              <w:rPr>
                <w:rFonts w:ascii="Times New Roman" w:hAnsi="Times New Roman" w:eastAsia="宋体" w:cs="Times New Roman"/>
                <w:color w:val="auto"/>
                <w:kern w:val="2"/>
                <w:sz w:val="24"/>
                <w:szCs w:val="24"/>
                <w:lang w:val="en-US" w:eastAsia="zh-CN"/>
              </w:rPr>
              <w:t>根据《广东省用水定额》（DB44/1461-2014），</w:t>
            </w:r>
            <w:r>
              <w:rPr>
                <w:rFonts w:hint="eastAsia" w:ascii="Times New Roman" w:hAnsi="Times New Roman" w:eastAsia="宋体" w:cs="Times New Roman"/>
                <w:color w:val="auto"/>
                <w:kern w:val="2"/>
                <w:sz w:val="24"/>
                <w:szCs w:val="24"/>
                <w:shd w:val="clear" w:color="auto" w:fill="auto"/>
              </w:rPr>
              <w:t>则项目一天用水量=0.</w:t>
            </w:r>
            <w:r>
              <w:rPr>
                <w:rFonts w:hint="eastAsia" w:ascii="Times New Roman" w:hAnsi="Times New Roman" w:eastAsia="宋体" w:cs="Times New Roman"/>
                <w:color w:val="auto"/>
                <w:kern w:val="2"/>
                <w:sz w:val="24"/>
                <w:szCs w:val="24"/>
                <w:shd w:val="clear" w:color="auto" w:fill="auto"/>
                <w:lang w:val="en-US" w:eastAsia="zh-CN"/>
              </w:rPr>
              <w:t>04</w:t>
            </w:r>
            <w:r>
              <w:rPr>
                <w:rFonts w:hint="eastAsia" w:ascii="Times New Roman" w:hAnsi="Times New Roman" w:eastAsia="宋体" w:cs="Times New Roman"/>
                <w:color w:val="auto"/>
                <w:kern w:val="2"/>
                <w:sz w:val="24"/>
                <w:szCs w:val="24"/>
                <w:shd w:val="clear" w:color="auto" w:fill="auto"/>
              </w:rPr>
              <w:t>t</w:t>
            </w:r>
            <w:r>
              <w:rPr>
                <w:rFonts w:ascii="Times New Roman" w:hAnsi="Times New Roman" w:eastAsia="宋体" w:cs="Times New Roman"/>
                <w:color w:val="auto"/>
                <w:kern w:val="2"/>
                <w:sz w:val="24"/>
                <w:szCs w:val="24"/>
                <w:shd w:val="clear" w:color="auto" w:fill="auto"/>
              </w:rPr>
              <w:t>/d</w:t>
            </w:r>
            <w:r>
              <w:rPr>
                <w:rFonts w:hint="eastAsia" w:ascii="Times New Roman" w:hAnsi="Times New Roman" w:eastAsia="宋体" w:cs="Times New Roman"/>
                <w:color w:val="auto"/>
                <w:kern w:val="2"/>
                <w:sz w:val="24"/>
                <w:szCs w:val="24"/>
                <w:shd w:val="clear" w:color="auto" w:fill="auto"/>
              </w:rPr>
              <w:t>×</w:t>
            </w:r>
            <w:r>
              <w:rPr>
                <w:rFonts w:hint="eastAsia" w:ascii="Times New Roman" w:hAnsi="Times New Roman" w:eastAsia="宋体" w:cs="Times New Roman"/>
                <w:color w:val="auto"/>
                <w:kern w:val="2"/>
                <w:sz w:val="24"/>
                <w:szCs w:val="24"/>
                <w:shd w:val="clear" w:color="auto" w:fill="auto"/>
                <w:lang w:val="en-US" w:eastAsia="zh-CN"/>
              </w:rPr>
              <w:t>32</w:t>
            </w:r>
            <w:r>
              <w:rPr>
                <w:rFonts w:hint="eastAsia" w:ascii="Times New Roman" w:hAnsi="Times New Roman" w:eastAsia="宋体" w:cs="Times New Roman"/>
                <w:color w:val="auto"/>
                <w:kern w:val="2"/>
                <w:sz w:val="24"/>
                <w:szCs w:val="24"/>
                <w:shd w:val="clear" w:color="auto" w:fill="auto"/>
              </w:rPr>
              <w:t>=</w:t>
            </w:r>
            <w:r>
              <w:rPr>
                <w:rFonts w:hint="eastAsia" w:ascii="Times New Roman" w:hAnsi="Times New Roman" w:eastAsia="宋体" w:cs="Times New Roman"/>
                <w:color w:val="auto"/>
                <w:kern w:val="2"/>
                <w:sz w:val="24"/>
                <w:szCs w:val="24"/>
                <w:shd w:val="clear" w:color="auto" w:fill="auto"/>
                <w:lang w:val="en-US" w:eastAsia="zh-CN"/>
              </w:rPr>
              <w:t>1.28</w:t>
            </w:r>
            <w:r>
              <w:rPr>
                <w:rFonts w:hint="eastAsia" w:ascii="Times New Roman" w:hAnsi="Times New Roman" w:eastAsia="宋体" w:cs="Times New Roman"/>
                <w:color w:val="auto"/>
                <w:kern w:val="2"/>
                <w:sz w:val="24"/>
                <w:szCs w:val="24"/>
                <w:shd w:val="clear" w:color="auto" w:fill="auto"/>
              </w:rPr>
              <w:t>t</w:t>
            </w:r>
            <w:r>
              <w:rPr>
                <w:rFonts w:ascii="Times New Roman" w:hAnsi="Times New Roman" w:eastAsia="宋体" w:cs="Times New Roman"/>
                <w:color w:val="auto"/>
                <w:kern w:val="2"/>
                <w:sz w:val="24"/>
                <w:szCs w:val="24"/>
                <w:shd w:val="clear" w:color="auto" w:fill="auto"/>
              </w:rPr>
              <w:t>/d</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color w:val="auto"/>
                <w:kern w:val="2"/>
                <w:sz w:val="24"/>
                <w:szCs w:val="24"/>
                <w:shd w:val="clear" w:color="auto" w:fill="auto"/>
              </w:rPr>
              <w:t>一年</w:t>
            </w:r>
            <w:r>
              <w:rPr>
                <w:rFonts w:hint="eastAsia" w:ascii="Times New Roman" w:hAnsi="Times New Roman" w:eastAsia="宋体" w:cs="Times New Roman"/>
                <w:color w:val="auto"/>
                <w:kern w:val="2"/>
                <w:sz w:val="24"/>
                <w:szCs w:val="24"/>
                <w:shd w:val="clear" w:color="auto" w:fill="auto"/>
              </w:rPr>
              <w:t>300</w:t>
            </w:r>
            <w:r>
              <w:rPr>
                <w:rFonts w:ascii="Times New Roman" w:hAnsi="Times New Roman" w:eastAsia="宋体" w:cs="Times New Roman"/>
                <w:color w:val="auto"/>
                <w:kern w:val="2"/>
                <w:sz w:val="24"/>
                <w:szCs w:val="24"/>
                <w:shd w:val="clear" w:color="auto" w:fill="auto"/>
              </w:rPr>
              <w:t>天计算，生活用水</w:t>
            </w:r>
            <w:r>
              <w:rPr>
                <w:rFonts w:hint="eastAsia" w:ascii="Times New Roman" w:hAnsi="Times New Roman" w:eastAsia="宋体" w:cs="Times New Roman"/>
                <w:color w:val="auto"/>
                <w:kern w:val="2"/>
                <w:sz w:val="24"/>
                <w:szCs w:val="24"/>
                <w:shd w:val="clear" w:color="auto" w:fill="auto"/>
              </w:rPr>
              <w:t>量</w:t>
            </w:r>
            <w:r>
              <w:rPr>
                <w:rFonts w:ascii="Times New Roman" w:hAnsi="Times New Roman" w:eastAsia="宋体" w:cs="Times New Roman"/>
                <w:color w:val="auto"/>
                <w:kern w:val="2"/>
                <w:sz w:val="24"/>
                <w:szCs w:val="24"/>
                <w:shd w:val="clear" w:color="auto" w:fill="auto"/>
              </w:rPr>
              <w:t>为</w:t>
            </w:r>
            <w:r>
              <w:rPr>
                <w:rFonts w:hint="eastAsia" w:ascii="Times New Roman" w:hAnsi="Times New Roman" w:eastAsia="宋体" w:cs="Times New Roman"/>
                <w:color w:val="auto"/>
                <w:kern w:val="2"/>
                <w:sz w:val="24"/>
                <w:szCs w:val="24"/>
                <w:shd w:val="clear" w:color="auto" w:fill="auto"/>
                <w:lang w:val="en-US" w:eastAsia="zh-CN"/>
              </w:rPr>
              <w:t>384</w:t>
            </w:r>
            <w:r>
              <w:rPr>
                <w:rFonts w:ascii="Times New Roman" w:hAnsi="Times New Roman" w:eastAsia="宋体" w:cs="Times New Roman"/>
                <w:color w:val="auto"/>
                <w:kern w:val="2"/>
                <w:sz w:val="24"/>
                <w:szCs w:val="24"/>
                <w:shd w:val="clear" w:color="auto" w:fill="auto"/>
              </w:rPr>
              <w:t>t/a。项目生活污水排污系数按0.9计算，则生活污水排放量约为</w:t>
            </w:r>
            <w:r>
              <w:rPr>
                <w:rFonts w:hint="eastAsia" w:ascii="Times New Roman" w:hAnsi="Times New Roman" w:eastAsia="宋体" w:cs="Times New Roman"/>
                <w:color w:val="auto"/>
                <w:kern w:val="2"/>
                <w:sz w:val="24"/>
                <w:szCs w:val="24"/>
                <w:shd w:val="clear" w:color="auto" w:fill="auto"/>
                <w:lang w:val="en-US" w:eastAsia="zh-CN"/>
              </w:rPr>
              <w:t>345.6</w:t>
            </w:r>
            <w:r>
              <w:rPr>
                <w:rFonts w:hint="eastAsia" w:ascii="Times New Roman" w:hAnsi="Times New Roman" w:eastAsia="宋体" w:cs="Times New Roman"/>
                <w:color w:val="auto"/>
                <w:kern w:val="2"/>
                <w:sz w:val="24"/>
                <w:szCs w:val="24"/>
                <w:shd w:val="clear" w:color="auto" w:fill="auto"/>
              </w:rPr>
              <w:t>t</w:t>
            </w:r>
            <w:r>
              <w:rPr>
                <w:rFonts w:ascii="Times New Roman" w:hAnsi="Times New Roman" w:eastAsia="宋体" w:cs="Times New Roman"/>
                <w:color w:val="auto"/>
                <w:kern w:val="2"/>
                <w:sz w:val="24"/>
                <w:szCs w:val="24"/>
                <w:shd w:val="clear" w:color="auto" w:fill="auto"/>
              </w:rPr>
              <w:t>/a，该类污水的主要污染物为COD</w:t>
            </w:r>
            <w:r>
              <w:rPr>
                <w:rFonts w:ascii="Times New Roman" w:hAnsi="Times New Roman" w:eastAsia="楷体_GB2312" w:cs="Times New Roman"/>
                <w:color w:val="auto"/>
                <w:kern w:val="2"/>
                <w:sz w:val="24"/>
                <w:szCs w:val="24"/>
                <w:shd w:val="clear" w:color="auto" w:fill="auto"/>
                <w:vertAlign w:val="subscript"/>
              </w:rPr>
              <w:t>Cr</w:t>
            </w:r>
            <w:r>
              <w:rPr>
                <w:rFonts w:ascii="Times New Roman" w:hAnsi="Times New Roman" w:eastAsia="宋体" w:cs="Times New Roman"/>
                <w:color w:val="auto"/>
                <w:kern w:val="2"/>
                <w:sz w:val="24"/>
                <w:szCs w:val="24"/>
                <w:shd w:val="clear" w:color="auto" w:fill="auto"/>
              </w:rPr>
              <w:t>（</w:t>
            </w:r>
            <w:r>
              <w:rPr>
                <w:rFonts w:hint="eastAsia" w:ascii="Times New Roman" w:hAnsi="Times New Roman" w:eastAsia="宋体" w:cs="Times New Roman"/>
                <w:color w:val="auto"/>
                <w:kern w:val="2"/>
                <w:sz w:val="24"/>
                <w:szCs w:val="24"/>
                <w:shd w:val="clear" w:color="auto" w:fill="auto"/>
                <w:lang w:val="en-US" w:eastAsia="zh-CN"/>
              </w:rPr>
              <w:t>250</w:t>
            </w:r>
            <w:r>
              <w:rPr>
                <w:rFonts w:ascii="Times New Roman" w:hAnsi="Times New Roman" w:eastAsia="宋体" w:cs="Times New Roman"/>
                <w:color w:val="auto"/>
                <w:kern w:val="2"/>
                <w:sz w:val="24"/>
                <w:szCs w:val="24"/>
                <w:shd w:val="clear" w:color="auto" w:fill="auto"/>
              </w:rPr>
              <w:t>mg/L）、BOD</w:t>
            </w:r>
            <w:r>
              <w:rPr>
                <w:rFonts w:ascii="Times New Roman" w:hAnsi="Times New Roman" w:eastAsia="宋体" w:cs="Times New Roman"/>
                <w:color w:val="auto"/>
                <w:kern w:val="2"/>
                <w:sz w:val="24"/>
                <w:szCs w:val="24"/>
                <w:shd w:val="clear" w:color="auto" w:fill="auto"/>
                <w:vertAlign w:val="subscript"/>
              </w:rPr>
              <w:t>5</w:t>
            </w:r>
            <w:r>
              <w:rPr>
                <w:rFonts w:ascii="Times New Roman" w:hAnsi="Times New Roman" w:eastAsia="宋体" w:cs="Times New Roman"/>
                <w:color w:val="auto"/>
                <w:kern w:val="2"/>
                <w:sz w:val="24"/>
                <w:szCs w:val="24"/>
                <w:shd w:val="clear" w:color="auto" w:fill="auto"/>
              </w:rPr>
              <w:t>（</w:t>
            </w:r>
            <w:r>
              <w:rPr>
                <w:rFonts w:hint="eastAsia" w:ascii="Times New Roman" w:hAnsi="Times New Roman" w:eastAsia="宋体" w:cs="Times New Roman"/>
                <w:color w:val="auto"/>
                <w:kern w:val="2"/>
                <w:sz w:val="24"/>
                <w:szCs w:val="24"/>
                <w:shd w:val="clear" w:color="auto" w:fill="auto"/>
                <w:lang w:val="en-US" w:eastAsia="zh-CN"/>
              </w:rPr>
              <w:t>150</w:t>
            </w:r>
            <w:r>
              <w:rPr>
                <w:rFonts w:ascii="Times New Roman" w:hAnsi="Times New Roman" w:eastAsia="宋体" w:cs="Times New Roman"/>
                <w:color w:val="auto"/>
                <w:kern w:val="2"/>
                <w:sz w:val="24"/>
                <w:szCs w:val="24"/>
                <w:shd w:val="clear" w:color="auto" w:fill="auto"/>
              </w:rPr>
              <w:t>mg/L）、SS（</w:t>
            </w:r>
            <w:r>
              <w:rPr>
                <w:rFonts w:hint="eastAsia" w:ascii="Times New Roman" w:hAnsi="Times New Roman" w:eastAsia="宋体" w:cs="Times New Roman"/>
                <w:color w:val="auto"/>
                <w:kern w:val="2"/>
                <w:sz w:val="24"/>
                <w:szCs w:val="24"/>
                <w:shd w:val="clear" w:color="auto" w:fill="auto"/>
                <w:lang w:val="en-US" w:eastAsia="zh-CN"/>
              </w:rPr>
              <w:t>150</w:t>
            </w:r>
            <w:r>
              <w:rPr>
                <w:rFonts w:ascii="Times New Roman" w:hAnsi="Times New Roman" w:eastAsia="宋体" w:cs="Times New Roman"/>
                <w:color w:val="auto"/>
                <w:kern w:val="2"/>
                <w:sz w:val="24"/>
                <w:szCs w:val="24"/>
                <w:shd w:val="clear" w:color="auto" w:fill="auto"/>
              </w:rPr>
              <w:t>mg/L）、NH</w:t>
            </w:r>
            <w:r>
              <w:rPr>
                <w:rFonts w:ascii="Times New Roman" w:hAnsi="Times New Roman" w:eastAsia="宋体" w:cs="Times New Roman"/>
                <w:color w:val="auto"/>
                <w:kern w:val="2"/>
                <w:sz w:val="24"/>
                <w:szCs w:val="24"/>
                <w:shd w:val="clear" w:color="auto" w:fill="auto"/>
                <w:vertAlign w:val="subscript"/>
              </w:rPr>
              <w:t>3</w:t>
            </w:r>
            <w:r>
              <w:rPr>
                <w:rFonts w:ascii="Times New Roman" w:hAnsi="Times New Roman" w:eastAsia="宋体" w:cs="Times New Roman"/>
                <w:color w:val="auto"/>
                <w:kern w:val="2"/>
                <w:sz w:val="24"/>
                <w:szCs w:val="24"/>
                <w:shd w:val="clear" w:color="auto" w:fill="auto"/>
              </w:rPr>
              <w:t>-N（25mg/L）。</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zh-CN" w:eastAsia="zh-CN" w:bidi="ar-SA"/>
              </w:rPr>
              <w:t>生活污水污染物</w:t>
            </w:r>
            <w:r>
              <w:rPr>
                <w:rFonts w:hint="eastAsia" w:ascii="Times New Roman" w:hAnsi="Times New Roman" w:eastAsia="宋体" w:cs="Times New Roman"/>
                <w:b/>
                <w:color w:val="auto"/>
                <w:kern w:val="0"/>
                <w:sz w:val="21"/>
                <w:szCs w:val="21"/>
                <w:lang w:val="zh-CN" w:eastAsia="zh-CN" w:bidi="ar-SA"/>
              </w:rPr>
              <w:t>产排情况表</w:t>
            </w:r>
          </w:p>
          <w:tbl>
            <w:tblPr>
              <w:tblStyle w:val="43"/>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362"/>
              <w:gridCol w:w="1361"/>
              <w:gridCol w:w="1361"/>
              <w:gridCol w:w="1530"/>
              <w:gridCol w:w="15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restart"/>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废水量</w:t>
                  </w:r>
                </w:p>
              </w:tc>
              <w:tc>
                <w:tcPr>
                  <w:tcW w:w="1362" w:type="dxa"/>
                  <w:vMerge w:val="restart"/>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污染物</w:t>
                  </w:r>
                </w:p>
              </w:tc>
              <w:tc>
                <w:tcPr>
                  <w:tcW w:w="2722" w:type="dxa"/>
                  <w:gridSpan w:val="2"/>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产生情况</w:t>
                  </w:r>
                </w:p>
              </w:tc>
              <w:tc>
                <w:tcPr>
                  <w:tcW w:w="3056" w:type="dxa"/>
                  <w:gridSpan w:val="2"/>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p>
              </w:tc>
              <w:tc>
                <w:tcPr>
                  <w:tcW w:w="1362" w:type="dxa"/>
                  <w:vMerge w:val="continue"/>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p>
              </w:tc>
              <w:tc>
                <w:tcPr>
                  <w:tcW w:w="1361" w:type="dxa"/>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产生浓度</w:t>
                  </w:r>
                </w:p>
              </w:tc>
              <w:tc>
                <w:tcPr>
                  <w:tcW w:w="1361" w:type="dxa"/>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产生量</w:t>
                  </w:r>
                </w:p>
              </w:tc>
              <w:tc>
                <w:tcPr>
                  <w:tcW w:w="1530" w:type="dxa"/>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排放浓度</w:t>
                  </w:r>
                </w:p>
              </w:tc>
              <w:tc>
                <w:tcPr>
                  <w:tcW w:w="1526" w:type="dxa"/>
                  <w:tcBorders>
                    <w:tl2br w:val="nil"/>
                    <w:tr2bl w:val="nil"/>
                  </w:tcBorders>
                  <w:noWrap w:val="0"/>
                  <w:vAlign w:val="center"/>
                </w:tcPr>
                <w:p>
                  <w:pPr>
                    <w:widowControl/>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restart"/>
                  <w:tcBorders>
                    <w:tl2br w:val="nil"/>
                    <w:tr2bl w:val="nil"/>
                  </w:tcBorders>
                  <w:noWrap w:val="0"/>
                  <w:vAlign w:val="center"/>
                </w:tcPr>
                <w:p>
                  <w:pPr>
                    <w:widowControl w:val="0"/>
                    <w:spacing w:after="0" w:line="240" w:lineRule="auto"/>
                    <w:jc w:val="center"/>
                    <w:rPr>
                      <w:rFonts w:ascii="Times New Roman" w:hAnsi="Times New Roman" w:eastAsia="宋体" w:cs="Times New Roman"/>
                      <w:color w:val="FF0000"/>
                      <w:kern w:val="2"/>
                      <w:sz w:val="21"/>
                      <w:szCs w:val="21"/>
                    </w:rPr>
                  </w:pPr>
                  <w:r>
                    <w:rPr>
                      <w:rFonts w:hint="eastAsia" w:ascii="Times New Roman" w:hAnsi="Times New Roman" w:eastAsia="宋体" w:cs="Times New Roman"/>
                      <w:color w:val="auto"/>
                      <w:kern w:val="2"/>
                      <w:sz w:val="21"/>
                      <w:szCs w:val="21"/>
                      <w:lang w:val="en-US" w:eastAsia="zh-CN"/>
                    </w:rPr>
                    <w:t>345.6t</w:t>
                  </w:r>
                  <w:r>
                    <w:rPr>
                      <w:rFonts w:ascii="Times New Roman" w:hAnsi="Times New Roman" w:eastAsia="宋体" w:cs="Times New Roman"/>
                      <w:color w:val="auto"/>
                      <w:kern w:val="2"/>
                      <w:sz w:val="21"/>
                      <w:szCs w:val="21"/>
                    </w:rPr>
                    <w:t>/a</w:t>
                  </w:r>
                </w:p>
              </w:tc>
              <w:tc>
                <w:tcPr>
                  <w:tcW w:w="1362"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COD</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250</w:t>
                  </w:r>
                  <w:r>
                    <w:rPr>
                      <w:rFonts w:ascii="Times New Roman" w:hAnsi="Times New Roman" w:eastAsia="宋体" w:cs="Times New Roman"/>
                      <w:bCs/>
                      <w:color w:val="auto"/>
                      <w:kern w:val="0"/>
                      <w:sz w:val="21"/>
                      <w:szCs w:val="21"/>
                    </w:rPr>
                    <w:t>mg/L</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0.086</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c>
                <w:tcPr>
                  <w:tcW w:w="1530"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ascii="Times New Roman" w:hAnsi="Times New Roman" w:eastAsia="宋体" w:cs="Times New Roman"/>
                      <w:bCs/>
                      <w:color w:val="auto"/>
                      <w:kern w:val="0"/>
                      <w:sz w:val="21"/>
                      <w:szCs w:val="21"/>
                    </w:rPr>
                    <w:t>200mg/L</w:t>
                  </w:r>
                </w:p>
              </w:tc>
              <w:tc>
                <w:tcPr>
                  <w:tcW w:w="1526"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0.069</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noWrap w:val="0"/>
                  <w:vAlign w:val="center"/>
                </w:tcPr>
                <w:p>
                  <w:pPr>
                    <w:widowControl/>
                    <w:spacing w:after="0" w:line="240" w:lineRule="auto"/>
                    <w:jc w:val="center"/>
                    <w:rPr>
                      <w:rFonts w:ascii="Times New Roman" w:hAnsi="Times New Roman" w:eastAsia="宋体" w:cs="Times New Roman"/>
                      <w:color w:val="FF0000"/>
                      <w:kern w:val="2"/>
                      <w:sz w:val="21"/>
                      <w:szCs w:val="21"/>
                    </w:rPr>
                  </w:pPr>
                </w:p>
              </w:tc>
              <w:tc>
                <w:tcPr>
                  <w:tcW w:w="1362"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BOD</w:t>
                  </w:r>
                  <w:r>
                    <w:rPr>
                      <w:rFonts w:ascii="Times New Roman" w:hAnsi="Times New Roman" w:eastAsia="宋体" w:cs="Times New Roman"/>
                      <w:color w:val="auto"/>
                      <w:kern w:val="2"/>
                      <w:sz w:val="21"/>
                      <w:szCs w:val="21"/>
                      <w:vertAlign w:val="subscript"/>
                    </w:rPr>
                    <w:t>5</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150</w:t>
                  </w:r>
                  <w:r>
                    <w:rPr>
                      <w:rFonts w:ascii="Times New Roman" w:hAnsi="Times New Roman" w:eastAsia="宋体" w:cs="Times New Roman"/>
                      <w:bCs/>
                      <w:color w:val="auto"/>
                      <w:kern w:val="0"/>
                      <w:sz w:val="21"/>
                      <w:szCs w:val="21"/>
                    </w:rPr>
                    <w:t>mg/L</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0.052</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c>
                <w:tcPr>
                  <w:tcW w:w="1530"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ascii="Times New Roman" w:hAnsi="Times New Roman" w:eastAsia="宋体" w:cs="Times New Roman"/>
                      <w:bCs/>
                      <w:color w:val="auto"/>
                      <w:kern w:val="0"/>
                      <w:sz w:val="21"/>
                      <w:szCs w:val="21"/>
                    </w:rPr>
                    <w:t>120mg/L</w:t>
                  </w:r>
                </w:p>
              </w:tc>
              <w:tc>
                <w:tcPr>
                  <w:tcW w:w="1526"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0.041</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noWrap w:val="0"/>
                  <w:vAlign w:val="center"/>
                </w:tcPr>
                <w:p>
                  <w:pPr>
                    <w:widowControl/>
                    <w:spacing w:after="0" w:line="240" w:lineRule="auto"/>
                    <w:jc w:val="center"/>
                    <w:rPr>
                      <w:rFonts w:ascii="Times New Roman" w:hAnsi="Times New Roman" w:eastAsia="宋体" w:cs="Times New Roman"/>
                      <w:color w:val="FF0000"/>
                      <w:kern w:val="2"/>
                      <w:sz w:val="21"/>
                      <w:szCs w:val="21"/>
                    </w:rPr>
                  </w:pPr>
                </w:p>
              </w:tc>
              <w:tc>
                <w:tcPr>
                  <w:tcW w:w="1362"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SS</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150</w:t>
                  </w:r>
                  <w:r>
                    <w:rPr>
                      <w:rFonts w:ascii="Times New Roman" w:hAnsi="Times New Roman" w:eastAsia="宋体" w:cs="Times New Roman"/>
                      <w:bCs/>
                      <w:color w:val="auto"/>
                      <w:kern w:val="0"/>
                      <w:sz w:val="21"/>
                      <w:szCs w:val="21"/>
                    </w:rPr>
                    <w:t>mg/L</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0.052</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c>
                <w:tcPr>
                  <w:tcW w:w="1530"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ascii="Times New Roman" w:hAnsi="Times New Roman" w:eastAsia="宋体" w:cs="Times New Roman"/>
                      <w:bCs/>
                      <w:color w:val="auto"/>
                      <w:kern w:val="0"/>
                      <w:sz w:val="21"/>
                      <w:szCs w:val="21"/>
                    </w:rPr>
                    <w:t>120mg/L</w:t>
                  </w:r>
                </w:p>
              </w:tc>
              <w:tc>
                <w:tcPr>
                  <w:tcW w:w="1526"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0.041</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noWrap w:val="0"/>
                  <w:vAlign w:val="center"/>
                </w:tcPr>
                <w:p>
                  <w:pPr>
                    <w:widowControl/>
                    <w:spacing w:after="0" w:line="240" w:lineRule="auto"/>
                    <w:jc w:val="center"/>
                    <w:rPr>
                      <w:rFonts w:ascii="Times New Roman" w:hAnsi="Times New Roman" w:eastAsia="宋体" w:cs="Times New Roman"/>
                      <w:color w:val="FF0000"/>
                      <w:kern w:val="2"/>
                      <w:sz w:val="21"/>
                      <w:szCs w:val="21"/>
                    </w:rPr>
                  </w:pPr>
                </w:p>
              </w:tc>
              <w:tc>
                <w:tcPr>
                  <w:tcW w:w="1362"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NH</w:t>
                  </w:r>
                  <w:r>
                    <w:rPr>
                      <w:rFonts w:ascii="Times New Roman" w:hAnsi="Times New Roman" w:eastAsia="宋体" w:cs="Times New Roman"/>
                      <w:color w:val="auto"/>
                      <w:kern w:val="2"/>
                      <w:sz w:val="21"/>
                      <w:szCs w:val="21"/>
                      <w:vertAlign w:val="subscript"/>
                    </w:rPr>
                    <w:t>3</w:t>
                  </w:r>
                  <w:r>
                    <w:rPr>
                      <w:rFonts w:ascii="Times New Roman" w:hAnsi="Times New Roman" w:eastAsia="宋体" w:cs="Times New Roman"/>
                      <w:color w:val="auto"/>
                      <w:kern w:val="2"/>
                      <w:sz w:val="21"/>
                      <w:szCs w:val="21"/>
                    </w:rPr>
                    <w:t>-N</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25</w:t>
                  </w:r>
                  <w:r>
                    <w:rPr>
                      <w:rFonts w:ascii="Times New Roman" w:hAnsi="Times New Roman" w:eastAsia="宋体" w:cs="Times New Roman"/>
                      <w:bCs/>
                      <w:color w:val="auto"/>
                      <w:kern w:val="0"/>
                      <w:sz w:val="21"/>
                      <w:szCs w:val="21"/>
                    </w:rPr>
                    <w:t>mg/L</w:t>
                  </w:r>
                </w:p>
              </w:tc>
              <w:tc>
                <w:tcPr>
                  <w:tcW w:w="1361"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0.009</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c>
                <w:tcPr>
                  <w:tcW w:w="1530"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ascii="Times New Roman" w:hAnsi="Times New Roman" w:eastAsia="宋体" w:cs="Times New Roman"/>
                      <w:bCs/>
                      <w:color w:val="auto"/>
                      <w:kern w:val="0"/>
                      <w:sz w:val="21"/>
                      <w:szCs w:val="21"/>
                    </w:rPr>
                    <w:t>20mg/L</w:t>
                  </w:r>
                </w:p>
              </w:tc>
              <w:tc>
                <w:tcPr>
                  <w:tcW w:w="1526" w:type="dxa"/>
                  <w:tcBorders>
                    <w:tl2br w:val="nil"/>
                    <w:tr2bl w:val="nil"/>
                  </w:tcBorders>
                  <w:noWrap w:val="0"/>
                  <w:vAlign w:val="center"/>
                </w:tcPr>
                <w:p>
                  <w:pPr>
                    <w:widowControl w:val="0"/>
                    <w:spacing w:after="0" w:line="240" w:lineRule="auto"/>
                    <w:jc w:val="center"/>
                    <w:rPr>
                      <w:rFonts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0.007</w:t>
                  </w:r>
                  <w:r>
                    <w:rPr>
                      <w:rFonts w:hint="eastAsia" w:ascii="Times New Roman" w:hAnsi="Times New Roman" w:eastAsia="宋体" w:cs="Times New Roman"/>
                      <w:color w:val="auto"/>
                      <w:kern w:val="2"/>
                      <w:sz w:val="21"/>
                      <w:szCs w:val="21"/>
                      <w:lang w:val="en-US" w:eastAsia="zh-CN"/>
                    </w:rPr>
                    <w:t>t</w:t>
                  </w:r>
                  <w:r>
                    <w:rPr>
                      <w:rFonts w:ascii="Times New Roman" w:hAnsi="Times New Roman" w:eastAsia="宋体" w:cs="Times New Roman"/>
                      <w:color w:val="auto"/>
                      <w:kern w:val="2"/>
                      <w:sz w:val="21"/>
                      <w:szCs w:val="21"/>
                    </w:rPr>
                    <w:t>/a</w:t>
                  </w:r>
                  <w:r>
                    <w:rPr>
                      <w:rFonts w:hint="default" w:ascii="Times New Roman" w:hAnsi="Times New Roman" w:eastAsia="宋体" w:cs="Times New Roman"/>
                      <w:bCs/>
                      <w:color w:val="auto"/>
                      <w:kern w:val="0"/>
                      <w:sz w:val="21"/>
                      <w:szCs w:val="21"/>
                      <w:lang w:val="en-US" w:eastAsia="zh-CN"/>
                    </w:rPr>
                    <w:t xml:space="preserve"> </w:t>
                  </w:r>
                </w:p>
              </w:tc>
            </w:tr>
          </w:tbl>
          <w:p>
            <w:pPr>
              <w:widowControl w:val="0"/>
              <w:spacing w:after="0" w:line="360" w:lineRule="auto"/>
              <w:ind w:right="170" w:firstLine="472" w:firstLineChars="196"/>
              <w:jc w:val="both"/>
              <w:rPr>
                <w:rFonts w:hint="eastAsia" w:ascii="Times New Roman" w:hAnsi="Times New Roman" w:eastAsia="宋体" w:cs="Times New Roman"/>
                <w:b/>
                <w:bCs w:val="0"/>
                <w:color w:val="auto"/>
                <w:spacing w:val="2"/>
                <w:kern w:val="2"/>
                <w:sz w:val="24"/>
                <w:szCs w:val="20"/>
                <w:lang w:eastAsia="zh-CN"/>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bCs w:val="0"/>
                <w:color w:val="auto"/>
                <w:spacing w:val="2"/>
                <w:kern w:val="2"/>
                <w:sz w:val="24"/>
                <w:szCs w:val="20"/>
                <w:lang w:eastAsia="zh-CN"/>
              </w:rPr>
              <w:t>测试用水</w:t>
            </w:r>
          </w:p>
          <w:p>
            <w:pPr>
              <w:widowControl w:val="0"/>
              <w:spacing w:after="0" w:line="360" w:lineRule="auto"/>
              <w:ind w:right="170" w:firstLine="478" w:firstLineChars="196"/>
              <w:jc w:val="both"/>
              <w:rPr>
                <w:rFonts w:hint="default" w:ascii="Times New Roman" w:hAnsi="Times New Roman" w:cs="Times New Roman"/>
                <w:b/>
                <w:color w:val="auto"/>
                <w:sz w:val="24"/>
                <w:szCs w:val="24"/>
              </w:rPr>
            </w:pPr>
            <w:r>
              <w:rPr>
                <w:rFonts w:hint="default" w:ascii="Times New Roman" w:hAnsi="Times New Roman" w:eastAsia="宋体" w:cs="Times New Roman"/>
                <w:color w:val="auto"/>
                <w:spacing w:val="2"/>
                <w:kern w:val="2"/>
                <w:sz w:val="24"/>
                <w:szCs w:val="20"/>
              </w:rPr>
              <w:t>项目生产过程中需要使用试水机对产品进行渗漏性检测，将产品放进水槽内，检测是否他有气泡冒出，从而检验其渗漏性，项目</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量较少，循环使用，需不定期补充因蒸发作用和产品携带减少的水量，每天补充约0.5t自来水，故</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年用量约为</w:t>
            </w:r>
            <w:r>
              <w:rPr>
                <w:rFonts w:hint="eastAsia" w:ascii="Times New Roman" w:hAnsi="Times New Roman" w:eastAsia="宋体" w:cs="Times New Roman"/>
                <w:color w:val="auto"/>
                <w:spacing w:val="2"/>
                <w:kern w:val="2"/>
                <w:sz w:val="24"/>
                <w:szCs w:val="20"/>
                <w:lang w:val="en-US" w:eastAsia="zh-CN"/>
              </w:rPr>
              <w:t>150</w:t>
            </w:r>
            <w:r>
              <w:rPr>
                <w:rFonts w:hint="default" w:ascii="Times New Roman" w:hAnsi="Times New Roman" w:eastAsia="宋体" w:cs="Times New Roman"/>
                <w:color w:val="auto"/>
                <w:spacing w:val="2"/>
                <w:kern w:val="2"/>
                <w:sz w:val="24"/>
                <w:szCs w:val="20"/>
              </w:rPr>
              <w:t>t/a，不外排。</w:t>
            </w:r>
          </w:p>
          <w:p>
            <w:pPr>
              <w:widowControl w:val="0"/>
              <w:spacing w:after="0" w:line="360" w:lineRule="auto"/>
              <w:ind w:right="170" w:firstLine="472" w:firstLineChars="196"/>
              <w:jc w:val="both"/>
              <w:rPr>
                <w:rFonts w:hint="default" w:ascii="Times New Roman" w:hAnsi="Times New Roman" w:eastAsia="宋体" w:cs="Times New Roman"/>
                <w:b/>
                <w:bCs w:val="0"/>
                <w:color w:val="auto"/>
                <w:spacing w:val="2"/>
                <w:kern w:val="2"/>
                <w:sz w:val="24"/>
                <w:szCs w:val="20"/>
              </w:rPr>
            </w:pP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bCs w:val="0"/>
                <w:color w:val="auto"/>
                <w:spacing w:val="2"/>
                <w:kern w:val="2"/>
                <w:sz w:val="24"/>
                <w:szCs w:val="20"/>
              </w:rPr>
              <w:t>喷淋废水</w:t>
            </w:r>
          </w:p>
          <w:p>
            <w:pPr>
              <w:widowControl w:val="0"/>
              <w:spacing w:after="0" w:line="360" w:lineRule="auto"/>
              <w:ind w:right="170" w:firstLine="470" w:firstLineChars="196"/>
              <w:jc w:val="both"/>
              <w:rPr>
                <w:rFonts w:hint="default" w:ascii="Times New Roman" w:hAnsi="Times New Roman" w:eastAsia="宋体" w:cs="Times New Roman"/>
                <w:color w:val="FF0000"/>
                <w:kern w:val="2"/>
                <w:sz w:val="24"/>
                <w:szCs w:val="24"/>
              </w:rPr>
            </w:pPr>
            <w:r>
              <w:rPr>
                <w:rFonts w:hint="default" w:ascii="Times New Roman" w:hAnsi="Times New Roman" w:eastAsia="宋体" w:cs="Times New Roman"/>
                <w:color w:val="auto"/>
                <w:kern w:val="2"/>
                <w:sz w:val="24"/>
                <w:szCs w:val="24"/>
              </w:rPr>
              <w:t>项目红冲过程中产生的</w:t>
            </w:r>
            <w:r>
              <w:rPr>
                <w:rFonts w:hint="eastAsia" w:ascii="Times New Roman" w:hAnsi="Times New Roman" w:eastAsia="宋体" w:cs="Times New Roman"/>
                <w:color w:val="auto"/>
                <w:kern w:val="2"/>
                <w:sz w:val="24"/>
                <w:szCs w:val="24"/>
                <w:lang w:eastAsia="zh-CN"/>
              </w:rPr>
              <w:t>非甲烷总烃</w:t>
            </w:r>
            <w:r>
              <w:rPr>
                <w:rFonts w:hint="default" w:ascii="Times New Roman" w:hAnsi="Times New Roman" w:eastAsia="宋体" w:cs="Times New Roman"/>
                <w:color w:val="auto"/>
                <w:kern w:val="2"/>
                <w:sz w:val="24"/>
                <w:szCs w:val="24"/>
              </w:rPr>
              <w:t>经收集后通过</w:t>
            </w:r>
            <w:r>
              <w:rPr>
                <w:rFonts w:hint="eastAsia" w:ascii="Times New Roman" w:hAnsi="Times New Roman" w:eastAsia="宋体" w:cs="Times New Roman"/>
                <w:color w:val="auto"/>
                <w:kern w:val="2"/>
                <w:sz w:val="24"/>
                <w:szCs w:val="24"/>
                <w:lang w:eastAsia="zh-CN"/>
              </w:rPr>
              <w:t>水喷淋+活性炭吸附装置</w:t>
            </w:r>
            <w:r>
              <w:rPr>
                <w:rFonts w:hint="default" w:ascii="Times New Roman" w:hAnsi="Times New Roman" w:eastAsia="宋体" w:cs="Times New Roman"/>
                <w:color w:val="auto"/>
                <w:kern w:val="2"/>
                <w:sz w:val="24"/>
                <w:szCs w:val="24"/>
              </w:rPr>
              <w:t>处理，喷淋废水经喷淋塔配套循环水池循环后使用，</w:t>
            </w:r>
            <w:r>
              <w:rPr>
                <w:rFonts w:hint="default" w:ascii="Times New Roman" w:hAnsi="Times New Roman" w:cs="Times New Roman"/>
                <w:color w:val="auto"/>
                <w:sz w:val="24"/>
              </w:rPr>
              <w:t>因受热等因素损失，需定期补充新鲜水，</w:t>
            </w:r>
            <w:r>
              <w:rPr>
                <w:rFonts w:hint="default" w:ascii="Times New Roman" w:hAnsi="Times New Roman" w:cs="Times New Roman"/>
                <w:color w:val="auto"/>
                <w:sz w:val="24"/>
                <w:lang w:eastAsia="zh-CN"/>
              </w:rPr>
              <w:t>根据建设单位提供的资料，水喷淋装置循环水池有效水容积为</w:t>
            </w:r>
            <w:r>
              <w:rPr>
                <w:rFonts w:hint="default" w:ascii="Times New Roman" w:hAnsi="Times New Roman" w:cs="Times New Roman"/>
                <w:color w:val="auto"/>
                <w:sz w:val="24"/>
                <w:lang w:val="en-US" w:eastAsia="zh-CN"/>
              </w:rPr>
              <w:t>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，每天</w:t>
            </w:r>
            <w:r>
              <w:rPr>
                <w:rFonts w:hint="default" w:ascii="Times New Roman" w:hAnsi="Times New Roman" w:cs="Times New Roman"/>
                <w:color w:val="auto"/>
                <w:sz w:val="24"/>
              </w:rPr>
              <w:t>补充损耗水量约为</w:t>
            </w:r>
            <w:r>
              <w:rPr>
                <w:rFonts w:hint="default" w:ascii="Times New Roman" w:hAnsi="Times New Roman" w:cs="Times New Roman"/>
                <w:color w:val="auto"/>
                <w:sz w:val="24"/>
                <w:lang w:eastAsia="zh-CN"/>
              </w:rPr>
              <w:t>水池容积的</w:t>
            </w:r>
            <w:r>
              <w:rPr>
                <w:rFonts w:hint="default" w:ascii="Times New Roman" w:hAnsi="Times New Roman" w:cs="Times New Roman"/>
                <w:color w:val="auto"/>
                <w:sz w:val="24"/>
                <w:lang w:val="en-US" w:eastAsia="zh-CN"/>
              </w:rPr>
              <w:t>5%，0.2</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d，即60</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喷淋废水</w:t>
            </w:r>
            <w:r>
              <w:rPr>
                <w:rFonts w:hint="eastAsia" w:ascii="Times New Roman" w:hAnsi="Times New Roman" w:cs="Times New Roman"/>
                <w:bCs/>
                <w:color w:val="auto"/>
                <w:sz w:val="24"/>
                <w:szCs w:val="24"/>
                <w:highlight w:val="none"/>
                <w:lang w:eastAsia="zh-CN"/>
              </w:rPr>
              <w:t>循环</w:t>
            </w:r>
            <w:r>
              <w:rPr>
                <w:rFonts w:hint="default" w:ascii="Times New Roman" w:hAnsi="Times New Roman" w:cs="Times New Roman"/>
                <w:bCs/>
                <w:color w:val="auto"/>
                <w:sz w:val="24"/>
                <w:szCs w:val="24"/>
                <w:highlight w:val="none"/>
              </w:rPr>
              <w:t>一段时间后需定期更换</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2"/>
                <w:highlight w:val="none"/>
              </w:rPr>
              <w:t>每</w:t>
            </w:r>
            <w:r>
              <w:rPr>
                <w:rFonts w:hint="eastAsia"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rPr>
              <w:t>个月更换一次，更换水量为</w:t>
            </w:r>
            <w:r>
              <w:rPr>
                <w:rFonts w:hint="eastAsia" w:ascii="Times New Roman" w:hAnsi="Times New Roman" w:cs="Times New Roman"/>
                <w:color w:val="auto"/>
                <w:sz w:val="24"/>
                <w:szCs w:val="22"/>
                <w:highlight w:val="none"/>
                <w:lang w:val="en-US" w:eastAsia="zh-CN"/>
              </w:rPr>
              <w:t>4</w:t>
            </w:r>
            <w:r>
              <w:rPr>
                <w:rFonts w:hint="default" w:ascii="Times New Roman" w:hAnsi="Times New Roman" w:cs="Times New Roman"/>
                <w:color w:val="auto"/>
                <w:sz w:val="24"/>
                <w:szCs w:val="22"/>
                <w:highlight w:val="none"/>
              </w:rPr>
              <w:t>吨/次，则更换废水产生量为</w:t>
            </w:r>
            <w:r>
              <w:rPr>
                <w:rFonts w:hint="eastAsia" w:ascii="Times New Roman" w:hAnsi="Times New Roman" w:cs="Times New Roman"/>
                <w:color w:val="auto"/>
                <w:sz w:val="24"/>
                <w:szCs w:val="22"/>
                <w:highlight w:val="none"/>
                <w:lang w:val="en-US" w:eastAsia="zh-CN"/>
              </w:rPr>
              <w:t>16</w:t>
            </w:r>
            <w:r>
              <w:rPr>
                <w:rFonts w:hint="default" w:ascii="Times New Roman" w:hAnsi="Times New Roman" w:cs="Times New Roman"/>
                <w:color w:val="auto"/>
                <w:sz w:val="24"/>
                <w:szCs w:val="22"/>
                <w:highlight w:val="none"/>
              </w:rPr>
              <w:t>t/a。该废水经收集后定期交有资质单位处理，不外排。</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2、大气污染源</w:t>
            </w:r>
          </w:p>
          <w:p>
            <w:pPr>
              <w:spacing w:after="0" w:line="360" w:lineRule="auto"/>
              <w:ind w:firstLine="480"/>
              <w:rPr>
                <w:rFonts w:hint="eastAsia" w:ascii="Times New Roman" w:hAnsi="Times New Roman" w:eastAsia="宋体" w:cs="Times New Roman"/>
                <w:b/>
                <w:color w:val="auto"/>
                <w:kern w:val="2"/>
                <w:sz w:val="24"/>
                <w:szCs w:val="24"/>
                <w:lang w:eastAsia="zh-CN"/>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kern w:val="2"/>
                <w:sz w:val="24"/>
                <w:szCs w:val="24"/>
                <w:lang w:eastAsia="zh-CN"/>
              </w:rPr>
              <w:t>开料</w:t>
            </w:r>
            <w:r>
              <w:rPr>
                <w:rFonts w:hint="default" w:ascii="Times New Roman" w:hAnsi="Times New Roman" w:eastAsia="宋体" w:cs="Times New Roman"/>
                <w:b/>
                <w:color w:val="auto"/>
                <w:kern w:val="2"/>
                <w:sz w:val="24"/>
                <w:szCs w:val="24"/>
              </w:rPr>
              <w:t>、机加工</w:t>
            </w:r>
            <w:r>
              <w:rPr>
                <w:rFonts w:hint="eastAsia" w:ascii="Times New Roman" w:hAnsi="Times New Roman" w:eastAsia="宋体" w:cs="Times New Roman"/>
                <w:b/>
                <w:color w:val="auto"/>
                <w:kern w:val="2"/>
                <w:sz w:val="24"/>
                <w:szCs w:val="24"/>
                <w:lang w:eastAsia="zh-CN"/>
              </w:rPr>
              <w:t>工序</w:t>
            </w:r>
          </w:p>
          <w:p>
            <w:pPr>
              <w:widowControl w:val="0"/>
              <w:autoSpaceDE w:val="0"/>
              <w:autoSpaceDN w:val="0"/>
              <w:adjustRightInd w:val="0"/>
              <w:spacing w:after="0"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项目运营期</w:t>
            </w:r>
            <w:r>
              <w:rPr>
                <w:rFonts w:hint="eastAsia" w:ascii="Times New Roman" w:hAnsi="Times New Roman" w:eastAsia="宋体" w:cs="Times New Roman"/>
                <w:color w:val="auto"/>
                <w:sz w:val="24"/>
                <w:szCs w:val="24"/>
                <w:lang w:eastAsia="zh-CN"/>
              </w:rPr>
              <w:t>开料</w:t>
            </w:r>
            <w:r>
              <w:rPr>
                <w:rFonts w:hint="default" w:ascii="Times New Roman" w:hAnsi="Times New Roman" w:eastAsia="宋体" w:cs="Times New Roman"/>
                <w:color w:val="auto"/>
                <w:sz w:val="24"/>
                <w:szCs w:val="24"/>
              </w:rPr>
              <w:t>和机加工工序会产生少量的金属粉尘，主要污染因子为颗粒物。根据建设单位提供资料，项目需要进行</w:t>
            </w:r>
            <w:r>
              <w:rPr>
                <w:rFonts w:hint="eastAsia" w:ascii="Times New Roman" w:hAnsi="Times New Roman" w:eastAsia="宋体" w:cs="Times New Roman"/>
                <w:color w:val="auto"/>
                <w:sz w:val="24"/>
                <w:szCs w:val="24"/>
                <w:lang w:eastAsia="zh-CN"/>
              </w:rPr>
              <w:t>开料</w:t>
            </w:r>
            <w:r>
              <w:rPr>
                <w:rFonts w:hint="default" w:ascii="Times New Roman" w:hAnsi="Times New Roman" w:eastAsia="宋体" w:cs="Times New Roman"/>
                <w:color w:val="auto"/>
                <w:sz w:val="24"/>
                <w:szCs w:val="24"/>
              </w:rPr>
              <w:t>和机加工的黄铜</w:t>
            </w:r>
            <w:r>
              <w:rPr>
                <w:rFonts w:hint="eastAsia" w:ascii="Times New Roman" w:hAnsi="Times New Roman" w:eastAsia="宋体" w:cs="Times New Roman"/>
                <w:color w:val="auto"/>
                <w:sz w:val="24"/>
                <w:szCs w:val="24"/>
                <w:lang w:eastAsia="zh-CN"/>
              </w:rPr>
              <w:t>棒</w:t>
            </w:r>
            <w:r>
              <w:rPr>
                <w:rFonts w:hint="default" w:ascii="Times New Roman" w:hAnsi="Times New Roman" w:eastAsia="宋体" w:cs="Times New Roman"/>
                <w:color w:val="auto"/>
                <w:sz w:val="24"/>
                <w:szCs w:val="24"/>
              </w:rPr>
              <w:t>年用量为250t。本项目年生产</w:t>
            </w:r>
            <w:r>
              <w:rPr>
                <w:rFonts w:hint="eastAsia" w:ascii="Times New Roman" w:hAnsi="Times New Roman" w:eastAsia="宋体" w:cs="Times New Roman"/>
                <w:color w:val="auto"/>
                <w:sz w:val="24"/>
                <w:szCs w:val="24"/>
                <w:lang w:val="en-US" w:eastAsia="zh-CN"/>
              </w:rPr>
              <w:t>300</w:t>
            </w:r>
            <w:r>
              <w:rPr>
                <w:rFonts w:hint="default" w:ascii="Times New Roman" w:hAnsi="Times New Roman" w:eastAsia="宋体" w:cs="Times New Roman"/>
                <w:color w:val="auto"/>
                <w:sz w:val="24"/>
                <w:szCs w:val="24"/>
              </w:rPr>
              <w:t>天，每天工作8小时，参考《机加工行业环境影响评价中常见污染物源强估算及污染治理》（湖北大学学报，2010年9月）中有关粉尘产生量的计算公式（M=1‰×M1），故金属粉尘的产生量约为0.25</w:t>
            </w:r>
            <w:r>
              <w:rPr>
                <w:rFonts w:hint="eastAsia" w:ascii="Times New Roman" w:hAnsi="Times New Roman" w:eastAsia="宋体" w:cs="Times New Roman"/>
                <w:color w:val="auto"/>
                <w:sz w:val="24"/>
                <w:szCs w:val="24"/>
                <w:lang w:val="en-US" w:eastAsia="zh-CN"/>
              </w:rPr>
              <w:t>t</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kern w:val="2"/>
                <w:sz w:val="24"/>
                <w:szCs w:val="24"/>
                <w:lang w:val="en-US" w:eastAsia="zh-CN" w:bidi="ar-SA"/>
              </w:rPr>
              <w:t>此类机加工产生的粉尘主要以金属细屑颗粒物为主，质量和粒径相对较大，约90%可在操作区域附近沉降，沉降金属粉尘及时清理后作为固废处理，</w:t>
            </w:r>
            <w:r>
              <w:rPr>
                <w:rFonts w:hint="default" w:ascii="Times New Roman" w:hAnsi="Times New Roman" w:eastAsia="宋体" w:cs="Times New Roman"/>
                <w:color w:val="auto"/>
                <w:sz w:val="24"/>
                <w:szCs w:val="24"/>
              </w:rPr>
              <w:t>约10%的金属粉尘以无组织的形式排放到大气中，无组织排放量约为0.025t/a，排放速率为0.01kg/h。</w:t>
            </w:r>
          </w:p>
          <w:p>
            <w:pPr>
              <w:spacing w:after="0" w:line="360" w:lineRule="auto"/>
              <w:ind w:firstLine="480"/>
              <w:rPr>
                <w:rFonts w:hint="eastAsia"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eastAsia="zh-CN"/>
              </w:rPr>
              <w:t>红冲工序</w:t>
            </w:r>
          </w:p>
          <w:p>
            <w:pPr>
              <w:keepNext/>
              <w:widowControl w:val="0"/>
              <w:autoSpaceDE w:val="0"/>
              <w:autoSpaceDN w:val="0"/>
              <w:adjustRightInd w:val="0"/>
              <w:spacing w:before="0" w:line="360" w:lineRule="auto"/>
              <w:ind w:left="0" w:leftChars="0" w:firstLine="480" w:firstLineChars="200"/>
              <w:jc w:val="left"/>
              <w:textAlignment w:val="baseline"/>
              <w:rPr>
                <w:rFonts w:ascii="Times New Roman" w:hAnsi="宋体" w:eastAsia="宋体" w:cs="Times New Roman"/>
                <w:color w:val="auto"/>
                <w:kern w:val="2"/>
                <w:sz w:val="24"/>
                <w:szCs w:val="24"/>
                <w:highlight w:val="none"/>
                <w:lang w:val="en-US" w:eastAsia="zh-CN" w:bidi="ar-SA"/>
              </w:rPr>
            </w:pPr>
            <w:r>
              <w:rPr>
                <w:rFonts w:hint="eastAsia" w:ascii="Times New Roman" w:hAnsi="宋体" w:eastAsia="宋体" w:cs="Times New Roman"/>
                <w:color w:val="auto"/>
                <w:kern w:val="2"/>
                <w:sz w:val="24"/>
                <w:szCs w:val="24"/>
                <w:highlight w:val="none"/>
                <w:lang w:val="en-US" w:eastAsia="zh-CN" w:bidi="ar-SA"/>
              </w:rPr>
              <w:t>项目红冲工序</w:t>
            </w:r>
            <w:r>
              <w:rPr>
                <w:rFonts w:hint="eastAsia" w:ascii="Times New Roman" w:hAnsi="宋体" w:eastAsia="宋体" w:cs="Times New Roman"/>
                <w:bCs/>
                <w:color w:val="auto"/>
                <w:kern w:val="2"/>
                <w:sz w:val="24"/>
                <w:szCs w:val="24"/>
                <w:highlight w:val="none"/>
              </w:rPr>
              <w:t>使用润滑油进行润滑，润滑油</w:t>
            </w:r>
            <w:r>
              <w:rPr>
                <w:rFonts w:ascii="Times New Roman" w:hAnsi="宋体" w:eastAsia="宋体" w:cs="Times New Roman"/>
                <w:color w:val="auto"/>
                <w:kern w:val="2"/>
                <w:sz w:val="24"/>
                <w:szCs w:val="24"/>
                <w:highlight w:val="none"/>
              </w:rPr>
              <w:t>受热分解产生</w:t>
            </w:r>
            <w:r>
              <w:rPr>
                <w:rFonts w:hint="eastAsia" w:ascii="Times New Roman" w:hAnsi="宋体" w:eastAsia="宋体" w:cs="Times New Roman"/>
                <w:color w:val="auto"/>
                <w:kern w:val="2"/>
                <w:sz w:val="24"/>
                <w:szCs w:val="24"/>
                <w:highlight w:val="none"/>
              </w:rPr>
              <w:t>油雾</w:t>
            </w:r>
            <w:r>
              <w:rPr>
                <w:rFonts w:ascii="Times New Roman" w:hAnsi="宋体" w:eastAsia="宋体" w:cs="Times New Roman"/>
                <w:color w:val="auto"/>
                <w:kern w:val="2"/>
                <w:sz w:val="24"/>
                <w:szCs w:val="24"/>
                <w:highlight w:val="none"/>
              </w:rPr>
              <w:t>，</w:t>
            </w:r>
            <w:r>
              <w:rPr>
                <w:rFonts w:hint="eastAsia" w:ascii="Times New Roman" w:hAnsi="宋体" w:eastAsia="宋体" w:cs="Times New Roman"/>
                <w:color w:val="auto"/>
                <w:kern w:val="2"/>
                <w:sz w:val="24"/>
                <w:szCs w:val="24"/>
                <w:highlight w:val="none"/>
              </w:rPr>
              <w:t>主要污染物为非甲烷总烃</w:t>
            </w:r>
            <w:r>
              <w:rPr>
                <w:rFonts w:hint="eastAsia" w:ascii="Times New Roman" w:hAnsi="宋体" w:eastAsia="宋体" w:cs="Times New Roman"/>
                <w:color w:val="auto"/>
                <w:kern w:val="2"/>
                <w:sz w:val="24"/>
                <w:szCs w:val="24"/>
                <w:highlight w:val="none"/>
                <w:lang w:val="en-US" w:eastAsia="zh-CN" w:bidi="ar-SA"/>
              </w:rPr>
              <w:t>。红冲工序润滑油年使用量为0.2t，根据建设单位提供的润滑油MSDS，润滑油主要成分为基础油＞90%，添加剂＜10%，其中基础油为不挥发成分，添加剂为挥发成分，本项目挥发成分取最大值，即10%。因此可得非甲烷总烃产生量为0.02t/a。</w:t>
            </w:r>
          </w:p>
          <w:p>
            <w:pPr>
              <w:widowControl w:val="0"/>
              <w:spacing w:after="0" w:line="360" w:lineRule="auto"/>
              <w:ind w:firstLine="480"/>
              <w:jc w:val="both"/>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◇燃烧废气</w:t>
            </w:r>
          </w:p>
          <w:p>
            <w:pPr>
              <w:widowControl w:val="0"/>
              <w:spacing w:line="360" w:lineRule="auto"/>
              <w:ind w:firstLine="567"/>
              <w:jc w:val="both"/>
              <w:rPr>
                <w:rFonts w:hint="eastAsia"/>
                <w:lang w:val="en-US" w:eastAsia="zh-CN"/>
              </w:rPr>
            </w:pPr>
            <w:r>
              <w:rPr>
                <w:rFonts w:hint="eastAsia" w:ascii="宋体" w:hAnsi="Times New Roman" w:eastAsia="宋体" w:cs="Times New Roman"/>
                <w:color w:val="auto"/>
                <w:kern w:val="2"/>
                <w:sz w:val="24"/>
                <w:szCs w:val="24"/>
                <w:highlight w:val="none"/>
                <w:lang w:val="en-US" w:eastAsia="zh-CN" w:bidi="ar-SA"/>
              </w:rPr>
              <w:t>项目红冲工序加热以天然气为燃料，其</w:t>
            </w:r>
            <w:r>
              <w:rPr>
                <w:rFonts w:ascii="Times New Roman" w:hAnsi="Times New Roman" w:eastAsia="宋体" w:cs="Times New Roman"/>
                <w:color w:val="auto"/>
                <w:kern w:val="2"/>
                <w:sz w:val="24"/>
                <w:szCs w:val="24"/>
                <w:highlight w:val="none"/>
                <w:lang w:val="en-US" w:eastAsia="zh-CN" w:bidi="ar-SA"/>
              </w:rPr>
              <w:t>主要污染因子为SO</w:t>
            </w:r>
            <w:r>
              <w:rPr>
                <w:rFonts w:ascii="Times New Roman" w:hAnsi="Times New Roman" w:eastAsia="宋体" w:cs="Times New Roman"/>
                <w:color w:val="auto"/>
                <w:kern w:val="2"/>
                <w:sz w:val="24"/>
                <w:szCs w:val="24"/>
                <w:highlight w:val="none"/>
                <w:vertAlign w:val="subscript"/>
                <w:lang w:val="en-US" w:eastAsia="zh-CN" w:bidi="ar-SA"/>
              </w:rPr>
              <w:t>2</w:t>
            </w:r>
            <w:r>
              <w:rPr>
                <w:rFonts w:ascii="Times New Roman" w:hAnsi="Times New Roman" w:eastAsia="宋体" w:cs="Times New Roman"/>
                <w:color w:val="auto"/>
                <w:kern w:val="2"/>
                <w:sz w:val="24"/>
                <w:szCs w:val="24"/>
                <w:highlight w:val="none"/>
                <w:lang w:val="en-US" w:eastAsia="zh-CN" w:bidi="ar-SA"/>
              </w:rPr>
              <w:t>、NOx、烟尘</w:t>
            </w:r>
            <w:r>
              <w:rPr>
                <w:rFonts w:hint="eastAsia" w:ascii="宋体"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项目天然气</w:t>
            </w:r>
            <w:r>
              <w:rPr>
                <w:rFonts w:hint="eastAsia" w:ascii="Times New Roman" w:hAnsi="Times New Roman" w:eastAsia="宋体" w:cs="Times New Roman"/>
                <w:color w:val="auto"/>
                <w:kern w:val="2"/>
                <w:sz w:val="24"/>
                <w:szCs w:val="24"/>
                <w:highlight w:val="none"/>
                <w:lang w:val="en-US" w:eastAsia="zh-CN" w:bidi="ar-SA"/>
              </w:rPr>
              <w:t>年</w:t>
            </w:r>
            <w:r>
              <w:rPr>
                <w:rFonts w:ascii="Times New Roman" w:hAnsi="Times New Roman" w:eastAsia="宋体" w:cs="Times New Roman"/>
                <w:color w:val="auto"/>
                <w:kern w:val="2"/>
                <w:sz w:val="24"/>
                <w:szCs w:val="24"/>
                <w:highlight w:val="none"/>
                <w:lang w:val="en-US" w:eastAsia="zh-CN" w:bidi="ar-SA"/>
              </w:rPr>
              <w:t>用量为</w:t>
            </w:r>
            <w:r>
              <w:rPr>
                <w:rFonts w:hint="eastAsia" w:ascii="Times New Roman" w:hAnsi="Times New Roman" w:eastAsia="宋体" w:cs="Times New Roman"/>
                <w:color w:val="auto"/>
                <w:kern w:val="2"/>
                <w:sz w:val="24"/>
                <w:szCs w:val="24"/>
                <w:highlight w:val="none"/>
                <w:lang w:val="en-US" w:eastAsia="zh-CN" w:bidi="ar-SA"/>
              </w:rPr>
              <w:t>50000</w:t>
            </w:r>
            <w:r>
              <w:rPr>
                <w:rFonts w:ascii="Times New Roman" w:hAnsi="Times New Roman" w:eastAsia="宋体" w:cs="Times New Roman"/>
                <w:color w:val="auto"/>
                <w:kern w:val="2"/>
                <w:sz w:val="24"/>
                <w:szCs w:val="24"/>
                <w:highlight w:val="none"/>
                <w:lang w:val="en-US" w:eastAsia="zh-CN" w:bidi="ar-SA"/>
              </w:rPr>
              <w:t>m</w:t>
            </w:r>
            <w:r>
              <w:rPr>
                <w:rFonts w:ascii="Times New Roman" w:hAnsi="Times New Roman" w:eastAsia="宋体" w:cs="Times New Roman"/>
                <w:color w:val="auto"/>
                <w:kern w:val="2"/>
                <w:sz w:val="24"/>
                <w:szCs w:val="24"/>
                <w:highlight w:val="none"/>
                <w:vertAlign w:val="superscript"/>
                <w:lang w:val="en-US" w:eastAsia="zh-CN" w:bidi="ar-SA"/>
              </w:rPr>
              <w:t>3</w:t>
            </w:r>
            <w:r>
              <w:rPr>
                <w:rFonts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年工作300天，每天工作8小时，根据</w:t>
            </w:r>
            <w:r>
              <w:rPr>
                <w:rFonts w:ascii="Times New Roman" w:hAnsi="Times New Roman" w:eastAsia="宋体" w:cs="Times New Roman"/>
                <w:bCs/>
                <w:color w:val="auto"/>
                <w:kern w:val="2"/>
                <w:sz w:val="24"/>
                <w:szCs w:val="24"/>
                <w:highlight w:val="none"/>
                <w:lang w:val="en-US" w:eastAsia="zh-CN" w:bidi="ar-SA"/>
              </w:rPr>
              <w:t>《第一次全国污染源普查工业污染</w:t>
            </w:r>
            <w:r>
              <w:rPr>
                <w:rFonts w:hint="eastAsia" w:ascii="Times New Roman" w:hAnsi="Times New Roman" w:eastAsia="宋体" w:cs="Times New Roman"/>
                <w:bCs/>
                <w:color w:val="auto"/>
                <w:kern w:val="2"/>
                <w:sz w:val="24"/>
                <w:szCs w:val="24"/>
                <w:highlight w:val="none"/>
                <w:lang w:val="en-US" w:eastAsia="zh-CN" w:bidi="ar-SA"/>
              </w:rPr>
              <w:t>源</w:t>
            </w:r>
            <w:r>
              <w:rPr>
                <w:rFonts w:ascii="Times New Roman" w:hAnsi="Times New Roman" w:eastAsia="宋体" w:cs="Times New Roman"/>
                <w:bCs/>
                <w:color w:val="auto"/>
                <w:kern w:val="2"/>
                <w:sz w:val="24"/>
                <w:szCs w:val="24"/>
                <w:highlight w:val="none"/>
                <w:lang w:val="en-US" w:eastAsia="zh-CN" w:bidi="ar-SA"/>
              </w:rPr>
              <w:t>产排污系数手册》中4430工业锅炉产排污系数表-燃气工业锅炉</w:t>
            </w:r>
            <w:r>
              <w:rPr>
                <w:rFonts w:hint="eastAsia" w:ascii="Times New Roman" w:hAnsi="Times New Roman" w:eastAsia="宋体" w:cs="Times New Roman"/>
                <w:bCs/>
                <w:color w:val="auto"/>
                <w:kern w:val="2"/>
                <w:sz w:val="24"/>
                <w:szCs w:val="24"/>
                <w:highlight w:val="none"/>
                <w:lang w:val="en-US" w:eastAsia="zh-CN" w:bidi="ar-SA"/>
              </w:rPr>
              <w:t>和</w:t>
            </w:r>
            <w:r>
              <w:rPr>
                <w:rFonts w:ascii="Times New Roman" w:hAnsi="Times New Roman" w:eastAsia="宋体" w:cs="Times New Roman"/>
                <w:color w:val="auto"/>
                <w:kern w:val="2"/>
                <w:sz w:val="24"/>
                <w:szCs w:val="24"/>
                <w:highlight w:val="none"/>
                <w:lang w:val="en-US" w:eastAsia="zh-CN" w:bidi="ar-SA"/>
              </w:rPr>
              <w:t>《环境保护实用数据手册》（胡名操，机械工业出版社，1994年）</w:t>
            </w:r>
            <w:r>
              <w:rPr>
                <w:rFonts w:hint="eastAsia" w:ascii="Times New Roman" w:hAnsi="Times New Roman" w:eastAsia="宋体" w:cs="Times New Roman"/>
                <w:color w:val="auto"/>
                <w:kern w:val="2"/>
                <w:sz w:val="24"/>
                <w:szCs w:val="24"/>
                <w:highlight w:val="none"/>
                <w:lang w:val="en-US" w:eastAsia="zh-CN" w:bidi="ar-SA"/>
              </w:rPr>
              <w:t>，项目天然气燃烧废气产污系数和计算结果如下表所示：</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shd w:val="clear" w:color="auto" w:fill="auto"/>
                <w:lang w:val="en-US" w:eastAsia="zh-CN" w:bidi="ar-SA"/>
              </w:rPr>
            </w:pPr>
            <w:r>
              <w:rPr>
                <w:rFonts w:hint="eastAsia" w:ascii="Times New Roman" w:hAnsi="Times New Roman" w:eastAsia="宋体" w:cs="Times New Roman"/>
                <w:b/>
                <w:color w:val="auto"/>
                <w:kern w:val="0"/>
                <w:sz w:val="21"/>
                <w:szCs w:val="21"/>
                <w:shd w:val="clear" w:color="auto" w:fill="auto"/>
                <w:lang w:val="en-US" w:eastAsia="zh-CN" w:bidi="ar-SA"/>
              </w:rPr>
              <w:t>天然气燃烧废气产污系数和计算结果</w:t>
            </w:r>
          </w:p>
          <w:tbl>
            <w:tblPr>
              <w:tblStyle w:val="43"/>
              <w:tblW w:w="886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77"/>
              <w:gridCol w:w="1215"/>
              <w:gridCol w:w="1215"/>
              <w:gridCol w:w="1665"/>
              <w:gridCol w:w="1575"/>
              <w:gridCol w:w="231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877" w:type="dxa"/>
                  <w:noWrap w:val="0"/>
                  <w:vAlign w:val="center"/>
                </w:tcPr>
                <w:p>
                  <w:pPr>
                    <w:widowControl w:val="0"/>
                    <w:adjustRightInd w:val="0"/>
                    <w:snapToGrid w:val="0"/>
                    <w:spacing w:after="0" w:line="240" w:lineRule="auto"/>
                    <w:jc w:val="center"/>
                    <w:rPr>
                      <w:rFonts w:hint="eastAsia" w:ascii="Times New Roman" w:hAnsi="Times New Roman" w:eastAsia="宋体" w:cs="Times New Roman"/>
                      <w:b/>
                      <w:color w:val="auto"/>
                      <w:kern w:val="2"/>
                      <w:sz w:val="21"/>
                      <w:szCs w:val="21"/>
                      <w:lang w:eastAsia="zh-CN"/>
                    </w:rPr>
                  </w:pPr>
                  <w:r>
                    <w:rPr>
                      <w:rFonts w:hint="eastAsia" w:ascii="Times New Roman" w:hAnsi="Times New Roman" w:eastAsia="宋体" w:cs="Times New Roman"/>
                      <w:b/>
                      <w:color w:val="auto"/>
                      <w:kern w:val="2"/>
                      <w:sz w:val="21"/>
                      <w:szCs w:val="21"/>
                      <w:lang w:eastAsia="zh-CN"/>
                    </w:rPr>
                    <w:t>原料名称</w:t>
                  </w:r>
                </w:p>
              </w:tc>
              <w:tc>
                <w:tcPr>
                  <w:tcW w:w="1215" w:type="dxa"/>
                  <w:noWrap w:val="0"/>
                  <w:vAlign w:val="center"/>
                </w:tcPr>
                <w:p>
                  <w:pPr>
                    <w:widowControl w:val="0"/>
                    <w:adjustRightInd w:val="0"/>
                    <w:snapToGrid w:val="0"/>
                    <w:spacing w:after="0" w:line="240" w:lineRule="auto"/>
                    <w:jc w:val="center"/>
                    <w:rPr>
                      <w:rFonts w:hint="eastAsia" w:ascii="Times New Roman" w:hAnsi="Times New Roman" w:eastAsia="宋体" w:cs="Times New Roman"/>
                      <w:b/>
                      <w:color w:val="auto"/>
                      <w:kern w:val="2"/>
                      <w:sz w:val="21"/>
                      <w:szCs w:val="21"/>
                      <w:lang w:eastAsia="zh-CN"/>
                    </w:rPr>
                  </w:pPr>
                  <w:r>
                    <w:rPr>
                      <w:rFonts w:hint="eastAsia" w:ascii="Times New Roman" w:hAnsi="Times New Roman" w:eastAsia="宋体" w:cs="Times New Roman"/>
                      <w:b/>
                      <w:color w:val="auto"/>
                      <w:kern w:val="2"/>
                      <w:sz w:val="21"/>
                      <w:szCs w:val="21"/>
                      <w:lang w:eastAsia="zh-CN"/>
                    </w:rPr>
                    <w:t>污染物指标</w:t>
                  </w:r>
                </w:p>
              </w:tc>
              <w:tc>
                <w:tcPr>
                  <w:tcW w:w="1215" w:type="dxa"/>
                  <w:tcBorders>
                    <w:right w:val="single" w:color="auto" w:sz="4" w:space="0"/>
                  </w:tcBorders>
                  <w:noWrap w:val="0"/>
                  <w:vAlign w:val="center"/>
                </w:tcPr>
                <w:p>
                  <w:pPr>
                    <w:widowControl w:val="0"/>
                    <w:adjustRightInd w:val="0"/>
                    <w:snapToGrid w:val="0"/>
                    <w:spacing w:after="0" w:line="240" w:lineRule="auto"/>
                    <w:jc w:val="center"/>
                    <w:rPr>
                      <w:rFonts w:hint="eastAsia" w:ascii="Times New Roman" w:hAnsi="Times New Roman" w:eastAsia="宋体" w:cs="Times New Roman"/>
                      <w:b/>
                      <w:color w:val="auto"/>
                      <w:kern w:val="2"/>
                      <w:sz w:val="21"/>
                      <w:szCs w:val="21"/>
                      <w:lang w:eastAsia="zh-CN"/>
                    </w:rPr>
                  </w:pPr>
                  <w:r>
                    <w:rPr>
                      <w:rFonts w:hint="eastAsia" w:ascii="Times New Roman" w:hAnsi="Times New Roman" w:eastAsia="宋体" w:cs="Times New Roman"/>
                      <w:b/>
                      <w:color w:val="auto"/>
                      <w:kern w:val="2"/>
                      <w:sz w:val="21"/>
                      <w:szCs w:val="21"/>
                      <w:lang w:eastAsia="zh-CN"/>
                    </w:rPr>
                    <w:t>产污系数</w:t>
                  </w:r>
                </w:p>
              </w:tc>
              <w:tc>
                <w:tcPr>
                  <w:tcW w:w="1665" w:type="dxa"/>
                  <w:tcBorders>
                    <w:lef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b/>
                      <w:color w:val="auto"/>
                      <w:kern w:val="2"/>
                      <w:sz w:val="21"/>
                      <w:szCs w:val="21"/>
                      <w:lang w:val="en-US" w:eastAsia="zh-CN"/>
                    </w:rPr>
                  </w:pPr>
                  <w:r>
                    <w:rPr>
                      <w:rFonts w:hint="eastAsia" w:ascii="Times New Roman" w:hAnsi="Times New Roman" w:eastAsia="宋体" w:cs="Times New Roman"/>
                      <w:b/>
                      <w:color w:val="auto"/>
                      <w:kern w:val="2"/>
                      <w:sz w:val="21"/>
                      <w:szCs w:val="21"/>
                      <w:lang w:val="en-US" w:eastAsia="zh-CN"/>
                    </w:rPr>
                    <w:t>单位</w:t>
                  </w:r>
                </w:p>
              </w:tc>
              <w:tc>
                <w:tcPr>
                  <w:tcW w:w="1575" w:type="dxa"/>
                  <w:tcBorders>
                    <w:right w:val="single" w:color="auto" w:sz="4" w:space="0"/>
                  </w:tcBorders>
                  <w:noWrap w:val="0"/>
                  <w:vAlign w:val="center"/>
                </w:tcPr>
                <w:p>
                  <w:pPr>
                    <w:widowControl w:val="0"/>
                    <w:adjustRightInd w:val="0"/>
                    <w:snapToGrid w:val="0"/>
                    <w:spacing w:after="0" w:line="240" w:lineRule="auto"/>
                    <w:jc w:val="center"/>
                    <w:rPr>
                      <w:rFonts w:hint="eastAsia" w:ascii="Times New Roman" w:hAnsi="Times New Roman" w:eastAsia="宋体" w:cs="Times New Roman"/>
                      <w:b/>
                      <w:color w:val="auto"/>
                      <w:kern w:val="2"/>
                      <w:sz w:val="21"/>
                      <w:szCs w:val="21"/>
                      <w:lang w:eastAsia="zh-CN"/>
                    </w:rPr>
                  </w:pPr>
                  <w:r>
                    <w:rPr>
                      <w:rFonts w:hint="eastAsia" w:ascii="Times New Roman" w:hAnsi="Times New Roman" w:eastAsia="宋体" w:cs="Times New Roman"/>
                      <w:b/>
                      <w:color w:val="auto"/>
                      <w:kern w:val="2"/>
                      <w:sz w:val="21"/>
                      <w:szCs w:val="21"/>
                      <w:lang w:eastAsia="zh-CN"/>
                    </w:rPr>
                    <w:t>系数来源</w:t>
                  </w:r>
                </w:p>
              </w:tc>
              <w:tc>
                <w:tcPr>
                  <w:tcW w:w="2313" w:type="dxa"/>
                  <w:tcBorders>
                    <w:left w:val="single" w:color="auto" w:sz="4" w:space="0"/>
                  </w:tcBorders>
                  <w:noWrap w:val="0"/>
                  <w:vAlign w:val="center"/>
                </w:tcPr>
                <w:p>
                  <w:pPr>
                    <w:widowControl w:val="0"/>
                    <w:adjustRightInd w:val="0"/>
                    <w:snapToGrid w:val="0"/>
                    <w:spacing w:after="0" w:line="240" w:lineRule="auto"/>
                    <w:jc w:val="center"/>
                    <w:rPr>
                      <w:rFonts w:hint="eastAsia" w:ascii="Times New Roman" w:hAnsi="Times New Roman" w:eastAsia="宋体" w:cs="Times New Roman"/>
                      <w:b/>
                      <w:color w:val="auto"/>
                      <w:kern w:val="2"/>
                      <w:sz w:val="21"/>
                      <w:szCs w:val="21"/>
                      <w:lang w:eastAsia="zh-CN"/>
                    </w:rPr>
                  </w:pPr>
                  <w:r>
                    <w:rPr>
                      <w:rFonts w:hint="eastAsia" w:ascii="Times New Roman" w:hAnsi="Times New Roman" w:eastAsia="宋体" w:cs="Times New Roman"/>
                      <w:b/>
                      <w:color w:val="auto"/>
                      <w:kern w:val="2"/>
                      <w:sz w:val="21"/>
                      <w:szCs w:val="21"/>
                      <w:lang w:eastAsia="zh-CN"/>
                    </w:rPr>
                    <w:t>计算结果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877" w:type="dxa"/>
                  <w:vMerge w:val="restart"/>
                  <w:noWrap w:val="0"/>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eastAsia="zh-CN"/>
                    </w:rPr>
                    <w:t>天然气</w:t>
                  </w:r>
                </w:p>
              </w:tc>
              <w:tc>
                <w:tcPr>
                  <w:tcW w:w="1215" w:type="dxa"/>
                  <w:noWrap w:val="0"/>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eastAsia="zh-CN"/>
                    </w:rPr>
                    <w:t>工业废气量</w:t>
                  </w:r>
                </w:p>
              </w:tc>
              <w:tc>
                <w:tcPr>
                  <w:tcW w:w="1215" w:type="dxa"/>
                  <w:tcBorders>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136,259.17</w:t>
                  </w:r>
                </w:p>
              </w:tc>
              <w:tc>
                <w:tcPr>
                  <w:tcW w:w="1665" w:type="dxa"/>
                  <w:tcBorders>
                    <w:lef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标立方米/万立方米-原料</w:t>
                  </w:r>
                </w:p>
              </w:tc>
              <w:tc>
                <w:tcPr>
                  <w:tcW w:w="1575" w:type="dxa"/>
                  <w:vMerge w:val="restart"/>
                  <w:tcBorders>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《第一次全国污染源普查工业污染源产排污系数手册》</w:t>
                  </w:r>
                </w:p>
              </w:tc>
              <w:tc>
                <w:tcPr>
                  <w:tcW w:w="2313" w:type="dxa"/>
                  <w:tcBorders>
                    <w:left w:val="single" w:color="auto" w:sz="4" w:space="0"/>
                    <w:bottom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68.13</w:t>
                  </w:r>
                  <w:r>
                    <w:rPr>
                      <w:rFonts w:ascii="Times New Roman" w:hAnsi="Times New Roman" w:eastAsia="宋体" w:cs="Times New Roman"/>
                      <w:color w:val="auto"/>
                      <w:kern w:val="2"/>
                      <w:sz w:val="21"/>
                      <w:szCs w:val="21"/>
                      <w:highlight w:val="none"/>
                      <w:lang w:val="en-US" w:eastAsia="zh-CN" w:bidi="ar-SA"/>
                    </w:rPr>
                    <w:t>×10</w:t>
                  </w:r>
                  <w:r>
                    <w:rPr>
                      <w:rFonts w:ascii="Times New Roman" w:hAnsi="Times New Roman" w:eastAsia="宋体" w:cs="Times New Roman"/>
                      <w:color w:val="auto"/>
                      <w:kern w:val="2"/>
                      <w:sz w:val="21"/>
                      <w:szCs w:val="21"/>
                      <w:highlight w:val="none"/>
                      <w:vertAlign w:val="superscript"/>
                      <w:lang w:val="en-US" w:eastAsia="zh-CN" w:bidi="ar-SA"/>
                    </w:rPr>
                    <w:t>4</w:t>
                  </w:r>
                  <w:r>
                    <w:rPr>
                      <w:rFonts w:ascii="Times New Roman" w:hAnsi="Times New Roman" w:eastAsia="宋体" w:cs="Times New Roman"/>
                      <w:color w:val="auto"/>
                      <w:kern w:val="2"/>
                      <w:sz w:val="21"/>
                      <w:szCs w:val="21"/>
                      <w:highlight w:val="none"/>
                      <w:lang w:val="en-US" w:eastAsia="zh-CN" w:bidi="ar-SA"/>
                    </w:rPr>
                    <w:t>m</w:t>
                  </w:r>
                  <w:r>
                    <w:rPr>
                      <w:rFonts w:ascii="Times New Roman" w:hAnsi="Times New Roman" w:eastAsia="宋体" w:cs="Times New Roman"/>
                      <w:color w:val="auto"/>
                      <w:kern w:val="2"/>
                      <w:sz w:val="21"/>
                      <w:szCs w:val="21"/>
                      <w:highlight w:val="none"/>
                      <w:vertAlign w:val="superscript"/>
                      <w:lang w:val="en-US" w:eastAsia="zh-CN" w:bidi="ar-SA"/>
                    </w:rPr>
                    <w:t>3</w:t>
                  </w:r>
                  <w:r>
                    <w:rPr>
                      <w:rFonts w:ascii="Times New Roman" w:hAnsi="Times New Roman" w:eastAsia="宋体" w:cs="Times New Roman"/>
                      <w:color w:val="auto"/>
                      <w:kern w:val="2"/>
                      <w:sz w:val="21"/>
                      <w:szCs w:val="21"/>
                      <w:highlight w:val="none"/>
                      <w:lang w:val="en-US" w:eastAsia="zh-CN" w:bidi="ar-SA"/>
                    </w:rPr>
                    <w:t>/a</w:t>
                  </w:r>
                  <w:r>
                    <w:rPr>
                      <w:rFonts w:hint="default" w:ascii="Times New Roman" w:hAnsi="Times New Roman" w:eastAsia="宋体" w:cs="Times New Roman"/>
                      <w:color w:val="auto"/>
                      <w:kern w:val="2"/>
                      <w:sz w:val="21"/>
                      <w:szCs w:val="21"/>
                      <w:lang w:val="en-US" w:eastAsia="zh-CN"/>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877" w:type="dxa"/>
                  <w:vMerge w:val="continue"/>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p>
              </w:tc>
              <w:tc>
                <w:tcPr>
                  <w:tcW w:w="1215" w:type="dxa"/>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SO</w:t>
                  </w:r>
                  <w:r>
                    <w:rPr>
                      <w:rFonts w:hint="default" w:ascii="Times New Roman" w:hAnsi="Times New Roman" w:eastAsia="宋体" w:cs="Times New Roman"/>
                      <w:color w:val="auto"/>
                      <w:kern w:val="2"/>
                      <w:sz w:val="21"/>
                      <w:szCs w:val="21"/>
                      <w:vertAlign w:val="subscript"/>
                    </w:rPr>
                    <w:t>2</w:t>
                  </w:r>
                </w:p>
              </w:tc>
              <w:tc>
                <w:tcPr>
                  <w:tcW w:w="1215" w:type="dxa"/>
                  <w:tcBorders>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0.02S</w:t>
                  </w:r>
                  <w:r>
                    <w:rPr>
                      <w:rFonts w:hint="default" w:ascii="Times New Roman" w:hAnsi="Times New Roman" w:eastAsia="宋体" w:cs="Times New Roman"/>
                      <w:color w:val="auto"/>
                      <w:kern w:val="2"/>
                      <w:sz w:val="21"/>
                      <w:szCs w:val="21"/>
                      <w:vertAlign w:val="superscript"/>
                      <w:lang w:eastAsia="zh-CN"/>
                    </w:rPr>
                    <w:fldChar w:fldCharType="begin"/>
                  </w:r>
                  <w:r>
                    <w:rPr>
                      <w:rFonts w:hint="default" w:ascii="Times New Roman" w:hAnsi="Times New Roman" w:eastAsia="宋体" w:cs="Times New Roman"/>
                      <w:color w:val="auto"/>
                      <w:kern w:val="2"/>
                      <w:sz w:val="21"/>
                      <w:szCs w:val="21"/>
                      <w:vertAlign w:val="superscript"/>
                      <w:lang w:eastAsia="zh-CN"/>
                    </w:rPr>
                    <w:instrText xml:space="preserve"> = 1 \* GB3 </w:instrText>
                  </w:r>
                  <w:r>
                    <w:rPr>
                      <w:rFonts w:hint="default" w:ascii="Times New Roman" w:hAnsi="Times New Roman" w:eastAsia="宋体" w:cs="Times New Roman"/>
                      <w:color w:val="auto"/>
                      <w:kern w:val="2"/>
                      <w:sz w:val="21"/>
                      <w:szCs w:val="21"/>
                      <w:vertAlign w:val="superscript"/>
                      <w:lang w:eastAsia="zh-CN"/>
                    </w:rPr>
                    <w:fldChar w:fldCharType="separate"/>
                  </w:r>
                  <w:r>
                    <w:rPr>
                      <w:rFonts w:hint="default" w:ascii="Times New Roman" w:hAnsi="Times New Roman" w:eastAsia="宋体" w:cs="Times New Roman"/>
                      <w:color w:val="auto"/>
                      <w:kern w:val="2"/>
                      <w:sz w:val="21"/>
                      <w:szCs w:val="21"/>
                      <w:vertAlign w:val="superscript"/>
                      <w:lang w:eastAsia="zh-CN"/>
                    </w:rPr>
                    <w:t>①</w:t>
                  </w:r>
                  <w:r>
                    <w:rPr>
                      <w:rFonts w:hint="default" w:ascii="Times New Roman" w:hAnsi="Times New Roman" w:eastAsia="宋体" w:cs="Times New Roman"/>
                      <w:color w:val="auto"/>
                      <w:kern w:val="2"/>
                      <w:sz w:val="21"/>
                      <w:szCs w:val="21"/>
                      <w:vertAlign w:val="superscript"/>
                      <w:lang w:eastAsia="zh-CN"/>
                    </w:rPr>
                    <w:fldChar w:fldCharType="end"/>
                  </w:r>
                </w:p>
              </w:tc>
              <w:tc>
                <w:tcPr>
                  <w:tcW w:w="1665" w:type="dxa"/>
                  <w:tcBorders>
                    <w:left w:val="single" w:color="auto" w:sz="4" w:space="0"/>
                  </w:tcBorders>
                  <w:noWrap w:val="0"/>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标立方米/万立方米-原料</w:t>
                  </w:r>
                </w:p>
              </w:tc>
              <w:tc>
                <w:tcPr>
                  <w:tcW w:w="1575" w:type="dxa"/>
                  <w:vMerge w:val="continue"/>
                  <w:tcBorders>
                    <w:bottom w:val="single" w:color="auto" w:sz="4" w:space="0"/>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p>
              </w:tc>
              <w:tc>
                <w:tcPr>
                  <w:tcW w:w="2313" w:type="dxa"/>
                  <w:tcBorders>
                    <w:top w:val="single" w:color="auto" w:sz="4" w:space="0"/>
                    <w:left w:val="single" w:color="auto" w:sz="4" w:space="0"/>
                    <w:bottom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0.020</w:t>
                  </w:r>
                  <w:r>
                    <w:rPr>
                      <w:rFonts w:ascii="Times New Roman" w:hAnsi="Times New Roman" w:eastAsia="宋体" w:cs="Times New Roman"/>
                      <w:color w:val="auto"/>
                      <w:kern w:val="2"/>
                      <w:sz w:val="21"/>
                      <w:szCs w:val="21"/>
                      <w:highlight w:val="none"/>
                      <w:lang w:val="en-US" w:eastAsia="zh-CN" w:bidi="ar-SA"/>
                    </w:rPr>
                    <w:t>t/a</w:t>
                  </w:r>
                  <w:r>
                    <w:rPr>
                      <w:rFonts w:hint="default" w:ascii="Times New Roman" w:hAnsi="Times New Roman" w:eastAsia="宋体" w:cs="Times New Roman"/>
                      <w:color w:val="auto"/>
                      <w:kern w:val="2"/>
                      <w:sz w:val="21"/>
                      <w:szCs w:val="21"/>
                      <w:lang w:val="en-US" w:eastAsia="zh-CN"/>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877" w:type="dxa"/>
                  <w:vMerge w:val="continue"/>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p>
              </w:tc>
              <w:tc>
                <w:tcPr>
                  <w:tcW w:w="1215" w:type="dxa"/>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NO</w:t>
                  </w:r>
                  <w:r>
                    <w:rPr>
                      <w:rFonts w:hint="default" w:ascii="Times New Roman" w:hAnsi="Times New Roman" w:eastAsia="宋体" w:cs="Times New Roman"/>
                      <w:color w:val="auto"/>
                      <w:kern w:val="2"/>
                      <w:sz w:val="21"/>
                      <w:szCs w:val="21"/>
                      <w:vertAlign w:val="subscript"/>
                    </w:rPr>
                    <w:t>x</w:t>
                  </w:r>
                </w:p>
              </w:tc>
              <w:tc>
                <w:tcPr>
                  <w:tcW w:w="1215" w:type="dxa"/>
                  <w:tcBorders>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6.3</w:t>
                  </w:r>
                </w:p>
              </w:tc>
              <w:tc>
                <w:tcPr>
                  <w:tcW w:w="1665" w:type="dxa"/>
                  <w:tcBorders>
                    <w:lef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千克/万立方米-原料</w:t>
                  </w:r>
                </w:p>
              </w:tc>
              <w:tc>
                <w:tcPr>
                  <w:tcW w:w="1575" w:type="dxa"/>
                  <w:vMerge w:val="restart"/>
                  <w:tcBorders>
                    <w:top w:val="single" w:color="auto" w:sz="4" w:space="0"/>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《环境保护实用数据手册》</w:t>
                  </w:r>
                </w:p>
              </w:tc>
              <w:tc>
                <w:tcPr>
                  <w:tcW w:w="2313" w:type="dxa"/>
                  <w:tcBorders>
                    <w:top w:val="single" w:color="auto" w:sz="4" w:space="0"/>
                    <w:left w:val="single" w:color="auto" w:sz="4" w:space="0"/>
                    <w:bottom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0.032</w:t>
                  </w:r>
                  <w:r>
                    <w:rPr>
                      <w:rFonts w:ascii="Times New Roman" w:hAnsi="Times New Roman" w:eastAsia="宋体" w:cs="Times New Roman"/>
                      <w:color w:val="auto"/>
                      <w:kern w:val="2"/>
                      <w:sz w:val="21"/>
                      <w:szCs w:val="21"/>
                      <w:highlight w:val="none"/>
                      <w:lang w:val="en-US" w:eastAsia="zh-CN" w:bidi="ar-SA"/>
                    </w:rPr>
                    <w:t>t/a</w:t>
                  </w:r>
                  <w:r>
                    <w:rPr>
                      <w:rFonts w:hint="default" w:ascii="Times New Roman" w:hAnsi="Times New Roman" w:eastAsia="宋体" w:cs="Times New Roman"/>
                      <w:color w:val="auto"/>
                      <w:kern w:val="2"/>
                      <w:sz w:val="21"/>
                      <w:szCs w:val="21"/>
                      <w:lang w:val="en-US" w:eastAsia="zh-CN"/>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877" w:type="dxa"/>
                  <w:vMerge w:val="continue"/>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p>
              </w:tc>
              <w:tc>
                <w:tcPr>
                  <w:tcW w:w="1215" w:type="dxa"/>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烟尘</w:t>
                  </w:r>
                </w:p>
              </w:tc>
              <w:tc>
                <w:tcPr>
                  <w:tcW w:w="1215" w:type="dxa"/>
                  <w:tcBorders>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2.4</w:t>
                  </w:r>
                </w:p>
              </w:tc>
              <w:tc>
                <w:tcPr>
                  <w:tcW w:w="1665" w:type="dxa"/>
                  <w:tcBorders>
                    <w:lef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千克/万立方米-原料</w:t>
                  </w:r>
                </w:p>
              </w:tc>
              <w:tc>
                <w:tcPr>
                  <w:tcW w:w="1575" w:type="dxa"/>
                  <w:vMerge w:val="continue"/>
                  <w:tcBorders>
                    <w:righ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rPr>
                  </w:pPr>
                </w:p>
              </w:tc>
              <w:tc>
                <w:tcPr>
                  <w:tcW w:w="2313" w:type="dxa"/>
                  <w:tcBorders>
                    <w:top w:val="single" w:color="auto" w:sz="4" w:space="0"/>
                    <w:left w:val="single" w:color="auto" w:sz="4" w:space="0"/>
                  </w:tcBorders>
                  <w:noWrap w:val="0"/>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0.012</w:t>
                  </w:r>
                  <w:r>
                    <w:rPr>
                      <w:rFonts w:ascii="Times New Roman" w:hAnsi="Times New Roman" w:eastAsia="宋体" w:cs="Times New Roman"/>
                      <w:color w:val="auto"/>
                      <w:kern w:val="2"/>
                      <w:sz w:val="21"/>
                      <w:szCs w:val="21"/>
                      <w:highlight w:val="none"/>
                      <w:lang w:val="en-US" w:eastAsia="zh-CN" w:bidi="ar-SA"/>
                    </w:rPr>
                    <w:t>t/a</w:t>
                  </w:r>
                </w:p>
              </w:tc>
            </w:tr>
          </w:tbl>
          <w:p>
            <w:pPr>
              <w:keepNext w:val="0"/>
              <w:keepLines w:val="0"/>
              <w:pageBreakBefore w:val="0"/>
              <w:widowControl w:val="0"/>
              <w:kinsoku/>
              <w:wordWrap/>
              <w:overflowPunct/>
              <w:topLinePunct w:val="0"/>
              <w:autoSpaceDE/>
              <w:autoSpaceDN/>
              <w:bidi w:val="0"/>
              <w:adjustRightInd/>
              <w:snapToGrid/>
              <w:spacing w:after="0" w:line="360" w:lineRule="auto"/>
              <w:ind w:firstLine="567"/>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注：</w:t>
            </w: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1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①</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排污系数表中二氧化硫的产排污系数是以含硫量（S）的形式表示的，其中含硫量（S）是指燃气收到基硫分含量，单位为毫克/立方米。例如燃料中含硫量（S）为200毫克/立方米，则S=200。根据《天然气》（GB17820-2012），作为民用燃料的二类天然气，总硫含量应符合≤200mg/m</w:t>
            </w:r>
            <w:r>
              <w:rPr>
                <w:rFonts w:hint="eastAsia" w:ascii="Times New Roman" w:hAnsi="Times New Roman" w:eastAsia="宋体" w:cs="Times New Roman"/>
                <w:color w:val="auto"/>
                <w:kern w:val="2"/>
                <w:sz w:val="21"/>
                <w:szCs w:val="21"/>
                <w:highlight w:val="none"/>
                <w:vertAlign w:val="superscript"/>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的技术指标。本项目所用天然气含硫量按200mg/m</w:t>
            </w:r>
            <w:r>
              <w:rPr>
                <w:rFonts w:hint="eastAsia" w:ascii="Times New Roman" w:hAnsi="Times New Roman" w:eastAsia="宋体" w:cs="Times New Roman"/>
                <w:color w:val="auto"/>
                <w:kern w:val="2"/>
                <w:sz w:val="21"/>
                <w:szCs w:val="21"/>
                <w:highlight w:val="none"/>
                <w:vertAlign w:val="superscript"/>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计。</w:t>
            </w:r>
          </w:p>
          <w:p>
            <w:pPr>
              <w:keepNext w:val="0"/>
              <w:keepLines w:val="0"/>
              <w:pageBreakBefore w:val="0"/>
              <w:widowControl w:val="0"/>
              <w:kinsoku/>
              <w:wordWrap/>
              <w:overflowPunct/>
              <w:topLinePunct w:val="0"/>
              <w:autoSpaceDE/>
              <w:autoSpaceDN/>
              <w:bidi w:val="0"/>
              <w:adjustRightInd/>
              <w:snapToGrid/>
              <w:spacing w:after="0" w:line="360" w:lineRule="auto"/>
              <w:ind w:firstLine="567"/>
              <w:jc w:val="both"/>
              <w:textAlignment w:val="auto"/>
              <w:rPr>
                <w:rFonts w:hint="eastAsia"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rPr>
              <w:t>◇</w:t>
            </w:r>
            <w:r>
              <w:rPr>
                <w:rFonts w:hint="eastAsia" w:ascii="Times New Roman" w:hAnsi="Times New Roman" w:eastAsia="宋体" w:cs="Times New Roman"/>
                <w:b/>
                <w:color w:val="auto"/>
                <w:kern w:val="2"/>
                <w:sz w:val="24"/>
                <w:szCs w:val="24"/>
                <w:highlight w:val="none"/>
              </w:rPr>
              <w:t>抛光工序</w:t>
            </w:r>
          </w:p>
          <w:p>
            <w:pPr>
              <w:widowControl w:val="0"/>
              <w:snapToGrid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项目在抛光工序中会产生一定量的粉尘，</w:t>
            </w:r>
            <w:r>
              <w:rPr>
                <w:rFonts w:hint="eastAsia" w:ascii="Times New Roman" w:hAnsi="Times New Roman" w:eastAsia="宋体" w:cs="Times New Roman"/>
                <w:bCs/>
                <w:color w:val="auto"/>
                <w:kern w:val="2"/>
                <w:sz w:val="24"/>
                <w:szCs w:val="24"/>
                <w:highlight w:val="none"/>
              </w:rPr>
              <w:t>引用《第一次全国污染源普查工业污染</w:t>
            </w:r>
            <w:r>
              <w:rPr>
                <w:rFonts w:hint="eastAsia" w:ascii="Times New Roman" w:hAnsi="Times New Roman" w:eastAsia="宋体" w:cs="Times New Roman"/>
                <w:bCs/>
                <w:color w:val="auto"/>
                <w:kern w:val="2"/>
                <w:sz w:val="24"/>
                <w:szCs w:val="24"/>
                <w:highlight w:val="none"/>
                <w:lang w:eastAsia="zh-CN"/>
              </w:rPr>
              <w:t>源</w:t>
            </w:r>
            <w:r>
              <w:rPr>
                <w:rFonts w:hint="eastAsia" w:ascii="Times New Roman" w:hAnsi="Times New Roman" w:eastAsia="宋体" w:cs="Times New Roman"/>
                <w:bCs/>
                <w:color w:val="auto"/>
                <w:kern w:val="2"/>
                <w:sz w:val="24"/>
                <w:szCs w:val="24"/>
                <w:highlight w:val="none"/>
              </w:rPr>
              <w:t>产排污系数手册》中金属加工的粉尘产污系数为1.523kg/t，铜棒</w:t>
            </w:r>
            <w:r>
              <w:rPr>
                <w:rFonts w:hint="eastAsia" w:ascii="Times New Roman" w:hAnsi="Times New Roman" w:eastAsia="宋体" w:cs="Times New Roman"/>
                <w:color w:val="auto"/>
                <w:kern w:val="2"/>
                <w:sz w:val="24"/>
                <w:szCs w:val="24"/>
                <w:highlight w:val="none"/>
              </w:rPr>
              <w:t>用量共</w:t>
            </w:r>
            <w:r>
              <w:rPr>
                <w:rFonts w:hint="eastAsia" w:ascii="Times New Roman" w:hAnsi="Times New Roman" w:eastAsia="宋体" w:cs="Times New Roman"/>
                <w:color w:val="auto"/>
                <w:kern w:val="2"/>
                <w:sz w:val="24"/>
                <w:szCs w:val="24"/>
                <w:highlight w:val="none"/>
                <w:lang w:val="en-US" w:eastAsia="zh-CN"/>
              </w:rPr>
              <w:t>250</w:t>
            </w:r>
            <w:r>
              <w:rPr>
                <w:rFonts w:hint="eastAsia" w:ascii="Times New Roman" w:hAnsi="Times New Roman" w:eastAsia="宋体" w:cs="Times New Roman"/>
                <w:color w:val="auto"/>
                <w:kern w:val="2"/>
                <w:sz w:val="24"/>
                <w:szCs w:val="24"/>
                <w:highlight w:val="none"/>
              </w:rPr>
              <w:t>t</w:t>
            </w:r>
            <w:r>
              <w:rPr>
                <w:rFonts w:ascii="Times New Roman" w:hAnsi="Times New Roman" w:eastAsia="宋体" w:cs="Times New Roman"/>
                <w:color w:val="auto"/>
                <w:kern w:val="2"/>
                <w:sz w:val="24"/>
                <w:szCs w:val="24"/>
                <w:highlight w:val="none"/>
              </w:rPr>
              <w:t>/a</w:t>
            </w:r>
            <w:r>
              <w:rPr>
                <w:rFonts w:hint="eastAsia" w:ascii="Times New Roman" w:hAnsi="Times New Roman" w:eastAsia="宋体" w:cs="Times New Roman"/>
                <w:color w:val="auto"/>
                <w:kern w:val="2"/>
                <w:sz w:val="24"/>
                <w:szCs w:val="24"/>
                <w:highlight w:val="none"/>
              </w:rPr>
              <w:t>，则产生粉尘量为</w:t>
            </w:r>
            <w:r>
              <w:rPr>
                <w:rFonts w:hint="eastAsia" w:ascii="Times New Roman" w:hAnsi="Times New Roman" w:eastAsia="宋体" w:cs="Times New Roman"/>
                <w:color w:val="auto"/>
                <w:kern w:val="2"/>
                <w:sz w:val="24"/>
                <w:szCs w:val="24"/>
                <w:highlight w:val="none"/>
                <w:lang w:val="en-US" w:eastAsia="zh-CN"/>
              </w:rPr>
              <w:t>0.38</w:t>
            </w:r>
            <w:r>
              <w:rPr>
                <w:rFonts w:hint="eastAsia" w:ascii="Times New Roman" w:hAnsi="Times New Roman" w:eastAsia="宋体" w:cs="Times New Roman"/>
                <w:color w:val="auto"/>
                <w:kern w:val="2"/>
                <w:sz w:val="24"/>
                <w:szCs w:val="24"/>
                <w:highlight w:val="none"/>
              </w:rPr>
              <w:t>t/a。</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3、噪声污染源</w:t>
            </w:r>
          </w:p>
          <w:p>
            <w:pPr>
              <w:widowControl w:val="0"/>
              <w:spacing w:after="0" w:line="360" w:lineRule="auto"/>
              <w:ind w:firstLine="480" w:firstLineChars="200"/>
              <w:jc w:val="left"/>
              <w:rPr>
                <w:rFonts w:ascii="Times New Roman" w:hAnsi="Times New Roman" w:eastAsia="宋体" w:cs="Times New Roman"/>
                <w:color w:val="FF0000"/>
                <w:kern w:val="2"/>
                <w:sz w:val="24"/>
                <w:szCs w:val="24"/>
              </w:rPr>
            </w:pPr>
            <w:r>
              <w:rPr>
                <w:rFonts w:ascii="Times New Roman" w:hAnsi="Times New Roman" w:eastAsia="宋体" w:cs="Times New Roman"/>
                <w:color w:val="auto"/>
                <w:kern w:val="2"/>
                <w:sz w:val="24"/>
                <w:szCs w:val="24"/>
              </w:rPr>
              <w:t>项目的主要噪声为：普通加工机械的运行噪声，噪声值约为70～</w:t>
            </w:r>
            <w:r>
              <w:rPr>
                <w:rFonts w:hint="eastAsia" w:ascii="Times New Roman" w:hAnsi="Times New Roman" w:eastAsia="宋体" w:cs="Times New Roman"/>
                <w:color w:val="auto"/>
                <w:kern w:val="2"/>
                <w:sz w:val="24"/>
                <w:szCs w:val="24"/>
              </w:rPr>
              <w:t>80</w:t>
            </w:r>
            <w:r>
              <w:rPr>
                <w:rFonts w:ascii="Times New Roman" w:hAnsi="Times New Roman" w:eastAsia="宋体" w:cs="Times New Roman"/>
                <w:color w:val="auto"/>
                <w:kern w:val="2"/>
                <w:sz w:val="24"/>
                <w:szCs w:val="24"/>
              </w:rPr>
              <w:t>dB（A）；空压机的运行噪声，噪声值约为</w:t>
            </w:r>
            <w:r>
              <w:rPr>
                <w:rFonts w:hint="eastAsia" w:ascii="Times New Roman" w:hAnsi="Times New Roman" w:eastAsia="宋体" w:cs="Times New Roman"/>
                <w:color w:val="auto"/>
                <w:kern w:val="2"/>
                <w:sz w:val="24"/>
                <w:szCs w:val="24"/>
              </w:rPr>
              <w:t>80</w:t>
            </w:r>
            <w:r>
              <w:rPr>
                <w:rFonts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rPr>
              <w:t>90</w:t>
            </w:r>
            <w:r>
              <w:rPr>
                <w:rFonts w:ascii="Times New Roman" w:hAnsi="Times New Roman" w:eastAsia="宋体" w:cs="Times New Roman"/>
                <w:color w:val="auto"/>
                <w:kern w:val="2"/>
                <w:sz w:val="24"/>
                <w:szCs w:val="24"/>
              </w:rPr>
              <w:t>dB（A）；机械通风所用通风机运行时产生的噪声，其噪声级</w:t>
            </w:r>
            <w:r>
              <w:rPr>
                <w:rFonts w:hint="eastAsia" w:ascii="Times New Roman" w:hAnsi="Times New Roman" w:eastAsia="宋体" w:cs="Times New Roman"/>
                <w:color w:val="auto"/>
                <w:kern w:val="2"/>
                <w:sz w:val="24"/>
                <w:szCs w:val="24"/>
              </w:rPr>
              <w:t>约</w:t>
            </w:r>
            <w:r>
              <w:rPr>
                <w:rFonts w:ascii="Times New Roman" w:hAnsi="Times New Roman" w:eastAsia="宋体" w:cs="Times New Roman"/>
                <w:color w:val="auto"/>
                <w:kern w:val="2"/>
                <w:sz w:val="24"/>
                <w:szCs w:val="24"/>
              </w:rPr>
              <w:t>为70～75dB（A）</w:t>
            </w:r>
            <w:r>
              <w:rPr>
                <w:rFonts w:ascii="Times New Roman" w:hAnsi="宋体" w:eastAsia="宋体" w:cs="Times New Roman"/>
                <w:color w:val="auto"/>
                <w:kern w:val="2"/>
                <w:sz w:val="24"/>
                <w:szCs w:val="24"/>
              </w:rPr>
              <w:t>。</w:t>
            </w:r>
            <w:r>
              <w:rPr>
                <w:rFonts w:hint="eastAsia" w:ascii="Times New Roman" w:hAnsi="宋体" w:eastAsia="宋体" w:cs="Times New Roman"/>
                <w:color w:val="auto"/>
                <w:kern w:val="2"/>
                <w:sz w:val="24"/>
                <w:szCs w:val="24"/>
              </w:rPr>
              <w:t>各类加工机械</w:t>
            </w:r>
            <w:r>
              <w:rPr>
                <w:rFonts w:hint="eastAsia" w:ascii="Times New Roman" w:hAnsi="Times New Roman" w:eastAsia="宋体" w:cs="Times New Roman"/>
                <w:color w:val="auto"/>
                <w:kern w:val="2"/>
                <w:sz w:val="24"/>
                <w:szCs w:val="24"/>
              </w:rPr>
              <w:t>具体噪声值见下表。</w:t>
            </w:r>
          </w:p>
          <w:p>
            <w:pPr>
              <w:widowControl/>
              <w:numPr>
                <w:ilvl w:val="0"/>
                <w:numId w:val="2"/>
              </w:numPr>
              <w:tabs>
                <w:tab w:val="left" w:pos="420"/>
              </w:tabs>
              <w:adjustRightInd w:val="0"/>
              <w:snapToGrid w:val="0"/>
              <w:spacing w:line="240" w:lineRule="auto"/>
              <w:ind w:left="0" w:firstLine="471"/>
              <w:jc w:val="center"/>
              <w:rPr>
                <w:rFonts w:hint="eastAsia"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 xml:space="preserve"> 噪声污染情况一览表</w:t>
            </w:r>
          </w:p>
          <w:tbl>
            <w:tblPr>
              <w:tblStyle w:val="44"/>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084"/>
              <w:gridCol w:w="2351"/>
              <w:gridCol w:w="1570"/>
              <w:gridCol w:w="1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9"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bCs/>
                      <w:color w:val="auto"/>
                      <w:kern w:val="2"/>
                      <w:sz w:val="21"/>
                      <w:szCs w:val="21"/>
                      <w:vertAlign w:val="baseline"/>
                      <w:lang w:eastAsia="zh-CN"/>
                    </w:rPr>
                  </w:pPr>
                  <w:r>
                    <w:rPr>
                      <w:rFonts w:hint="eastAsia" w:ascii="Times New Roman" w:hAnsi="Times New Roman" w:eastAsia="宋体" w:cs="Times New Roman"/>
                      <w:b/>
                      <w:bCs/>
                      <w:color w:val="auto"/>
                      <w:kern w:val="2"/>
                      <w:sz w:val="21"/>
                      <w:szCs w:val="21"/>
                      <w:vertAlign w:val="baseline"/>
                      <w:lang w:eastAsia="zh-CN"/>
                    </w:rPr>
                    <w:t>序号</w:t>
                  </w:r>
                </w:p>
              </w:tc>
              <w:tc>
                <w:tcPr>
                  <w:tcW w:w="2084"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bCs/>
                      <w:color w:val="auto"/>
                      <w:kern w:val="2"/>
                      <w:sz w:val="21"/>
                      <w:szCs w:val="21"/>
                      <w:vertAlign w:val="baseline"/>
                      <w:lang w:eastAsia="zh-CN"/>
                    </w:rPr>
                  </w:pPr>
                  <w:r>
                    <w:rPr>
                      <w:rFonts w:hint="eastAsia" w:ascii="Times New Roman" w:hAnsi="Times New Roman" w:eastAsia="宋体" w:cs="Times New Roman"/>
                      <w:b/>
                      <w:bCs/>
                      <w:color w:val="auto"/>
                      <w:kern w:val="2"/>
                      <w:sz w:val="21"/>
                      <w:szCs w:val="21"/>
                      <w:vertAlign w:val="baseline"/>
                      <w:lang w:eastAsia="zh-CN"/>
                    </w:rPr>
                    <w:t>噪声源</w:t>
                  </w:r>
                </w:p>
              </w:tc>
              <w:tc>
                <w:tcPr>
                  <w:tcW w:w="2351"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bCs/>
                      <w:color w:val="auto"/>
                      <w:kern w:val="2"/>
                      <w:sz w:val="21"/>
                      <w:szCs w:val="21"/>
                      <w:vertAlign w:val="baseline"/>
                      <w:lang w:eastAsia="zh-CN"/>
                    </w:rPr>
                  </w:pPr>
                  <w:r>
                    <w:rPr>
                      <w:rFonts w:hint="eastAsia" w:ascii="Times New Roman" w:hAnsi="Times New Roman" w:eastAsia="宋体" w:cs="Times New Roman"/>
                      <w:b/>
                      <w:bCs/>
                      <w:color w:val="auto"/>
                      <w:kern w:val="2"/>
                      <w:sz w:val="21"/>
                      <w:szCs w:val="21"/>
                      <w:vertAlign w:val="baseline"/>
                      <w:lang w:eastAsia="zh-CN"/>
                    </w:rPr>
                    <w:t>噪声声功率级dB(A)</w:t>
                  </w:r>
                </w:p>
              </w:tc>
              <w:tc>
                <w:tcPr>
                  <w:tcW w:w="1570"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bCs/>
                      <w:color w:val="auto"/>
                      <w:kern w:val="2"/>
                      <w:sz w:val="21"/>
                      <w:szCs w:val="21"/>
                      <w:vertAlign w:val="baseline"/>
                      <w:lang w:eastAsia="zh-CN"/>
                    </w:rPr>
                  </w:pPr>
                  <w:r>
                    <w:rPr>
                      <w:rFonts w:hint="eastAsia" w:ascii="Times New Roman" w:hAnsi="Times New Roman" w:eastAsia="宋体" w:cs="Times New Roman"/>
                      <w:b/>
                      <w:bCs/>
                      <w:color w:val="auto"/>
                      <w:kern w:val="2"/>
                      <w:sz w:val="21"/>
                      <w:szCs w:val="21"/>
                      <w:vertAlign w:val="baseline"/>
                      <w:lang w:eastAsia="zh-CN"/>
                    </w:rPr>
                    <w:t>取值距离</w:t>
                  </w:r>
                </w:p>
              </w:tc>
              <w:tc>
                <w:tcPr>
                  <w:tcW w:w="1486"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bCs/>
                      <w:color w:val="auto"/>
                      <w:kern w:val="2"/>
                      <w:sz w:val="21"/>
                      <w:szCs w:val="21"/>
                      <w:vertAlign w:val="baseline"/>
                      <w:lang w:eastAsia="zh-CN"/>
                    </w:rPr>
                  </w:pPr>
                  <w:r>
                    <w:rPr>
                      <w:rFonts w:hint="eastAsia" w:ascii="Times New Roman" w:hAnsi="Times New Roman" w:eastAsia="宋体" w:cs="Times New Roman"/>
                      <w:b/>
                      <w:bCs/>
                      <w:color w:val="auto"/>
                      <w:kern w:val="2"/>
                      <w:sz w:val="21"/>
                      <w:szCs w:val="21"/>
                      <w:vertAlign w:val="baseline"/>
                      <w:lang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auto"/>
                      <w:kern w:val="2"/>
                      <w:sz w:val="21"/>
                      <w:szCs w:val="21"/>
                      <w:vertAlign w:val="baseline"/>
                      <w:lang w:eastAsia="zh-CN"/>
                    </w:rPr>
                  </w:pPr>
                  <w:r>
                    <w:rPr>
                      <w:rFonts w:hint="eastAsia" w:ascii="Times New Roman" w:hAnsi="Times New Roman" w:eastAsia="宋体" w:cs="Times New Roman"/>
                      <w:b w:val="0"/>
                      <w:bCs w:val="0"/>
                      <w:color w:val="auto"/>
                      <w:kern w:val="2"/>
                      <w:sz w:val="21"/>
                      <w:szCs w:val="21"/>
                      <w:vertAlign w:val="baseline"/>
                      <w:lang w:eastAsia="zh-CN"/>
                    </w:rPr>
                    <w:t>1</w:t>
                  </w:r>
                </w:p>
              </w:tc>
              <w:tc>
                <w:tcPr>
                  <w:tcW w:w="2084" w:type="dxa"/>
                  <w:noWrap w:val="0"/>
                  <w:vAlign w:val="center"/>
                </w:tcPr>
                <w:p>
                  <w:pPr>
                    <w:widowControl w:val="0"/>
                    <w:spacing w:after="0" w:line="24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切割机</w:t>
                  </w:r>
                </w:p>
              </w:tc>
              <w:tc>
                <w:tcPr>
                  <w:tcW w:w="2351"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restart"/>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设备1m处</w:t>
                  </w:r>
                </w:p>
              </w:tc>
              <w:tc>
                <w:tcPr>
                  <w:tcW w:w="1486" w:type="dxa"/>
                  <w:vMerge w:val="restart"/>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auto"/>
                      <w:kern w:val="2"/>
                      <w:sz w:val="21"/>
                      <w:szCs w:val="21"/>
                      <w:vertAlign w:val="baseline"/>
                      <w:lang w:eastAsia="zh-CN"/>
                    </w:rPr>
                  </w:pPr>
                  <w:r>
                    <w:rPr>
                      <w:rFonts w:hint="eastAsia" w:ascii="Times New Roman" w:hAnsi="Times New Roman" w:eastAsia="宋体" w:cs="Times New Roman"/>
                      <w:b w:val="0"/>
                      <w:bCs w:val="0"/>
                      <w:color w:val="auto"/>
                      <w:kern w:val="2"/>
                      <w:sz w:val="21"/>
                      <w:szCs w:val="21"/>
                      <w:vertAlign w:val="baseline"/>
                      <w:lang w:eastAsia="zh-CN"/>
                    </w:rPr>
                    <w:t>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eastAsia="zh-CN"/>
                    </w:rPr>
                  </w:pPr>
                  <w:r>
                    <w:rPr>
                      <w:rFonts w:hint="eastAsia" w:ascii="Times New Roman" w:hAnsi="Times New Roman" w:eastAsia="宋体" w:cs="Times New Roman"/>
                      <w:b w:val="0"/>
                      <w:bCs w:val="0"/>
                      <w:color w:val="auto"/>
                      <w:kern w:val="2"/>
                      <w:sz w:val="21"/>
                      <w:szCs w:val="21"/>
                      <w:vertAlign w:val="baseline"/>
                      <w:lang w:eastAsia="zh-CN"/>
                    </w:rPr>
                    <w:t>2</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自动切割机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eastAsia="zh-CN"/>
                    </w:rPr>
                  </w:pPr>
                  <w:r>
                    <w:rPr>
                      <w:rFonts w:hint="eastAsia" w:ascii="Times New Roman" w:hAnsi="Times New Roman" w:eastAsia="宋体" w:cs="Times New Roman"/>
                      <w:b w:val="0"/>
                      <w:bCs w:val="0"/>
                      <w:color w:val="auto"/>
                      <w:kern w:val="2"/>
                      <w:sz w:val="21"/>
                      <w:szCs w:val="21"/>
                      <w:vertAlign w:val="baseline"/>
                      <w:lang w:val="en-US" w:eastAsia="zh-CN"/>
                    </w:rPr>
                    <w:t>3</w:t>
                  </w:r>
                </w:p>
              </w:tc>
              <w:tc>
                <w:tcPr>
                  <w:tcW w:w="2084" w:type="dxa"/>
                  <w:noWrap w:val="0"/>
                  <w:vAlign w:val="center"/>
                </w:tcPr>
                <w:p>
                  <w:pPr>
                    <w:widowControl w:val="0"/>
                    <w:spacing w:after="0" w:line="24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lang w:eastAsia="zh-CN"/>
                    </w:rPr>
                    <w:t>热</w:t>
                  </w:r>
                  <w:r>
                    <w:rPr>
                      <w:rFonts w:hint="default" w:ascii="Times New Roman" w:hAnsi="Times New Roman" w:eastAsia="宋体" w:cs="Times New Roman"/>
                      <w:color w:val="auto"/>
                      <w:sz w:val="21"/>
                      <w:szCs w:val="21"/>
                    </w:rPr>
                    <w:t>冲床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ind w:left="0" w:leftChars="0" w:firstLine="0" w:firstLine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4</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加工中心</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5</w:t>
                  </w:r>
                </w:p>
              </w:tc>
              <w:tc>
                <w:tcPr>
                  <w:tcW w:w="2084" w:type="dxa"/>
                  <w:noWrap w:val="0"/>
                  <w:vAlign w:val="center"/>
                </w:tcPr>
                <w:p>
                  <w:pPr>
                    <w:widowControl w:val="0"/>
                    <w:spacing w:after="0" w:line="24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台式单头钻</w:t>
                  </w:r>
                </w:p>
              </w:tc>
              <w:tc>
                <w:tcPr>
                  <w:tcW w:w="2351" w:type="dxa"/>
                  <w:noWrap w:val="0"/>
                  <w:vAlign w:val="center"/>
                </w:tcPr>
                <w:p>
                  <w:pPr>
                    <w:widowControl w:val="0"/>
                    <w:numPr>
                      <w:ilvl w:val="0"/>
                      <w:numId w:val="0"/>
                    </w:numPr>
                    <w:spacing w:after="0" w:line="360" w:lineRule="auto"/>
                    <w:ind w:left="0" w:leftChars="0" w:firstLine="0" w:firstLine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6</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铣床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仪表</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8</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双轴复合机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9</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卧式铣床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10</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台式砂轮机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11</w:t>
                  </w:r>
                </w:p>
              </w:tc>
              <w:tc>
                <w:tcPr>
                  <w:tcW w:w="2084" w:type="dxa"/>
                  <w:noWrap w:val="0"/>
                  <w:vAlign w:val="center"/>
                </w:tcPr>
                <w:p>
                  <w:pPr>
                    <w:widowControl w:val="0"/>
                    <w:spacing w:after="0" w:line="240" w:lineRule="auto"/>
                    <w:jc w:val="center"/>
                    <w:rPr>
                      <w:rFonts w:hint="eastAsia"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color w:val="auto"/>
                      <w:sz w:val="21"/>
                      <w:szCs w:val="21"/>
                    </w:rPr>
                    <w:t>数控车床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12</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rPr>
                    <w:t>车床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13</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lang w:val="en-US" w:eastAsia="zh-CN"/>
                    </w:rPr>
                    <w:t>冷冲床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14</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lang w:val="en-US" w:eastAsia="zh-CN"/>
                    </w:rPr>
                    <w:t>八轴机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15</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lang w:eastAsia="zh-CN"/>
                    </w:rPr>
                    <w:t>氧气焊</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16</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rPr>
                    <w:t>抛光机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17</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rPr>
                    <w:t>安装传送带</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18</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rPr>
                    <w:t>试水机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19</w:t>
                  </w:r>
                </w:p>
              </w:tc>
              <w:tc>
                <w:tcPr>
                  <w:tcW w:w="2084" w:type="dxa"/>
                  <w:noWrap w:val="0"/>
                  <w:vAlign w:val="center"/>
                </w:tcPr>
                <w:p>
                  <w:pPr>
                    <w:widowControl w:val="0"/>
                    <w:spacing w:after="0" w:line="240" w:lineRule="auto"/>
                    <w:jc w:val="center"/>
                    <w:rPr>
                      <w:rFonts w:hint="eastAsia" w:ascii="宋体" w:hAnsi="宋体" w:eastAsia="宋体" w:cs="Times New Roman"/>
                      <w:color w:val="auto"/>
                      <w:kern w:val="2"/>
                      <w:sz w:val="21"/>
                      <w:szCs w:val="21"/>
                      <w:shd w:val="clear" w:color="auto" w:fill="auto"/>
                    </w:rPr>
                  </w:pPr>
                  <w:r>
                    <w:rPr>
                      <w:rFonts w:hint="default" w:ascii="Times New Roman" w:hAnsi="Times New Roman" w:eastAsia="宋体" w:cs="Times New Roman"/>
                      <w:color w:val="auto"/>
                      <w:sz w:val="21"/>
                      <w:szCs w:val="21"/>
                    </w:rPr>
                    <w:t>自动打包机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70~80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noWrap w:val="0"/>
                  <w:vAlign w:val="center"/>
                </w:tcPr>
                <w:p>
                  <w:pPr>
                    <w:widowControl w:val="0"/>
                    <w:numPr>
                      <w:ilvl w:val="0"/>
                      <w:numId w:val="0"/>
                    </w:numPr>
                    <w:spacing w:after="0" w:line="360" w:lineRule="auto"/>
                    <w:jc w:val="center"/>
                    <w:rPr>
                      <w:rFonts w:hint="default"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20</w:t>
                  </w:r>
                </w:p>
              </w:tc>
              <w:tc>
                <w:tcPr>
                  <w:tcW w:w="2084" w:type="dxa"/>
                  <w:noWrap w:val="0"/>
                  <w:vAlign w:val="center"/>
                </w:tcPr>
                <w:p>
                  <w:pPr>
                    <w:widowControl w:val="0"/>
                    <w:spacing w:after="0" w:line="360" w:lineRule="auto"/>
                    <w:jc w:val="center"/>
                    <w:rPr>
                      <w:rFonts w:hint="eastAsia" w:ascii="宋体" w:hAnsi="宋体" w:eastAsia="宋体" w:cs="Times New Roman"/>
                      <w:color w:val="auto"/>
                      <w:kern w:val="2"/>
                      <w:sz w:val="21"/>
                      <w:szCs w:val="21"/>
                      <w:shd w:val="clear" w:color="auto" w:fill="auto"/>
                    </w:rPr>
                  </w:pPr>
                  <w:r>
                    <w:rPr>
                      <w:rFonts w:hint="eastAsia" w:ascii="宋体" w:hAnsi="宋体" w:eastAsia="宋体" w:cs="Times New Roman"/>
                      <w:color w:val="auto"/>
                      <w:kern w:val="2"/>
                      <w:sz w:val="21"/>
                      <w:szCs w:val="21"/>
                      <w:shd w:val="clear" w:color="auto" w:fill="auto"/>
                    </w:rPr>
                    <w:t>空压机</w:t>
                  </w:r>
                </w:p>
              </w:tc>
              <w:tc>
                <w:tcPr>
                  <w:tcW w:w="2351" w:type="dxa"/>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auto"/>
                      <w:kern w:val="2"/>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rPr>
                    <w:t>80~90</w:t>
                  </w:r>
                </w:p>
              </w:tc>
              <w:tc>
                <w:tcPr>
                  <w:tcW w:w="1570" w:type="dxa"/>
                  <w:vMerge w:val="continue"/>
                  <w:noWrap w:val="0"/>
                  <w:vAlign w:val="center"/>
                </w:tcPr>
                <w:p>
                  <w:pPr>
                    <w:widowControl w:val="0"/>
                    <w:numPr>
                      <w:ilvl w:val="0"/>
                      <w:numId w:val="0"/>
                    </w:numPr>
                    <w:spacing w:after="0" w:line="360" w:lineRule="auto"/>
                    <w:ind w:left="0" w:leftChars="0" w:firstLine="0" w:firstLineChars="0"/>
                    <w:jc w:val="center"/>
                    <w:rPr>
                      <w:rFonts w:hint="eastAsia" w:ascii="Times New Roman" w:hAnsi="Times New Roman" w:eastAsia="宋体" w:cs="Times New Roman"/>
                      <w:b w:val="0"/>
                      <w:bCs w:val="0"/>
                      <w:color w:val="FF0000"/>
                      <w:kern w:val="2"/>
                      <w:sz w:val="21"/>
                      <w:szCs w:val="21"/>
                      <w:vertAlign w:val="baseline"/>
                      <w:lang w:val="en-US" w:eastAsia="zh-CN"/>
                    </w:rPr>
                  </w:pPr>
                </w:p>
              </w:tc>
              <w:tc>
                <w:tcPr>
                  <w:tcW w:w="1486" w:type="dxa"/>
                  <w:vMerge w:val="continue"/>
                  <w:noWrap w:val="0"/>
                  <w:vAlign w:val="center"/>
                </w:tcPr>
                <w:p>
                  <w:pPr>
                    <w:widowControl w:val="0"/>
                    <w:numPr>
                      <w:ilvl w:val="0"/>
                      <w:numId w:val="0"/>
                    </w:numPr>
                    <w:spacing w:after="0" w:line="360" w:lineRule="auto"/>
                    <w:jc w:val="center"/>
                    <w:rPr>
                      <w:rFonts w:hint="eastAsia" w:ascii="Times New Roman" w:hAnsi="Times New Roman" w:eastAsia="宋体" w:cs="Times New Roman"/>
                      <w:b w:val="0"/>
                      <w:bCs w:val="0"/>
                      <w:color w:val="FF0000"/>
                      <w:kern w:val="2"/>
                      <w:sz w:val="21"/>
                      <w:szCs w:val="21"/>
                      <w:vertAlign w:val="baseline"/>
                      <w:lang w:eastAsia="zh-CN"/>
                    </w:rPr>
                  </w:pPr>
                </w:p>
              </w:tc>
            </w:tr>
          </w:tbl>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4、固体废弃物</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◇一般固体废物</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（1）员工生活垃圾</w:t>
            </w:r>
          </w:p>
          <w:p>
            <w:pPr>
              <w:widowControl w:val="0"/>
              <w:spacing w:after="0" w:line="360" w:lineRule="auto"/>
              <w:ind w:right="170" w:firstLine="470" w:firstLineChars="196"/>
              <w:jc w:val="both"/>
              <w:rPr>
                <w:rFonts w:hint="default" w:ascii="Times New Roman" w:hAnsi="Times New Roman" w:eastAsia="宋体" w:cs="Times New Roman"/>
                <w:b w:val="0"/>
                <w:bCs/>
                <w:color w:val="auto"/>
                <w:kern w:val="2"/>
                <w:sz w:val="24"/>
              </w:rPr>
            </w:pPr>
            <w:r>
              <w:rPr>
                <w:rFonts w:hint="default" w:ascii="Times New Roman" w:hAnsi="Times New Roman" w:eastAsia="宋体" w:cs="Times New Roman"/>
                <w:b w:val="0"/>
                <w:bCs/>
                <w:color w:val="auto"/>
                <w:kern w:val="2"/>
                <w:sz w:val="24"/>
              </w:rPr>
              <w:t>项目员工生活垃圾排放量计算如下：0.5kg/人·d×</w:t>
            </w:r>
            <w:r>
              <w:rPr>
                <w:rFonts w:hint="eastAsia" w:ascii="Times New Roman" w:hAnsi="Times New Roman" w:eastAsia="宋体" w:cs="Times New Roman"/>
                <w:b w:val="0"/>
                <w:bCs/>
                <w:color w:val="auto"/>
                <w:kern w:val="2"/>
                <w:sz w:val="24"/>
                <w:lang w:val="en-US" w:eastAsia="zh-CN"/>
              </w:rPr>
              <w:t>32</w:t>
            </w:r>
            <w:r>
              <w:rPr>
                <w:rFonts w:hint="default" w:ascii="Times New Roman" w:hAnsi="Times New Roman" w:eastAsia="宋体" w:cs="Times New Roman"/>
                <w:b w:val="0"/>
                <w:bCs/>
                <w:color w:val="auto"/>
                <w:kern w:val="2"/>
                <w:sz w:val="24"/>
              </w:rPr>
              <w:t>人＝</w:t>
            </w:r>
            <w:r>
              <w:rPr>
                <w:rFonts w:hint="eastAsia" w:ascii="Times New Roman" w:hAnsi="Times New Roman" w:eastAsia="宋体" w:cs="Times New Roman"/>
                <w:b w:val="0"/>
                <w:bCs/>
                <w:color w:val="auto"/>
                <w:kern w:val="2"/>
                <w:sz w:val="24"/>
                <w:lang w:val="en-US" w:eastAsia="zh-CN"/>
              </w:rPr>
              <w:t>16</w:t>
            </w:r>
            <w:r>
              <w:rPr>
                <w:rFonts w:hint="default" w:ascii="Times New Roman" w:hAnsi="Times New Roman" w:eastAsia="宋体" w:cs="Times New Roman"/>
                <w:b w:val="0"/>
                <w:bCs/>
                <w:color w:val="auto"/>
                <w:kern w:val="2"/>
                <w:sz w:val="24"/>
              </w:rPr>
              <w:t>kg/d，即</w:t>
            </w:r>
            <w:r>
              <w:rPr>
                <w:rFonts w:hint="eastAsia" w:ascii="Times New Roman" w:hAnsi="Times New Roman" w:eastAsia="宋体" w:cs="Times New Roman"/>
                <w:b w:val="0"/>
                <w:bCs/>
                <w:color w:val="auto"/>
                <w:kern w:val="2"/>
                <w:sz w:val="24"/>
                <w:lang w:val="en-US" w:eastAsia="zh-CN"/>
              </w:rPr>
              <w:t>4.8</w:t>
            </w:r>
            <w:r>
              <w:rPr>
                <w:rFonts w:hint="default" w:ascii="Times New Roman" w:hAnsi="Times New Roman" w:eastAsia="宋体" w:cs="Times New Roman"/>
                <w:b w:val="0"/>
                <w:bCs/>
                <w:color w:val="auto"/>
                <w:kern w:val="2"/>
                <w:sz w:val="24"/>
              </w:rPr>
              <w:t>t/a。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（2）一般工业固废</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①沉降金属粉尘</w:t>
            </w:r>
          </w:p>
          <w:p>
            <w:pPr>
              <w:widowControl w:val="0"/>
              <w:spacing w:after="0" w:line="360" w:lineRule="auto"/>
              <w:ind w:firstLine="480" w:firstLineChars="200"/>
              <w:jc w:val="both"/>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rPr>
              <w:t>项目</w:t>
            </w:r>
            <w:r>
              <w:rPr>
                <w:rFonts w:hint="eastAsia" w:ascii="Times New Roman" w:hAnsi="Times New Roman" w:eastAsia="宋体" w:cs="Times New Roman"/>
                <w:color w:val="auto"/>
                <w:kern w:val="2"/>
                <w:sz w:val="24"/>
                <w:szCs w:val="20"/>
                <w:lang w:eastAsia="zh-CN"/>
              </w:rPr>
              <w:t>开料</w:t>
            </w:r>
            <w:r>
              <w:rPr>
                <w:rFonts w:hint="default" w:ascii="Times New Roman" w:hAnsi="Times New Roman" w:eastAsia="宋体" w:cs="Times New Roman"/>
                <w:color w:val="auto"/>
                <w:kern w:val="2"/>
                <w:sz w:val="24"/>
                <w:szCs w:val="20"/>
              </w:rPr>
              <w:t>和机加工工序产生的粉尘由于比重较大，易于沉降。根据工程分析可知，项目金属粉尘沉降量约为0.225t/a</w:t>
            </w:r>
            <w:r>
              <w:rPr>
                <w:rFonts w:hint="eastAsia" w:ascii="Times New Roman" w:hAnsi="Times New Roman" w:eastAsia="宋体" w:cs="Times New Roman"/>
                <w:color w:val="auto"/>
                <w:kern w:val="2"/>
                <w:sz w:val="24"/>
                <w:szCs w:val="20"/>
                <w:lang w:eastAsia="zh-CN"/>
              </w:rPr>
              <w:t>，</w:t>
            </w:r>
            <w:r>
              <w:rPr>
                <w:rFonts w:hint="default" w:ascii="Times New Roman" w:hAnsi="Times New Roman" w:eastAsia="宋体" w:cs="Times New Roman"/>
                <w:color w:val="auto"/>
                <w:kern w:val="2"/>
                <w:sz w:val="24"/>
                <w:szCs w:val="20"/>
              </w:rPr>
              <w:t>定期清扫设备周围沉降的粉尘并暂存于车间内的固体废物暂存区，交由废品回收</w:t>
            </w:r>
            <w:r>
              <w:rPr>
                <w:rFonts w:hint="eastAsia" w:ascii="Times New Roman" w:hAnsi="Times New Roman" w:eastAsia="宋体" w:cs="Times New Roman"/>
                <w:color w:val="auto"/>
                <w:kern w:val="2"/>
                <w:sz w:val="24"/>
                <w:szCs w:val="20"/>
                <w:lang w:eastAsia="zh-CN"/>
              </w:rPr>
              <w:t>站</w:t>
            </w:r>
            <w:r>
              <w:rPr>
                <w:rFonts w:hint="default" w:ascii="Times New Roman" w:hAnsi="Times New Roman" w:eastAsia="宋体" w:cs="Times New Roman"/>
                <w:color w:val="auto"/>
                <w:kern w:val="2"/>
                <w:sz w:val="24"/>
                <w:szCs w:val="20"/>
              </w:rPr>
              <w:t>回收处置。</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②边角料</w:t>
            </w:r>
          </w:p>
          <w:p>
            <w:pPr>
              <w:widowControl w:val="0"/>
              <w:spacing w:after="0" w:line="360" w:lineRule="auto"/>
              <w:ind w:firstLine="480" w:firstLineChars="200"/>
              <w:jc w:val="both"/>
              <w:textAlignment w:val="baseline"/>
              <w:rPr>
                <w:rFonts w:hint="default" w:ascii="Times New Roman" w:hAnsi="Times New Roman" w:eastAsia="宋体" w:cs="Times New Roman"/>
                <w:color w:val="FF0000"/>
                <w:kern w:val="2"/>
                <w:sz w:val="24"/>
              </w:rPr>
            </w:pPr>
            <w:r>
              <w:rPr>
                <w:rFonts w:hint="default" w:ascii="Times New Roman" w:hAnsi="Times New Roman" w:eastAsia="宋体" w:cs="Times New Roman"/>
                <w:color w:val="auto"/>
                <w:kern w:val="2"/>
                <w:sz w:val="24"/>
              </w:rPr>
              <w:t>项目</w:t>
            </w:r>
            <w:r>
              <w:rPr>
                <w:rFonts w:hint="eastAsia" w:ascii="Times New Roman" w:hAnsi="Times New Roman" w:eastAsia="宋体" w:cs="Times New Roman"/>
                <w:color w:val="auto"/>
                <w:kern w:val="2"/>
                <w:sz w:val="24"/>
                <w:lang w:eastAsia="zh-CN"/>
              </w:rPr>
              <w:t>在机加工工序</w:t>
            </w:r>
            <w:r>
              <w:rPr>
                <w:rFonts w:hint="default" w:ascii="Times New Roman" w:hAnsi="Times New Roman" w:eastAsia="宋体" w:cs="Times New Roman"/>
                <w:color w:val="auto"/>
                <w:kern w:val="2"/>
                <w:sz w:val="24"/>
              </w:rPr>
              <w:t>会产生少量的边角料，产生量约为</w:t>
            </w:r>
            <w:r>
              <w:rPr>
                <w:rFonts w:hint="eastAsia" w:ascii="Times New Roman" w:hAnsi="Times New Roman" w:eastAsia="宋体" w:cs="Times New Roman"/>
                <w:color w:val="auto"/>
                <w:kern w:val="2"/>
                <w:sz w:val="24"/>
                <w:lang w:val="en-US" w:eastAsia="zh-CN"/>
              </w:rPr>
              <w:t>10</w:t>
            </w:r>
            <w:r>
              <w:rPr>
                <w:rFonts w:hint="default" w:ascii="Times New Roman" w:hAnsi="Times New Roman" w:eastAsia="宋体" w:cs="Times New Roman"/>
                <w:color w:val="auto"/>
                <w:kern w:val="2"/>
                <w:sz w:val="24"/>
              </w:rPr>
              <w:t>t/a，属于一般固体废物，经收集后暂存于车间内固体废物暂存区，</w:t>
            </w:r>
            <w:r>
              <w:rPr>
                <w:rFonts w:hint="eastAsia" w:ascii="Times New Roman" w:hAnsi="Times New Roman" w:eastAsia="宋体" w:cs="Times New Roman"/>
                <w:color w:val="auto"/>
                <w:kern w:val="2"/>
                <w:sz w:val="24"/>
                <w:lang w:eastAsia="zh-CN"/>
              </w:rPr>
              <w:t>交专业公司回收处理</w:t>
            </w:r>
            <w:r>
              <w:rPr>
                <w:rFonts w:hint="default" w:ascii="Times New Roman" w:hAnsi="Times New Roman" w:eastAsia="宋体" w:cs="Times New Roman"/>
                <w:color w:val="auto"/>
                <w:kern w:val="2"/>
                <w:sz w:val="24"/>
              </w:rPr>
              <w:t>，不外排。</w:t>
            </w:r>
          </w:p>
          <w:p>
            <w:pPr>
              <w:widowControl w:val="0"/>
              <w:spacing w:after="0" w:line="360" w:lineRule="auto"/>
              <w:ind w:firstLine="480" w:firstLineChars="200"/>
              <w:jc w:val="both"/>
              <w:textAlignment w:val="baseline"/>
              <w:rPr>
                <w:rFonts w:hint="eastAsia" w:ascii="Times New Roman" w:hAnsi="Times New Roman" w:eastAsia="宋体" w:cs="Times New Roman"/>
                <w:color w:val="auto"/>
                <w:kern w:val="2"/>
                <w:sz w:val="24"/>
                <w:lang w:eastAsia="zh-CN"/>
              </w:rPr>
            </w:pPr>
            <w:r>
              <w:rPr>
                <w:rFonts w:hint="default" w:ascii="Times New Roman" w:hAnsi="Times New Roman" w:eastAsia="宋体" w:cs="Times New Roman"/>
                <w:color w:val="auto"/>
                <w:kern w:val="2"/>
                <w:sz w:val="24"/>
              </w:rPr>
              <w:t>③</w:t>
            </w:r>
            <w:r>
              <w:rPr>
                <w:rFonts w:hint="eastAsia" w:ascii="Times New Roman" w:hAnsi="Times New Roman" w:eastAsia="宋体" w:cs="Times New Roman"/>
                <w:color w:val="auto"/>
                <w:kern w:val="2"/>
                <w:sz w:val="24"/>
                <w:lang w:eastAsia="zh-CN"/>
              </w:rPr>
              <w:t>不合格品</w:t>
            </w:r>
          </w:p>
          <w:p>
            <w:pPr>
              <w:widowControl w:val="0"/>
              <w:spacing w:after="0" w:line="360" w:lineRule="auto"/>
              <w:ind w:firstLine="440" w:firstLineChars="200"/>
              <w:jc w:val="both"/>
              <w:textAlignment w:val="baseline"/>
              <w:rPr>
                <w:rFonts w:hint="default" w:ascii="Times New Roman" w:hAnsi="Times New Roman" w:eastAsia="宋体" w:cs="Times New Roman"/>
                <w:color w:val="FF0000"/>
                <w:kern w:val="2"/>
                <w:sz w:val="24"/>
              </w:rPr>
            </w:pPr>
            <w:r>
              <w:rPr>
                <w:rFonts w:hint="eastAsia"/>
                <w:lang w:val="en-US" w:eastAsia="zh-CN"/>
              </w:rPr>
              <w:t xml:space="preserve"> </w:t>
            </w:r>
            <w:r>
              <w:rPr>
                <w:rFonts w:hint="eastAsia"/>
                <w:sz w:val="24"/>
                <w:szCs w:val="24"/>
                <w:lang w:val="en-US" w:eastAsia="zh-CN"/>
              </w:rPr>
              <w:t>项目在测试工序会产生少量不合格品，产生量约</w:t>
            </w:r>
            <w:r>
              <w:rPr>
                <w:rFonts w:hint="eastAsia"/>
                <w:color w:val="auto"/>
                <w:sz w:val="24"/>
                <w:szCs w:val="24"/>
                <w:lang w:val="en-US" w:eastAsia="zh-CN"/>
              </w:rPr>
              <w:t>为</w:t>
            </w:r>
            <w:r>
              <w:rPr>
                <w:rFonts w:hint="eastAsia" w:ascii="Times New Roman" w:hAnsi="Times New Roman" w:eastAsia="宋体" w:cs="Times New Roman"/>
                <w:color w:val="auto"/>
                <w:kern w:val="2"/>
                <w:sz w:val="24"/>
                <w:szCs w:val="24"/>
                <w:lang w:val="en-US" w:eastAsia="zh-CN"/>
              </w:rPr>
              <w:t>1.7</w:t>
            </w:r>
            <w:r>
              <w:rPr>
                <w:rFonts w:hint="default" w:ascii="Times New Roman" w:hAnsi="Times New Roman" w:eastAsia="宋体" w:cs="Times New Roman"/>
                <w:color w:val="auto"/>
                <w:kern w:val="2"/>
                <w:sz w:val="24"/>
                <w:szCs w:val="24"/>
              </w:rPr>
              <w:t>t/a，属于一般固体废物，经收集后暂存于车间内固体废物暂存区，</w:t>
            </w:r>
            <w:r>
              <w:rPr>
                <w:rFonts w:hint="eastAsia" w:ascii="Times New Roman" w:hAnsi="Times New Roman" w:eastAsia="宋体" w:cs="Times New Roman"/>
                <w:color w:val="auto"/>
                <w:kern w:val="2"/>
                <w:sz w:val="24"/>
                <w:szCs w:val="24"/>
                <w:lang w:eastAsia="zh-CN"/>
              </w:rPr>
              <w:t>交专业公司回收处理</w:t>
            </w:r>
            <w:r>
              <w:rPr>
                <w:rFonts w:hint="default" w:ascii="Times New Roman" w:hAnsi="Times New Roman" w:eastAsia="宋体" w:cs="Times New Roman"/>
                <w:color w:val="auto"/>
                <w:kern w:val="2"/>
                <w:sz w:val="24"/>
                <w:szCs w:val="24"/>
              </w:rPr>
              <w:t>，不外排。</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eastAsia" w:ascii="Times New Roman" w:hAnsi="Times New Roman" w:eastAsia="宋体" w:cs="Times New Roman"/>
                <w:color w:val="auto"/>
                <w:kern w:val="2"/>
                <w:sz w:val="24"/>
                <w:lang w:eastAsia="zh-CN"/>
              </w:rPr>
              <w:t>④</w:t>
            </w:r>
            <w:r>
              <w:rPr>
                <w:rFonts w:hint="default" w:ascii="Times New Roman" w:hAnsi="Times New Roman" w:eastAsia="宋体" w:cs="Times New Roman"/>
                <w:color w:val="auto"/>
                <w:kern w:val="2"/>
                <w:sz w:val="24"/>
              </w:rPr>
              <w:t>废包装材料</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企业在</w:t>
            </w:r>
            <w:r>
              <w:rPr>
                <w:rFonts w:hint="eastAsia" w:ascii="Times New Roman" w:hAnsi="Times New Roman" w:eastAsia="宋体" w:cs="Times New Roman"/>
                <w:color w:val="auto"/>
                <w:kern w:val="2"/>
                <w:sz w:val="24"/>
                <w:lang w:eastAsia="zh-CN"/>
              </w:rPr>
              <w:t>包装工序</w:t>
            </w:r>
            <w:r>
              <w:rPr>
                <w:rFonts w:hint="default" w:ascii="Times New Roman" w:hAnsi="Times New Roman" w:eastAsia="宋体" w:cs="Times New Roman"/>
                <w:color w:val="auto"/>
                <w:kern w:val="2"/>
                <w:sz w:val="24"/>
              </w:rPr>
              <w:t>会产生一定量的废包装材料，产生量约为0.</w:t>
            </w:r>
            <w:r>
              <w:rPr>
                <w:rFonts w:hint="eastAsia" w:ascii="Times New Roman" w:hAnsi="Times New Roman" w:eastAsia="宋体" w:cs="Times New Roman"/>
                <w:color w:val="auto"/>
                <w:kern w:val="2"/>
                <w:sz w:val="24"/>
                <w:lang w:val="en-US" w:eastAsia="zh-CN"/>
              </w:rPr>
              <w:t>1</w:t>
            </w:r>
            <w:r>
              <w:rPr>
                <w:rFonts w:hint="default" w:ascii="Times New Roman" w:hAnsi="Times New Roman" w:eastAsia="宋体" w:cs="Times New Roman"/>
                <w:color w:val="auto"/>
                <w:kern w:val="2"/>
                <w:sz w:val="24"/>
              </w:rPr>
              <w:t>t/a，属于一般固体废物，经收集后暂存于车间内固体废物暂存区，</w:t>
            </w:r>
            <w:r>
              <w:rPr>
                <w:rFonts w:hint="eastAsia" w:ascii="Times New Roman" w:hAnsi="Times New Roman" w:eastAsia="宋体" w:cs="Times New Roman"/>
                <w:color w:val="auto"/>
                <w:kern w:val="2"/>
                <w:sz w:val="24"/>
                <w:lang w:eastAsia="zh-CN"/>
              </w:rPr>
              <w:t>交专业公司回收处理</w:t>
            </w:r>
            <w:r>
              <w:rPr>
                <w:rFonts w:hint="default" w:ascii="Times New Roman" w:hAnsi="Times New Roman" w:eastAsia="宋体" w:cs="Times New Roman"/>
                <w:color w:val="auto"/>
                <w:kern w:val="2"/>
                <w:sz w:val="24"/>
              </w:rPr>
              <w:t>，不外排。</w:t>
            </w:r>
          </w:p>
          <w:p>
            <w:pPr>
              <w:widowControl w:val="0"/>
              <w:spacing w:after="0" w:line="360" w:lineRule="auto"/>
              <w:ind w:firstLine="480" w:firstLineChars="200"/>
              <w:jc w:val="both"/>
              <w:textAlignment w:val="baseline"/>
              <w:rPr>
                <w:rFonts w:hint="eastAsia" w:ascii="Times New Roman" w:hAnsi="Times New Roman" w:eastAsia="宋体" w:cs="Times New Roman"/>
                <w:color w:val="auto"/>
                <w:kern w:val="2"/>
                <w:sz w:val="24"/>
                <w:lang w:eastAsia="zh-CN"/>
              </w:rPr>
            </w:pPr>
            <w:r>
              <w:rPr>
                <w:rFonts w:hint="eastAsia" w:ascii="Times New Roman" w:hAnsi="Times New Roman" w:eastAsia="宋体" w:cs="Times New Roman"/>
                <w:color w:val="auto"/>
                <w:kern w:val="2"/>
                <w:sz w:val="24"/>
                <w:lang w:eastAsia="zh-CN"/>
              </w:rPr>
              <w:t>⑤布袋除尘装置收集的粉尘</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布袋除尘装置收集的粉尘，产生量约为</w:t>
            </w:r>
            <w:r>
              <w:rPr>
                <w:rFonts w:hint="eastAsia" w:ascii="Times New Roman" w:hAnsi="Times New Roman" w:eastAsia="宋体" w:cs="Times New Roman"/>
                <w:color w:val="auto"/>
                <w:kern w:val="2"/>
                <w:sz w:val="24"/>
                <w:lang w:val="en-US" w:eastAsia="zh-CN"/>
              </w:rPr>
              <w:t>0.304</w:t>
            </w:r>
            <w:r>
              <w:rPr>
                <w:rFonts w:hint="default" w:ascii="Times New Roman" w:hAnsi="Times New Roman" w:eastAsia="宋体" w:cs="Times New Roman"/>
                <w:color w:val="auto"/>
                <w:kern w:val="2"/>
                <w:sz w:val="24"/>
              </w:rPr>
              <w:t>*99%≈0.</w:t>
            </w:r>
            <w:r>
              <w:rPr>
                <w:rFonts w:hint="eastAsia" w:ascii="Times New Roman" w:hAnsi="Times New Roman" w:eastAsia="宋体" w:cs="Times New Roman"/>
                <w:color w:val="auto"/>
                <w:kern w:val="2"/>
                <w:sz w:val="24"/>
                <w:lang w:val="en-US" w:eastAsia="zh-CN"/>
              </w:rPr>
              <w:t>3</w:t>
            </w:r>
            <w:r>
              <w:rPr>
                <w:rFonts w:hint="default" w:ascii="Times New Roman" w:hAnsi="Times New Roman" w:eastAsia="宋体" w:cs="Times New Roman"/>
                <w:color w:val="auto"/>
                <w:kern w:val="2"/>
                <w:sz w:val="24"/>
              </w:rPr>
              <w:t>t/a。属于一般固体废物，经收集后暂存于车间内固体废物暂存区，</w:t>
            </w:r>
            <w:r>
              <w:rPr>
                <w:rFonts w:hint="eastAsia" w:ascii="Times New Roman" w:hAnsi="Times New Roman" w:eastAsia="宋体" w:cs="Times New Roman"/>
                <w:color w:val="auto"/>
                <w:kern w:val="2"/>
                <w:sz w:val="24"/>
                <w:lang w:eastAsia="zh-CN"/>
              </w:rPr>
              <w:t>交专业公司回收处理</w:t>
            </w:r>
            <w:r>
              <w:rPr>
                <w:rFonts w:hint="default" w:ascii="Times New Roman" w:hAnsi="Times New Roman" w:eastAsia="宋体" w:cs="Times New Roman"/>
                <w:color w:val="auto"/>
                <w:kern w:val="2"/>
                <w:sz w:val="24"/>
              </w:rPr>
              <w:t>，不外排。</w:t>
            </w:r>
          </w:p>
          <w:p>
            <w:pPr>
              <w:widowControl w:val="0"/>
              <w:spacing w:after="0" w:line="360" w:lineRule="auto"/>
              <w:ind w:firstLine="482" w:firstLineChars="200"/>
              <w:jc w:val="both"/>
              <w:rPr>
                <w:rFonts w:hint="default" w:ascii="Times New Roman" w:hAnsi="Times New Roman" w:eastAsia="宋体" w:cs="Times New Roman"/>
                <w:b/>
                <w:color w:val="auto"/>
                <w:kern w:val="2"/>
                <w:sz w:val="24"/>
                <w:szCs w:val="20"/>
              </w:rPr>
            </w:pPr>
            <w:r>
              <w:rPr>
                <w:rFonts w:hint="default" w:ascii="Times New Roman" w:hAnsi="Times New Roman" w:eastAsia="宋体" w:cs="Times New Roman"/>
                <w:b/>
                <w:color w:val="auto"/>
                <w:kern w:val="2"/>
                <w:sz w:val="24"/>
                <w:szCs w:val="20"/>
              </w:rPr>
              <w:t>◇危险废物</w:t>
            </w:r>
          </w:p>
          <w:p>
            <w:pPr>
              <w:widowControl w:val="0"/>
              <w:adjustRightInd w:val="0"/>
              <w:snapToGrid w:val="0"/>
              <w:spacing w:after="0" w:line="360" w:lineRule="auto"/>
              <w:ind w:firstLine="480" w:firstLineChars="200"/>
              <w:jc w:val="both"/>
              <w:rPr>
                <w:rFonts w:hint="eastAsia" w:ascii="Times New Roman" w:hAnsi="Times New Roman" w:eastAsia="宋体" w:cs="Times New Roman"/>
                <w:color w:val="auto"/>
                <w:kern w:val="2"/>
                <w:sz w:val="24"/>
                <w:szCs w:val="24"/>
                <w:lang w:eastAsia="zh-CN"/>
              </w:rPr>
            </w:pPr>
            <w:r>
              <w:rPr>
                <w:rFonts w:hint="eastAsia" w:ascii="Times New Roman" w:hAnsi="Times New Roman" w:eastAsia="宋体" w:cs="Times New Roman"/>
                <w:color w:val="auto"/>
                <w:kern w:val="2"/>
                <w:sz w:val="24"/>
                <w:szCs w:val="24"/>
                <w:lang w:eastAsia="zh-CN"/>
              </w:rPr>
              <w:t>项目危险废物主要包括废润滑油油桶、废乳化液桶、废润滑油、废乳化液、</w:t>
            </w:r>
            <w:r>
              <w:rPr>
                <w:rFonts w:hint="eastAsia"/>
                <w:color w:val="auto"/>
                <w:sz w:val="24"/>
                <w:szCs w:val="22"/>
                <w:highlight w:val="none"/>
              </w:rPr>
              <w:t>含油抹布、</w:t>
            </w:r>
            <w:r>
              <w:rPr>
                <w:rFonts w:hint="eastAsia" w:ascii="Times New Roman" w:hAnsi="Times New Roman" w:eastAsia="宋体" w:cs="Times New Roman"/>
                <w:color w:val="auto"/>
                <w:kern w:val="2"/>
                <w:sz w:val="24"/>
                <w:szCs w:val="24"/>
                <w:lang w:eastAsia="zh-CN"/>
              </w:rPr>
              <w:t>废活性炭。</w:t>
            </w:r>
          </w:p>
          <w:p>
            <w:pPr>
              <w:widowControl w:val="0"/>
              <w:adjustRightInd w:val="0"/>
              <w:snapToGrid w:val="0"/>
              <w:spacing w:after="0" w:line="336" w:lineRule="auto"/>
              <w:ind w:firstLine="482"/>
              <w:jc w:val="both"/>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lang w:eastAsia="zh-CN"/>
              </w:rPr>
              <w:t>废润滑油油桶、废乳化液桶</w:t>
            </w:r>
          </w:p>
          <w:p>
            <w:pPr>
              <w:widowControl w:val="0"/>
              <w:adjustRightInd w:val="0"/>
              <w:snapToGrid w:val="0"/>
              <w:spacing w:after="0" w:line="360" w:lineRule="auto"/>
              <w:ind w:firstLine="480" w:firstLineChars="200"/>
              <w:jc w:val="both"/>
              <w:rPr>
                <w:rFonts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2"/>
                <w:highlight w:val="none"/>
              </w:rPr>
              <w:t>项目</w:t>
            </w:r>
            <w:r>
              <w:rPr>
                <w:rFonts w:hint="eastAsia" w:ascii="Times New Roman" w:hAnsi="Times New Roman" w:eastAsia="宋体" w:cs="Times New Roman"/>
                <w:color w:val="auto"/>
                <w:kern w:val="2"/>
                <w:sz w:val="24"/>
                <w:szCs w:val="20"/>
                <w:highlight w:val="none"/>
                <w:lang w:eastAsia="zh-CN"/>
              </w:rPr>
              <w:t>使用润滑油、乳化液过程会产生</w:t>
            </w:r>
            <w:r>
              <w:rPr>
                <w:rFonts w:hint="eastAsia" w:ascii="Times New Roman" w:hAnsi="Times New Roman" w:eastAsia="宋体" w:cs="Times New Roman"/>
                <w:color w:val="auto"/>
                <w:kern w:val="2"/>
                <w:sz w:val="24"/>
                <w:szCs w:val="24"/>
                <w:lang w:eastAsia="zh-CN"/>
              </w:rPr>
              <w:t>废润滑油油桶、废废乳化液桶</w:t>
            </w:r>
            <w:r>
              <w:rPr>
                <w:rFonts w:hint="default" w:ascii="Times New Roman" w:hAnsi="Times New Roman" w:eastAsia="宋体" w:cs="Times New Roman"/>
                <w:color w:val="auto"/>
                <w:kern w:val="2"/>
                <w:sz w:val="24"/>
                <w:szCs w:val="20"/>
                <w:highlight w:val="none"/>
              </w:rPr>
              <w:t>（废物类别：HW49其他废物，废物代码：900-041-49）</w:t>
            </w:r>
            <w:r>
              <w:rPr>
                <w:rFonts w:hint="default" w:ascii="Times New Roman" w:hAnsi="Times New Roman" w:eastAsia="宋体" w:cs="Times New Roman"/>
                <w:color w:val="auto"/>
                <w:kern w:val="2"/>
                <w:sz w:val="24"/>
                <w:szCs w:val="20"/>
                <w:highlight w:val="none"/>
                <w:lang w:eastAsia="zh-CN"/>
              </w:rPr>
              <w:t>，</w:t>
            </w:r>
            <w:r>
              <w:rPr>
                <w:rFonts w:hint="default" w:ascii="Times New Roman" w:hAnsi="Times New Roman" w:eastAsia="宋体" w:cs="Times New Roman"/>
                <w:color w:val="auto"/>
                <w:kern w:val="2"/>
                <w:sz w:val="24"/>
                <w:szCs w:val="22"/>
                <w:highlight w:val="none"/>
              </w:rPr>
              <w:t>产生量</w:t>
            </w:r>
            <w:r>
              <w:rPr>
                <w:rFonts w:hint="default" w:ascii="Times New Roman" w:hAnsi="Times New Roman" w:eastAsia="宋体" w:cs="Times New Roman"/>
                <w:color w:val="auto"/>
                <w:kern w:val="2"/>
                <w:sz w:val="24"/>
                <w:szCs w:val="22"/>
                <w:highlight w:val="none"/>
                <w:lang w:eastAsia="zh-CN"/>
              </w:rPr>
              <w:t>约</w:t>
            </w:r>
            <w:r>
              <w:rPr>
                <w:rFonts w:hint="default" w:ascii="Times New Roman" w:hAnsi="Times New Roman" w:eastAsia="宋体" w:cs="Times New Roman"/>
                <w:color w:val="auto"/>
                <w:kern w:val="2"/>
                <w:sz w:val="24"/>
                <w:szCs w:val="22"/>
                <w:highlight w:val="none"/>
              </w:rPr>
              <w:t>为</w:t>
            </w:r>
            <w:r>
              <w:rPr>
                <w:rFonts w:hint="eastAsia" w:ascii="Times New Roman" w:hAnsi="Times New Roman" w:eastAsia="宋体" w:cs="Times New Roman"/>
                <w:color w:val="auto"/>
                <w:kern w:val="2"/>
                <w:sz w:val="24"/>
                <w:szCs w:val="22"/>
                <w:highlight w:val="none"/>
                <w:lang w:val="en-US" w:eastAsia="zh-CN"/>
              </w:rPr>
              <w:t>0.04</w:t>
            </w:r>
            <w:r>
              <w:rPr>
                <w:rFonts w:hint="default" w:ascii="Times New Roman" w:hAnsi="Times New Roman" w:eastAsia="宋体" w:cs="Times New Roman"/>
                <w:color w:val="auto"/>
                <w:kern w:val="2"/>
                <w:sz w:val="24"/>
                <w:szCs w:val="22"/>
                <w:highlight w:val="none"/>
              </w:rPr>
              <w:t>t/a</w:t>
            </w:r>
            <w:r>
              <w:rPr>
                <w:rFonts w:hint="eastAsia" w:ascii="Times New Roman" w:hAnsi="Times New Roman" w:eastAsia="宋体" w:cs="Times New Roman"/>
                <w:color w:val="auto"/>
                <w:kern w:val="2"/>
                <w:sz w:val="24"/>
                <w:szCs w:val="22"/>
                <w:highlight w:val="none"/>
                <w:lang w:eastAsia="zh-CN"/>
              </w:rPr>
              <w:t>。</w:t>
            </w:r>
            <w:r>
              <w:rPr>
                <w:rFonts w:ascii="Times New Roman" w:hAnsi="Times New Roman" w:eastAsia="宋体" w:cs="Times New Roman"/>
                <w:color w:val="auto"/>
                <w:kern w:val="2"/>
                <w:sz w:val="24"/>
                <w:szCs w:val="24"/>
              </w:rPr>
              <w:t>收集后暂存于项目危废暂存区，定期交具有危废处理资质的单位处理。</w:t>
            </w:r>
          </w:p>
          <w:p>
            <w:pPr>
              <w:widowControl w:val="0"/>
              <w:adjustRightInd w:val="0"/>
              <w:snapToGrid w:val="0"/>
              <w:spacing w:after="0" w:line="336" w:lineRule="auto"/>
              <w:ind w:firstLine="482"/>
              <w:jc w:val="both"/>
              <w:rPr>
                <w:rFonts w:hint="default"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sz w:val="24"/>
                <w:szCs w:val="22"/>
                <w:highlight w:val="none"/>
                <w:lang w:val="en-US" w:eastAsia="zh-CN" w:bidi="ar-SA"/>
              </w:rPr>
              <w:t>（2）废润滑</w:t>
            </w:r>
            <w:r>
              <w:rPr>
                <w:rFonts w:hint="eastAsia" w:ascii="Times New Roman" w:hAnsi="Times New Roman" w:eastAsia="宋体" w:cs="Times New Roman"/>
                <w:color w:val="auto"/>
                <w:kern w:val="2"/>
                <w:sz w:val="24"/>
                <w:szCs w:val="24"/>
                <w:lang w:val="en-US" w:eastAsia="zh-CN"/>
              </w:rPr>
              <w:t>油、含油抹布</w:t>
            </w:r>
          </w:p>
          <w:p>
            <w:pPr>
              <w:widowControl w:val="0"/>
              <w:adjustRightInd w:val="0"/>
              <w:snapToGrid w:val="0"/>
              <w:spacing w:after="0" w:line="336" w:lineRule="auto"/>
              <w:ind w:firstLine="482"/>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lang w:eastAsia="zh-CN"/>
              </w:rPr>
              <w:t>项目设备内部机件润滑产生废润滑油和含油抹布</w:t>
            </w:r>
            <w:r>
              <w:rPr>
                <w:rFonts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lang w:eastAsia="zh-CN"/>
              </w:rPr>
              <w:t>润滑油使用量为</w:t>
            </w:r>
            <w:r>
              <w:rPr>
                <w:rFonts w:hint="eastAsia" w:ascii="Times New Roman" w:hAnsi="Times New Roman" w:eastAsia="宋体" w:cs="Times New Roman"/>
                <w:color w:val="auto"/>
                <w:kern w:val="2"/>
                <w:sz w:val="24"/>
                <w:szCs w:val="24"/>
                <w:lang w:val="en-US" w:eastAsia="zh-CN"/>
              </w:rPr>
              <w:t>0.3t/a，</w:t>
            </w:r>
            <w:r>
              <w:rPr>
                <w:rFonts w:hint="eastAsia" w:ascii="Times New Roman" w:hAnsi="Times New Roman" w:eastAsia="宋体" w:cs="Times New Roman"/>
                <w:color w:val="auto"/>
                <w:kern w:val="2"/>
                <w:sz w:val="24"/>
                <w:szCs w:val="24"/>
                <w:lang w:eastAsia="zh-CN"/>
              </w:rPr>
              <w:t>润滑油</w:t>
            </w:r>
            <w:r>
              <w:rPr>
                <w:rFonts w:ascii="Times New Roman" w:hAnsi="Times New Roman" w:eastAsia="宋体" w:cs="Times New Roman"/>
                <w:color w:val="auto"/>
                <w:kern w:val="2"/>
                <w:sz w:val="24"/>
                <w:szCs w:val="24"/>
              </w:rPr>
              <w:t>需要定期更换，约</w:t>
            </w:r>
            <w:r>
              <w:rPr>
                <w:rFonts w:hint="eastAsia" w:ascii="Times New Roman" w:hAnsi="Times New Roman" w:eastAsia="宋体" w:cs="Times New Roman"/>
                <w:color w:val="auto"/>
                <w:kern w:val="2"/>
                <w:sz w:val="24"/>
                <w:szCs w:val="24"/>
                <w:lang w:eastAsia="zh-CN"/>
              </w:rPr>
              <w:t>一年</w:t>
            </w:r>
            <w:r>
              <w:rPr>
                <w:rFonts w:ascii="Times New Roman" w:hAnsi="Times New Roman" w:eastAsia="宋体" w:cs="Times New Roman"/>
                <w:color w:val="auto"/>
                <w:kern w:val="2"/>
                <w:sz w:val="24"/>
                <w:szCs w:val="24"/>
              </w:rPr>
              <w:t>更换一次，</w:t>
            </w:r>
            <w:r>
              <w:rPr>
                <w:rFonts w:hint="eastAsia" w:ascii="Times New Roman" w:hAnsi="Times New Roman" w:eastAsia="宋体" w:cs="Times New Roman"/>
                <w:color w:val="auto"/>
                <w:kern w:val="2"/>
                <w:sz w:val="24"/>
                <w:szCs w:val="22"/>
                <w:highlight w:val="none"/>
                <w:lang w:val="en-US" w:eastAsia="zh-CN"/>
              </w:rPr>
              <w:t>红冲工序使用润滑油进行润滑过程也会</w:t>
            </w:r>
            <w:r>
              <w:rPr>
                <w:rFonts w:hint="eastAsia" w:ascii="Times New Roman" w:hAnsi="Times New Roman" w:eastAsia="宋体" w:cs="Times New Roman"/>
                <w:color w:val="auto"/>
                <w:kern w:val="2"/>
                <w:sz w:val="24"/>
                <w:szCs w:val="24"/>
                <w:lang w:val="en-US" w:eastAsia="zh-CN"/>
              </w:rPr>
              <w:t>产生含油抹布，</w:t>
            </w:r>
            <w:r>
              <w:rPr>
                <w:rFonts w:hint="eastAsia" w:ascii="Times New Roman" w:hAnsi="Times New Roman" w:eastAsia="宋体" w:cs="Times New Roman"/>
                <w:color w:val="auto"/>
                <w:kern w:val="2"/>
                <w:sz w:val="24"/>
                <w:szCs w:val="24"/>
                <w:lang w:eastAsia="zh-CN"/>
              </w:rPr>
              <w:t>则</w:t>
            </w:r>
            <w:r>
              <w:rPr>
                <w:rFonts w:ascii="Times New Roman" w:hAnsi="Times New Roman" w:eastAsia="宋体" w:cs="Times New Roman"/>
                <w:color w:val="auto"/>
                <w:kern w:val="2"/>
                <w:sz w:val="24"/>
                <w:szCs w:val="24"/>
              </w:rPr>
              <w:t>废</w:t>
            </w:r>
            <w:r>
              <w:rPr>
                <w:rFonts w:hint="eastAsia" w:ascii="Times New Roman" w:hAnsi="Times New Roman" w:eastAsia="宋体" w:cs="Times New Roman"/>
                <w:color w:val="auto"/>
                <w:kern w:val="2"/>
                <w:sz w:val="24"/>
                <w:szCs w:val="24"/>
                <w:lang w:eastAsia="zh-CN"/>
              </w:rPr>
              <w:t>润滑油和含油抹布</w:t>
            </w:r>
            <w:r>
              <w:rPr>
                <w:rFonts w:hint="default" w:ascii="Times New Roman" w:hAnsi="Times New Roman" w:eastAsia="宋体" w:cs="Times New Roman"/>
                <w:color w:val="auto"/>
                <w:kern w:val="2"/>
                <w:sz w:val="24"/>
                <w:szCs w:val="20"/>
                <w:highlight w:val="none"/>
              </w:rPr>
              <w:t>（废物类别：</w:t>
            </w:r>
            <w:r>
              <w:rPr>
                <w:rFonts w:ascii="Times New Roman" w:hAnsi="Times New Roman" w:eastAsia="宋体" w:cs="Times New Roman"/>
                <w:color w:val="auto"/>
                <w:kern w:val="2"/>
                <w:sz w:val="24"/>
                <w:szCs w:val="24"/>
              </w:rPr>
              <w:t>HW08 废矿物油与含矿物油废物，废物代码：900-217-08</w:t>
            </w:r>
            <w:r>
              <w:rPr>
                <w:rFonts w:hint="default" w:ascii="Times New Roman" w:hAnsi="Times New Roman" w:eastAsia="宋体" w:cs="Times New Roman"/>
                <w:color w:val="auto"/>
                <w:kern w:val="2"/>
                <w:sz w:val="24"/>
                <w:szCs w:val="20"/>
                <w:highlight w:val="none"/>
              </w:rPr>
              <w:t>）</w:t>
            </w:r>
            <w:r>
              <w:rPr>
                <w:rFonts w:hint="eastAsia" w:ascii="Times New Roman" w:hAnsi="Times New Roman" w:eastAsia="宋体" w:cs="Times New Roman"/>
                <w:color w:val="auto"/>
                <w:kern w:val="2"/>
                <w:sz w:val="24"/>
                <w:szCs w:val="24"/>
                <w:lang w:eastAsia="zh-CN"/>
              </w:rPr>
              <w:t>产生量</w:t>
            </w:r>
            <w:r>
              <w:rPr>
                <w:rFonts w:ascii="Times New Roman" w:hAnsi="Times New Roman" w:eastAsia="宋体" w:cs="Times New Roman"/>
                <w:color w:val="auto"/>
                <w:kern w:val="2"/>
                <w:sz w:val="24"/>
                <w:szCs w:val="24"/>
              </w:rPr>
              <w:t>约</w:t>
            </w:r>
            <w:r>
              <w:rPr>
                <w:rFonts w:hint="eastAsia" w:ascii="Times New Roman" w:hAnsi="Times New Roman" w:eastAsia="宋体" w:cs="Times New Roman"/>
                <w:color w:val="auto"/>
                <w:kern w:val="2"/>
                <w:sz w:val="24"/>
                <w:szCs w:val="24"/>
                <w:lang w:val="en-US" w:eastAsia="zh-CN"/>
              </w:rPr>
              <w:t>0.3</w:t>
            </w:r>
            <w:r>
              <w:rPr>
                <w:rFonts w:ascii="Times New Roman" w:hAnsi="Times New Roman" w:eastAsia="宋体" w:cs="Times New Roman"/>
                <w:color w:val="auto"/>
                <w:kern w:val="2"/>
                <w:sz w:val="24"/>
                <w:szCs w:val="24"/>
              </w:rPr>
              <w:t>t</w:t>
            </w:r>
            <w:r>
              <w:rPr>
                <w:rFonts w:hint="default" w:ascii="Times New Roman" w:hAnsi="Times New Roman" w:eastAsia="宋体" w:cs="Times New Roman"/>
                <w:color w:val="auto"/>
                <w:kern w:val="2"/>
                <w:sz w:val="24"/>
                <w:szCs w:val="22"/>
                <w:highlight w:val="none"/>
              </w:rPr>
              <w:t>/</w:t>
            </w:r>
            <w:r>
              <w:rPr>
                <w:rFonts w:hint="eastAsia" w:ascii="Times New Roman" w:hAnsi="Times New Roman" w:eastAsia="宋体" w:cs="Times New Roman"/>
                <w:color w:val="auto"/>
                <w:kern w:val="2"/>
                <w:sz w:val="24"/>
                <w:szCs w:val="22"/>
                <w:highlight w:val="none"/>
                <w:lang w:val="en-US" w:eastAsia="zh-CN"/>
              </w:rPr>
              <w:t>a，</w:t>
            </w:r>
            <w:r>
              <w:rPr>
                <w:rFonts w:ascii="Times New Roman" w:hAnsi="Times New Roman" w:eastAsia="宋体" w:cs="Times New Roman"/>
                <w:color w:val="auto"/>
                <w:kern w:val="2"/>
                <w:sz w:val="24"/>
                <w:szCs w:val="24"/>
              </w:rPr>
              <w:t>收集后暂存于项目危废暂存区，定期交具有危废处理资质的单位处理。</w:t>
            </w:r>
          </w:p>
          <w:p>
            <w:pPr>
              <w:widowControl w:val="0"/>
              <w:adjustRightInd w:val="0"/>
              <w:snapToGrid w:val="0"/>
              <w:spacing w:after="0" w:line="336" w:lineRule="auto"/>
              <w:ind w:firstLine="480" w:firstLineChars="200"/>
              <w:jc w:val="both"/>
              <w:rPr>
                <w:rFonts w:hint="default"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sz w:val="24"/>
                <w:szCs w:val="22"/>
                <w:highlight w:val="none"/>
                <w:lang w:val="en-US" w:eastAsia="zh-CN" w:bidi="ar-SA"/>
              </w:rPr>
              <w:t>（3）废乳化</w:t>
            </w:r>
            <w:r>
              <w:rPr>
                <w:rFonts w:hint="eastAsia" w:ascii="Times New Roman" w:hAnsi="Times New Roman" w:eastAsia="宋体" w:cs="Times New Roman"/>
                <w:color w:val="auto"/>
                <w:kern w:val="2"/>
                <w:sz w:val="24"/>
                <w:szCs w:val="24"/>
                <w:lang w:val="en-US" w:eastAsia="zh-CN"/>
              </w:rPr>
              <w:t>液</w:t>
            </w:r>
          </w:p>
          <w:p>
            <w:pPr>
              <w:widowControl w:val="0"/>
              <w:adjustRightInd w:val="0"/>
              <w:snapToGrid w:val="0"/>
              <w:spacing w:after="0" w:line="336" w:lineRule="auto"/>
              <w:ind w:firstLine="482"/>
              <w:jc w:val="both"/>
              <w:rPr>
                <w:rFonts w:hint="eastAsia" w:ascii="Times New Roman" w:hAnsi="Times New Roman" w:eastAsia="宋体" w:cs="Times New Roman"/>
                <w:color w:val="auto"/>
                <w:kern w:val="2"/>
                <w:sz w:val="24"/>
                <w:szCs w:val="24"/>
                <w:lang w:eastAsia="zh-CN"/>
              </w:rPr>
            </w:pPr>
            <w:r>
              <w:rPr>
                <w:rFonts w:hint="eastAsia" w:ascii="Times New Roman" w:hAnsi="Times New Roman" w:eastAsia="宋体" w:cs="Times New Roman"/>
                <w:color w:val="auto"/>
                <w:kern w:val="2"/>
                <w:sz w:val="24"/>
                <w:szCs w:val="24"/>
                <w:lang w:eastAsia="zh-CN"/>
              </w:rPr>
              <w:t>项目机加工过程会用到乳</w:t>
            </w:r>
            <w:r>
              <w:rPr>
                <w:rFonts w:hint="eastAsia" w:ascii="Times New Roman" w:hAnsi="Times New Roman" w:eastAsia="宋体" w:cs="Times New Roman"/>
                <w:color w:val="auto"/>
                <w:kern w:val="2"/>
                <w:sz w:val="24"/>
                <w:szCs w:val="24"/>
                <w:highlight w:val="none"/>
                <w:lang w:eastAsia="zh-CN"/>
              </w:rPr>
              <w:t>化液</w:t>
            </w:r>
            <w:r>
              <w:rPr>
                <w:rFonts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lang w:eastAsia="zh-CN"/>
              </w:rPr>
              <w:t>乳化液</w:t>
            </w:r>
            <w:r>
              <w:rPr>
                <w:rFonts w:ascii="Times New Roman" w:hAnsi="Times New Roman" w:eastAsia="宋体" w:cs="Times New Roman"/>
                <w:color w:val="auto"/>
                <w:kern w:val="2"/>
                <w:sz w:val="24"/>
                <w:szCs w:val="24"/>
                <w:highlight w:val="none"/>
              </w:rPr>
              <w:t>需要定期更换，约</w:t>
            </w:r>
            <w:r>
              <w:rPr>
                <w:rFonts w:hint="eastAsia" w:ascii="Times New Roman" w:hAnsi="Times New Roman" w:eastAsia="宋体" w:cs="Times New Roman"/>
                <w:color w:val="auto"/>
                <w:kern w:val="2"/>
                <w:sz w:val="24"/>
                <w:szCs w:val="24"/>
                <w:highlight w:val="none"/>
                <w:lang w:eastAsia="zh-CN"/>
              </w:rPr>
              <w:t>每</w:t>
            </w:r>
            <w:r>
              <w:rPr>
                <w:rFonts w:ascii="Times New Roman" w:hAnsi="Times New Roman" w:eastAsia="宋体" w:cs="Times New Roman"/>
                <w:color w:val="auto"/>
                <w:kern w:val="2"/>
                <w:sz w:val="24"/>
                <w:szCs w:val="24"/>
                <w:highlight w:val="none"/>
              </w:rPr>
              <w:t>年更换一次，</w:t>
            </w:r>
            <w:r>
              <w:rPr>
                <w:rFonts w:hint="eastAsia" w:ascii="Times New Roman" w:hAnsi="Times New Roman" w:eastAsia="宋体" w:cs="Times New Roman"/>
                <w:color w:val="auto"/>
                <w:kern w:val="2"/>
                <w:sz w:val="24"/>
                <w:szCs w:val="24"/>
                <w:highlight w:val="none"/>
                <w:lang w:eastAsia="zh-CN"/>
              </w:rPr>
              <w:t>则</w:t>
            </w:r>
            <w:r>
              <w:rPr>
                <w:rFonts w:ascii="Times New Roman" w:hAnsi="Times New Roman" w:eastAsia="宋体" w:cs="Times New Roman"/>
                <w:color w:val="auto"/>
                <w:kern w:val="2"/>
                <w:sz w:val="24"/>
                <w:szCs w:val="24"/>
                <w:highlight w:val="none"/>
              </w:rPr>
              <w:t>废</w:t>
            </w:r>
            <w:r>
              <w:rPr>
                <w:rFonts w:hint="eastAsia" w:ascii="Times New Roman" w:hAnsi="Times New Roman" w:eastAsia="宋体" w:cs="Times New Roman"/>
                <w:color w:val="auto"/>
                <w:kern w:val="2"/>
                <w:sz w:val="24"/>
                <w:szCs w:val="24"/>
                <w:highlight w:val="none"/>
                <w:lang w:eastAsia="zh-CN"/>
              </w:rPr>
              <w:t>乳化液</w:t>
            </w:r>
            <w:r>
              <w:rPr>
                <w:rFonts w:hint="default" w:ascii="Times New Roman" w:hAnsi="Times New Roman" w:eastAsia="宋体" w:cs="Times New Roman"/>
                <w:color w:val="auto"/>
                <w:kern w:val="2"/>
                <w:sz w:val="24"/>
                <w:szCs w:val="20"/>
                <w:highlight w:val="none"/>
              </w:rPr>
              <w:t>（废物类别：</w:t>
            </w:r>
            <w:r>
              <w:rPr>
                <w:rFonts w:ascii="Times New Roman" w:hAnsi="Times New Roman" w:eastAsia="宋体" w:cs="Times New Roman"/>
                <w:color w:val="auto"/>
                <w:kern w:val="2"/>
                <w:sz w:val="24"/>
                <w:szCs w:val="24"/>
              </w:rPr>
              <w:t>HW0</w:t>
            </w:r>
            <w:r>
              <w:rPr>
                <w:rFonts w:hint="eastAsia" w:ascii="Times New Roman" w:hAnsi="Times New Roman" w:eastAsia="宋体" w:cs="Times New Roman"/>
                <w:color w:val="auto"/>
                <w:kern w:val="2"/>
                <w:sz w:val="24"/>
                <w:szCs w:val="24"/>
                <w:lang w:val="en-US" w:eastAsia="zh-CN"/>
              </w:rPr>
              <w:t>9</w:t>
            </w:r>
            <w:r>
              <w:rPr>
                <w:rFonts w:ascii="Times New Roman" w:hAnsi="Times New Roman" w:eastAsia="宋体" w:cs="Times New Roman"/>
                <w:color w:val="auto"/>
                <w:kern w:val="2"/>
                <w:sz w:val="24"/>
                <w:szCs w:val="24"/>
              </w:rPr>
              <w:t xml:space="preserve"> </w:t>
            </w:r>
            <w:r>
              <w:rPr>
                <w:rFonts w:hint="eastAsia" w:ascii="Times New Roman" w:hAnsi="Times New Roman" w:eastAsia="宋体" w:cs="Times New Roman"/>
                <w:color w:val="auto"/>
                <w:kern w:val="2"/>
                <w:sz w:val="24"/>
                <w:szCs w:val="24"/>
                <w:lang w:eastAsia="zh-CN"/>
              </w:rPr>
              <w:t>油</w:t>
            </w:r>
            <w:r>
              <w:rPr>
                <w:rFonts w:hint="eastAsia" w:ascii="Times New Roman" w:hAnsi="Times New Roman" w:eastAsia="宋体" w:cs="Times New Roman"/>
                <w:color w:val="auto"/>
                <w:kern w:val="2"/>
                <w:sz w:val="24"/>
                <w:szCs w:val="24"/>
                <w:lang w:val="en-US" w:eastAsia="zh-CN"/>
              </w:rPr>
              <w:t>/水、烃/水混合物或乳化液</w:t>
            </w:r>
            <w:r>
              <w:rPr>
                <w:rFonts w:ascii="Times New Roman" w:hAnsi="Times New Roman" w:eastAsia="宋体" w:cs="Times New Roman"/>
                <w:color w:val="auto"/>
                <w:kern w:val="2"/>
                <w:sz w:val="24"/>
                <w:szCs w:val="24"/>
              </w:rPr>
              <w:t>，废物代码：900-</w:t>
            </w:r>
            <w:r>
              <w:rPr>
                <w:rFonts w:hint="eastAsia" w:ascii="Times New Roman" w:hAnsi="Times New Roman" w:eastAsia="宋体" w:cs="Times New Roman"/>
                <w:color w:val="auto"/>
                <w:kern w:val="2"/>
                <w:sz w:val="24"/>
                <w:szCs w:val="24"/>
                <w:lang w:val="en-US" w:eastAsia="zh-CN"/>
              </w:rPr>
              <w:t>007</w:t>
            </w:r>
            <w:r>
              <w:rPr>
                <w:rFonts w:ascii="Times New Roman" w:hAnsi="Times New Roman" w:eastAsia="宋体" w:cs="Times New Roman"/>
                <w:color w:val="auto"/>
                <w:kern w:val="2"/>
                <w:sz w:val="24"/>
                <w:szCs w:val="24"/>
              </w:rPr>
              <w:t>-0</w:t>
            </w:r>
            <w:r>
              <w:rPr>
                <w:rFonts w:hint="eastAsia" w:ascii="Times New Roman" w:hAnsi="Times New Roman" w:eastAsia="宋体" w:cs="Times New Roman"/>
                <w:color w:val="auto"/>
                <w:kern w:val="2"/>
                <w:sz w:val="24"/>
                <w:szCs w:val="24"/>
                <w:lang w:val="en-US" w:eastAsia="zh-CN"/>
              </w:rPr>
              <w:t>9</w:t>
            </w:r>
            <w:r>
              <w:rPr>
                <w:rFonts w:hint="default" w:ascii="Times New Roman" w:hAnsi="Times New Roman" w:eastAsia="宋体" w:cs="Times New Roman"/>
                <w:color w:val="auto"/>
                <w:kern w:val="2"/>
                <w:sz w:val="24"/>
                <w:szCs w:val="20"/>
                <w:highlight w:val="none"/>
              </w:rPr>
              <w:t>）</w:t>
            </w:r>
            <w:r>
              <w:rPr>
                <w:rFonts w:hint="eastAsia" w:ascii="Times New Roman" w:hAnsi="Times New Roman" w:eastAsia="宋体" w:cs="Times New Roman"/>
                <w:color w:val="auto"/>
                <w:kern w:val="2"/>
                <w:sz w:val="24"/>
                <w:szCs w:val="24"/>
                <w:highlight w:val="none"/>
                <w:lang w:eastAsia="zh-CN"/>
              </w:rPr>
              <w:t>产生量</w:t>
            </w:r>
            <w:r>
              <w:rPr>
                <w:rFonts w:ascii="Times New Roman" w:hAnsi="Times New Roman" w:eastAsia="宋体" w:cs="Times New Roman"/>
                <w:color w:val="auto"/>
                <w:kern w:val="2"/>
                <w:sz w:val="24"/>
                <w:szCs w:val="24"/>
                <w:highlight w:val="none"/>
              </w:rPr>
              <w:t>约</w:t>
            </w:r>
            <w:r>
              <w:rPr>
                <w:rFonts w:hint="eastAsia" w:ascii="Times New Roman" w:hAnsi="Times New Roman" w:eastAsia="宋体" w:cs="Times New Roman"/>
                <w:color w:val="auto"/>
                <w:kern w:val="2"/>
                <w:sz w:val="24"/>
                <w:szCs w:val="24"/>
                <w:highlight w:val="none"/>
                <w:lang w:val="en-US" w:eastAsia="zh-CN"/>
              </w:rPr>
              <w:t>0.35</w:t>
            </w:r>
            <w:r>
              <w:rPr>
                <w:rFonts w:ascii="Times New Roman" w:hAnsi="Times New Roman" w:eastAsia="宋体" w:cs="Times New Roman"/>
                <w:color w:val="auto"/>
                <w:kern w:val="2"/>
                <w:sz w:val="24"/>
                <w:szCs w:val="24"/>
                <w:highlight w:val="none"/>
              </w:rPr>
              <w:t>t</w:t>
            </w:r>
            <w:r>
              <w:rPr>
                <w:rFonts w:hint="default" w:ascii="Times New Roman" w:hAnsi="Times New Roman" w:eastAsia="宋体" w:cs="Times New Roman"/>
                <w:color w:val="auto"/>
                <w:kern w:val="2"/>
                <w:sz w:val="24"/>
                <w:szCs w:val="22"/>
                <w:highlight w:val="none"/>
              </w:rPr>
              <w:t>/</w:t>
            </w:r>
            <w:r>
              <w:rPr>
                <w:rFonts w:hint="eastAsia" w:ascii="Times New Roman" w:hAnsi="Times New Roman" w:eastAsia="宋体" w:cs="Times New Roman"/>
                <w:color w:val="auto"/>
                <w:kern w:val="2"/>
                <w:sz w:val="24"/>
                <w:szCs w:val="22"/>
                <w:highlight w:val="none"/>
                <w:lang w:val="en-US" w:eastAsia="zh-CN"/>
              </w:rPr>
              <w:t>a年</w:t>
            </w:r>
            <w:r>
              <w:rPr>
                <w:rFonts w:ascii="Times New Roman" w:hAnsi="Times New Roman" w:eastAsia="宋体" w:cs="Times New Roman"/>
                <w:color w:val="auto"/>
                <w:kern w:val="2"/>
                <w:sz w:val="24"/>
                <w:szCs w:val="24"/>
                <w:highlight w:val="none"/>
              </w:rPr>
              <w:t>。收集后暂</w:t>
            </w:r>
            <w:r>
              <w:rPr>
                <w:rFonts w:hint="eastAsia" w:ascii="Times New Roman" w:hAnsi="Times New Roman" w:eastAsia="宋体" w:cs="Times New Roman"/>
                <w:color w:val="auto"/>
                <w:kern w:val="2"/>
                <w:sz w:val="24"/>
                <w:szCs w:val="24"/>
                <w:lang w:eastAsia="zh-CN"/>
              </w:rPr>
              <w:t>存于项目危废暂存区，定期交具有危废处理资质的单位处理。</w:t>
            </w:r>
          </w:p>
          <w:p>
            <w:pPr>
              <w:widowControl w:val="0"/>
              <w:adjustRightInd w:val="0"/>
              <w:snapToGrid w:val="0"/>
              <w:spacing w:after="0" w:line="336" w:lineRule="auto"/>
              <w:ind w:firstLine="482"/>
              <w:jc w:val="both"/>
              <w:rPr>
                <w:rFonts w:hint="eastAsia"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kern w:val="2"/>
                <w:sz w:val="24"/>
                <w:szCs w:val="24"/>
                <w:lang w:val="en-US" w:eastAsia="zh-CN"/>
              </w:rPr>
              <w:t>（4）废活性炭</w:t>
            </w:r>
          </w:p>
          <w:p>
            <w:pPr>
              <w:widowControl w:val="0"/>
              <w:adjustRightInd w:val="0"/>
              <w:snapToGrid w:val="0"/>
              <w:spacing w:after="0" w:line="336" w:lineRule="auto"/>
              <w:ind w:firstLine="482"/>
              <w:jc w:val="both"/>
              <w:rPr>
                <w:rFonts w:hint="eastAsia" w:ascii="Times New Roman" w:hAnsi="Times New Roman" w:eastAsia="宋体" w:cs="Times New Roman"/>
                <w:color w:val="FF0000"/>
                <w:kern w:val="2"/>
                <w:sz w:val="24"/>
                <w:szCs w:val="20"/>
                <w:highlight w:val="yellow"/>
                <w:lang w:val="en-US" w:eastAsia="zh-CN" w:bidi="ar-SA"/>
              </w:rPr>
            </w:pPr>
            <w:r>
              <w:rPr>
                <w:rFonts w:hint="eastAsia" w:ascii="Times New Roman" w:hAnsi="Times New Roman" w:eastAsia="宋体" w:cs="Times New Roman"/>
                <w:color w:val="auto"/>
                <w:kern w:val="2"/>
                <w:sz w:val="24"/>
                <w:szCs w:val="24"/>
                <w:lang w:val="en-US" w:eastAsia="zh-CN"/>
              </w:rPr>
              <w:t>根据工程设计单位提供的资</w:t>
            </w:r>
            <w:r>
              <w:rPr>
                <w:rFonts w:hint="eastAsia" w:ascii="Times New Roman" w:hAnsi="Times New Roman" w:eastAsia="宋体" w:cs="Times New Roman"/>
                <w:color w:val="auto"/>
                <w:kern w:val="2"/>
                <w:sz w:val="24"/>
                <w:szCs w:val="20"/>
                <w:highlight w:val="none"/>
                <w:lang w:val="en-US" w:eastAsia="zh-CN" w:bidi="ar-SA"/>
              </w:rPr>
              <w:t>料，本项目活性炭装置中活性炭的有效填充长度为1.2m，宽度为0.9m，活性炭层厚为0.6m，填充密度为550kg/m</w:t>
            </w:r>
            <w:r>
              <w:rPr>
                <w:rFonts w:hint="eastAsia" w:ascii="Times New Roman" w:hAnsi="Times New Roman" w:eastAsia="宋体" w:cs="Times New Roman"/>
                <w:color w:val="auto"/>
                <w:kern w:val="2"/>
                <w:sz w:val="24"/>
                <w:szCs w:val="20"/>
                <w:highlight w:val="none"/>
                <w:vertAlign w:val="superscript"/>
                <w:lang w:val="en-US" w:eastAsia="zh-CN" w:bidi="ar-SA"/>
              </w:rPr>
              <w:t>3</w:t>
            </w:r>
            <w:r>
              <w:rPr>
                <w:rFonts w:hint="eastAsia" w:ascii="Times New Roman" w:hAnsi="Times New Roman" w:eastAsia="宋体" w:cs="Times New Roman"/>
                <w:color w:val="auto"/>
                <w:kern w:val="2"/>
                <w:sz w:val="24"/>
                <w:szCs w:val="20"/>
                <w:highlight w:val="none"/>
                <w:lang w:val="en-US" w:eastAsia="zh-CN" w:bidi="ar-SA"/>
              </w:rPr>
              <w:t>，则活性炭的初次装填量为1.2m*0.9m*0.6m*550kg/m</w:t>
            </w:r>
            <w:r>
              <w:rPr>
                <w:rFonts w:hint="eastAsia" w:ascii="Times New Roman" w:hAnsi="Times New Roman" w:eastAsia="宋体" w:cs="Times New Roman"/>
                <w:color w:val="auto"/>
                <w:kern w:val="2"/>
                <w:sz w:val="24"/>
                <w:szCs w:val="20"/>
                <w:highlight w:val="none"/>
                <w:vertAlign w:val="superscript"/>
                <w:lang w:val="en-US" w:eastAsia="zh-CN" w:bidi="ar-SA"/>
              </w:rPr>
              <w:t>3</w:t>
            </w:r>
            <w:r>
              <w:rPr>
                <w:rFonts w:hint="eastAsia" w:ascii="Times New Roman" w:hAnsi="Times New Roman" w:eastAsia="宋体" w:cs="Times New Roman"/>
                <w:b w:val="0"/>
                <w:bCs/>
                <w:color w:val="auto"/>
                <w:kern w:val="2"/>
                <w:sz w:val="24"/>
                <w:szCs w:val="24"/>
                <w:highlight w:val="none"/>
                <w:lang w:val="en-US" w:eastAsia="zh-CN" w:bidi="ar-SA"/>
              </w:rPr>
              <w:t>=0.356t。</w:t>
            </w:r>
            <w:r>
              <w:rPr>
                <w:rFonts w:hint="default" w:ascii="Times New Roman" w:hAnsi="Times New Roman" w:eastAsia="宋体" w:cs="Times New Roman"/>
                <w:color w:val="auto"/>
                <w:kern w:val="2"/>
                <w:sz w:val="24"/>
                <w:szCs w:val="20"/>
                <w:highlight w:val="none"/>
                <w:lang w:val="en-US" w:eastAsia="zh-CN" w:bidi="ar-SA"/>
              </w:rPr>
              <w:t>活性炭吸附装置中的活性炭，吸附一段时间后饱和，需要更换，</w:t>
            </w:r>
            <w:r>
              <w:rPr>
                <w:rFonts w:hint="eastAsia" w:ascii="Times New Roman" w:hAnsi="Times New Roman" w:eastAsia="宋体" w:cs="Times New Roman"/>
                <w:color w:val="auto"/>
                <w:kern w:val="2"/>
                <w:sz w:val="24"/>
                <w:szCs w:val="20"/>
                <w:highlight w:val="none"/>
                <w:lang w:val="en-US" w:eastAsia="zh-CN" w:bidi="ar-SA"/>
              </w:rPr>
              <w:t>每半年更换一次，则更换量为0.712t</w:t>
            </w:r>
            <w:r>
              <w:rPr>
                <w:rFonts w:hint="default" w:ascii="Times New Roman" w:hAnsi="Times New Roman" w:eastAsia="宋体" w:cs="Times New Roman"/>
                <w:color w:val="auto"/>
                <w:kern w:val="2"/>
                <w:sz w:val="24"/>
                <w:szCs w:val="20"/>
                <w:highlight w:val="none"/>
                <w:lang w:val="en-US" w:eastAsia="zh-CN" w:bidi="ar-SA"/>
              </w:rPr>
              <w:t>/a</w:t>
            </w:r>
            <w:r>
              <w:rPr>
                <w:rFonts w:hint="eastAsia" w:ascii="Times New Roman" w:hAnsi="Times New Roman" w:eastAsia="宋体" w:cs="Times New Roman"/>
                <w:color w:val="auto"/>
                <w:kern w:val="2"/>
                <w:sz w:val="24"/>
                <w:szCs w:val="20"/>
                <w:highlight w:val="none"/>
                <w:lang w:val="en-US" w:eastAsia="zh-CN" w:bidi="ar-SA"/>
              </w:rPr>
              <w:t>。因此废活性炭（</w:t>
            </w:r>
            <w:r>
              <w:rPr>
                <w:rFonts w:hint="default" w:ascii="Times New Roman" w:hAnsi="Times New Roman" w:eastAsia="宋体" w:cs="Times New Roman"/>
                <w:color w:val="auto"/>
                <w:kern w:val="2"/>
                <w:sz w:val="24"/>
                <w:szCs w:val="20"/>
                <w:highlight w:val="none"/>
                <w:lang w:val="en-US" w:eastAsia="zh-CN" w:bidi="ar-SA"/>
              </w:rPr>
              <w:t>废物类别：HW49其他废物，废物代码：900-041-49）</w:t>
            </w:r>
            <w:r>
              <w:rPr>
                <w:rFonts w:hint="eastAsia" w:ascii="Times New Roman" w:hAnsi="Times New Roman" w:eastAsia="宋体" w:cs="Times New Roman"/>
                <w:color w:val="auto"/>
                <w:kern w:val="2"/>
                <w:sz w:val="24"/>
                <w:szCs w:val="20"/>
                <w:highlight w:val="none"/>
                <w:lang w:val="en-US" w:eastAsia="zh-CN" w:bidi="ar-SA"/>
              </w:rPr>
              <w:t>产生量=更换量+吸附的废气量=0.712</w:t>
            </w:r>
            <w:r>
              <w:rPr>
                <w:rFonts w:hint="default" w:ascii="Times New Roman" w:hAnsi="Times New Roman" w:eastAsia="宋体" w:cs="Times New Roman"/>
                <w:color w:val="auto"/>
                <w:kern w:val="2"/>
                <w:sz w:val="24"/>
                <w:szCs w:val="20"/>
                <w:highlight w:val="none"/>
                <w:lang w:val="en-US" w:eastAsia="zh-CN" w:bidi="ar-SA"/>
              </w:rPr>
              <w:t>t/a</w:t>
            </w:r>
            <w:r>
              <w:rPr>
                <w:rFonts w:hint="eastAsia" w:ascii="Times New Roman" w:hAnsi="Times New Roman" w:eastAsia="宋体" w:cs="Times New Roman"/>
                <w:color w:val="auto"/>
                <w:kern w:val="2"/>
                <w:sz w:val="24"/>
                <w:szCs w:val="20"/>
                <w:highlight w:val="none"/>
                <w:lang w:val="en-US" w:eastAsia="zh-CN" w:bidi="ar-SA"/>
              </w:rPr>
              <w:t>+0.128</w:t>
            </w:r>
            <w:r>
              <w:rPr>
                <w:rFonts w:hint="default" w:ascii="Times New Roman" w:hAnsi="Times New Roman" w:eastAsia="宋体" w:cs="Times New Roman"/>
                <w:color w:val="auto"/>
                <w:kern w:val="2"/>
                <w:sz w:val="24"/>
                <w:szCs w:val="20"/>
                <w:highlight w:val="none"/>
                <w:lang w:val="en-US" w:eastAsia="zh-CN" w:bidi="ar-SA"/>
              </w:rPr>
              <w:t>t/a</w:t>
            </w:r>
            <w:r>
              <w:rPr>
                <w:rFonts w:hint="eastAsia" w:ascii="Times New Roman" w:hAnsi="Times New Roman" w:eastAsia="宋体" w:cs="Times New Roman"/>
                <w:color w:val="auto"/>
                <w:kern w:val="2"/>
                <w:sz w:val="24"/>
                <w:szCs w:val="20"/>
                <w:highlight w:val="none"/>
                <w:lang w:val="en-US" w:eastAsia="zh-CN" w:bidi="ar-SA"/>
              </w:rPr>
              <w:t>=0.84</w:t>
            </w:r>
            <w:r>
              <w:rPr>
                <w:rFonts w:hint="default" w:ascii="Times New Roman" w:hAnsi="Times New Roman" w:eastAsia="宋体" w:cs="Times New Roman"/>
                <w:color w:val="auto"/>
                <w:kern w:val="2"/>
                <w:sz w:val="24"/>
                <w:szCs w:val="20"/>
                <w:highlight w:val="none"/>
                <w:lang w:val="en-US" w:eastAsia="zh-CN" w:bidi="ar-SA"/>
              </w:rPr>
              <w:t>t/a</w:t>
            </w:r>
            <w:r>
              <w:rPr>
                <w:rFonts w:hint="eastAsia" w:ascii="Times New Roman" w:hAnsi="Times New Roman" w:eastAsia="宋体" w:cs="Times New Roman"/>
                <w:color w:val="auto"/>
                <w:kern w:val="2"/>
                <w:sz w:val="24"/>
                <w:szCs w:val="20"/>
                <w:highlight w:val="none"/>
                <w:lang w:val="en-US" w:eastAsia="zh-CN" w:bidi="ar-SA"/>
              </w:rPr>
              <w:t>。</w:t>
            </w:r>
          </w:p>
          <w:p>
            <w:pPr>
              <w:widowControl w:val="0"/>
              <w:adjustRightInd w:val="0"/>
              <w:snapToGrid w:val="0"/>
              <w:spacing w:after="0" w:line="336" w:lineRule="auto"/>
              <w:ind w:firstLine="482"/>
              <w:jc w:val="both"/>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auto"/>
                <w:kern w:val="2"/>
                <w:sz w:val="24"/>
                <w:szCs w:val="20"/>
                <w:lang w:val="en-US" w:eastAsia="zh-CN" w:bidi="ar-SA"/>
              </w:rPr>
              <w:t>活性炭装置装填量可行性分析：活性炭的吸附值为0.2kgNMHC /kg，即</w:t>
            </w:r>
            <w:r>
              <w:rPr>
                <w:rFonts w:hint="default" w:ascii="Times New Roman" w:hAnsi="Times New Roman" w:eastAsia="宋体" w:cs="Times New Roman"/>
                <w:color w:val="auto"/>
                <w:kern w:val="2"/>
                <w:sz w:val="24"/>
                <w:szCs w:val="20"/>
                <w:lang w:val="en-US" w:eastAsia="zh-CN" w:bidi="ar-SA"/>
              </w:rPr>
              <w:t>活性炭用量约为废气去除量（吸附量）的</w:t>
            </w:r>
            <w:r>
              <w:rPr>
                <w:rFonts w:hint="eastAsia" w:ascii="Times New Roman" w:hAnsi="Times New Roman" w:eastAsia="宋体" w:cs="Times New Roman"/>
                <w:color w:val="auto"/>
                <w:kern w:val="2"/>
                <w:sz w:val="24"/>
                <w:szCs w:val="20"/>
                <w:lang w:val="en-US" w:eastAsia="zh-CN" w:bidi="ar-SA"/>
              </w:rPr>
              <w:t>5</w:t>
            </w:r>
            <w:r>
              <w:rPr>
                <w:rFonts w:hint="default" w:ascii="Times New Roman" w:hAnsi="Times New Roman" w:eastAsia="宋体" w:cs="Times New Roman"/>
                <w:color w:val="auto"/>
                <w:kern w:val="2"/>
                <w:sz w:val="24"/>
                <w:szCs w:val="20"/>
                <w:lang w:val="en-US" w:eastAsia="zh-CN" w:bidi="ar-SA"/>
              </w:rPr>
              <w:t>倍</w:t>
            </w:r>
            <w:r>
              <w:rPr>
                <w:rFonts w:hint="eastAsia" w:ascii="Times New Roman" w:hAnsi="Times New Roman" w:eastAsia="宋体" w:cs="Times New Roman"/>
                <w:color w:val="auto"/>
                <w:kern w:val="2"/>
                <w:sz w:val="24"/>
                <w:szCs w:val="20"/>
                <w:lang w:val="en-US" w:eastAsia="zh-CN" w:bidi="ar-SA"/>
              </w:rPr>
              <w:t>，本项目非甲烷总烃的吸附量为0.128</w:t>
            </w:r>
            <w:r>
              <w:rPr>
                <w:rFonts w:hint="default" w:ascii="Times New Roman" w:hAnsi="Times New Roman" w:eastAsia="宋体" w:cs="Times New Roman"/>
                <w:color w:val="auto"/>
                <w:kern w:val="2"/>
                <w:sz w:val="24"/>
                <w:szCs w:val="20"/>
                <w:lang w:val="en-US" w:eastAsia="zh-CN" w:bidi="ar-SA"/>
              </w:rPr>
              <w:t>t/a</w:t>
            </w:r>
            <w:r>
              <w:rPr>
                <w:rFonts w:hint="eastAsia" w:ascii="Times New Roman" w:hAnsi="Times New Roman" w:eastAsia="宋体" w:cs="Times New Roman"/>
                <w:color w:val="auto"/>
                <w:kern w:val="2"/>
                <w:sz w:val="24"/>
                <w:szCs w:val="20"/>
                <w:lang w:val="en-US" w:eastAsia="zh-CN" w:bidi="ar-SA"/>
              </w:rPr>
              <w:t>，</w:t>
            </w:r>
            <w:r>
              <w:rPr>
                <w:rFonts w:hint="default" w:ascii="Times New Roman" w:hAnsi="Times New Roman" w:eastAsia="宋体" w:cs="Times New Roman"/>
                <w:color w:val="auto"/>
                <w:kern w:val="2"/>
                <w:sz w:val="24"/>
                <w:szCs w:val="20"/>
                <w:lang w:val="en-US" w:eastAsia="zh-CN" w:bidi="ar-SA"/>
              </w:rPr>
              <w:t>则活性炭用量</w:t>
            </w:r>
            <w:r>
              <w:rPr>
                <w:rFonts w:hint="eastAsia" w:ascii="Times New Roman" w:hAnsi="Times New Roman" w:eastAsia="宋体" w:cs="Times New Roman"/>
                <w:color w:val="auto"/>
                <w:kern w:val="2"/>
                <w:sz w:val="24"/>
                <w:szCs w:val="20"/>
                <w:lang w:val="en-US" w:eastAsia="zh-CN" w:bidi="ar-SA"/>
              </w:rPr>
              <w:t>为0.64t/a＜0.712</w:t>
            </w:r>
            <w:r>
              <w:rPr>
                <w:rFonts w:hint="default" w:ascii="Times New Roman" w:hAnsi="Times New Roman" w:eastAsia="宋体" w:cs="Times New Roman"/>
                <w:color w:val="auto"/>
                <w:kern w:val="2"/>
                <w:sz w:val="24"/>
                <w:szCs w:val="20"/>
                <w:lang w:val="en-US" w:eastAsia="zh-CN" w:bidi="ar-SA"/>
              </w:rPr>
              <w:t>t/a</w:t>
            </w:r>
            <w:r>
              <w:rPr>
                <w:rFonts w:hint="eastAsia" w:ascii="Times New Roman" w:hAnsi="Times New Roman" w:eastAsia="宋体" w:cs="Times New Roman"/>
                <w:color w:val="auto"/>
                <w:kern w:val="2"/>
                <w:sz w:val="24"/>
                <w:szCs w:val="20"/>
                <w:lang w:val="en-US" w:eastAsia="zh-CN" w:bidi="ar-SA"/>
              </w:rPr>
              <w:t>，因</w:t>
            </w:r>
            <w:r>
              <w:rPr>
                <w:rFonts w:hint="eastAsia" w:ascii="Times New Roman" w:hAnsi="Times New Roman" w:eastAsia="宋体" w:cs="Times New Roman"/>
                <w:color w:val="auto"/>
                <w:kern w:val="2"/>
                <w:sz w:val="24"/>
                <w:szCs w:val="24"/>
                <w:lang w:val="en-US" w:eastAsia="zh-CN"/>
              </w:rPr>
              <w:t>此本项目设计的活性炭装填量可满足废气处理的需要。</w:t>
            </w:r>
            <w:r>
              <w:rPr>
                <w:rFonts w:hint="default" w:ascii="Times New Roman" w:hAnsi="Times New Roman" w:eastAsia="宋体" w:cs="Times New Roman"/>
                <w:color w:val="auto"/>
                <w:kern w:val="2"/>
                <w:sz w:val="24"/>
                <w:szCs w:val="24"/>
                <w:lang w:val="en-US" w:eastAsia="zh-CN"/>
              </w:rPr>
              <w:t>废活性炭收集后暂存于项目危废暂存</w:t>
            </w:r>
            <w:r>
              <w:rPr>
                <w:rFonts w:hint="default" w:ascii="Times New Roman" w:hAnsi="Times New Roman" w:eastAsia="宋体" w:cs="Times New Roman"/>
                <w:color w:val="auto"/>
                <w:kern w:val="2"/>
                <w:sz w:val="24"/>
                <w:szCs w:val="24"/>
                <w:lang w:val="en-US" w:eastAsia="zh-CN" w:bidi="ar-SA"/>
              </w:rPr>
              <w:t>区，定期交具有危废处理资质的单位处理。</w:t>
            </w:r>
          </w:p>
          <w:p>
            <w:pPr>
              <w:widowControl w:val="0"/>
              <w:autoSpaceDE w:val="0"/>
              <w:autoSpaceDN w:val="0"/>
              <w:adjustRightInd w:val="0"/>
              <w:spacing w:line="360" w:lineRule="auto"/>
              <w:ind w:firstLine="480" w:firstLineChars="200"/>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宋体"/>
                <w:color w:val="auto"/>
                <w:sz w:val="24"/>
                <w:szCs w:val="24"/>
                <w:lang w:val="en-US" w:eastAsia="zh-CN" w:bidi="ar-SA"/>
              </w:rPr>
              <w:t>按照《建设项目危险废物环境影响评价指南》（环境保护部公告2017年第43号），本项目所涉及的危险废物产排、处置等情况汇总如下表。</w:t>
            </w:r>
          </w:p>
          <w:p>
            <w:pPr>
              <w:keepLines w:val="0"/>
              <w:pageBreakBefore w:val="0"/>
              <w:widowControl/>
              <w:numPr>
                <w:ilvl w:val="0"/>
                <w:numId w:val="2"/>
              </w:numPr>
              <w:tabs>
                <w:tab w:val="left" w:pos="420"/>
              </w:tabs>
              <w:kinsoku/>
              <w:wordWrap/>
              <w:overflowPunct/>
              <w:topLinePunct w:val="0"/>
              <w:bidi w:val="0"/>
              <w:adjustRightInd w:val="0"/>
              <w:snapToGrid w:val="0"/>
              <w:spacing w:line="240" w:lineRule="auto"/>
              <w:ind w:left="0" w:firstLine="471"/>
              <w:jc w:val="center"/>
              <w:rPr>
                <w:rFonts w:hint="eastAsia" w:ascii="Times New Roman" w:hAnsi="Times New Roman" w:eastAsia="宋体" w:cs="Times New Roman"/>
                <w:b/>
                <w:color w:val="auto"/>
                <w:kern w:val="0"/>
                <w:sz w:val="21"/>
                <w:szCs w:val="21"/>
                <w:shd w:val="clear" w:color="auto" w:fill="auto"/>
                <w:lang w:val="en-US" w:eastAsia="zh-CN" w:bidi="ar-SA"/>
              </w:rPr>
            </w:pPr>
            <w:r>
              <w:rPr>
                <w:rFonts w:hint="eastAsia" w:ascii="Times New Roman" w:hAnsi="Times New Roman" w:eastAsia="宋体" w:cs="Times New Roman"/>
                <w:b/>
                <w:color w:val="auto"/>
                <w:kern w:val="0"/>
                <w:sz w:val="21"/>
                <w:szCs w:val="21"/>
                <w:shd w:val="clear" w:color="auto" w:fill="auto"/>
                <w:lang w:val="en-US" w:eastAsia="zh-CN" w:bidi="ar-SA"/>
              </w:rPr>
              <w:t>危险废物汇总表</w:t>
            </w:r>
          </w:p>
          <w:tbl>
            <w:tblPr>
              <w:tblStyle w:val="43"/>
              <w:tblW w:w="9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1127"/>
              <w:gridCol w:w="958"/>
              <w:gridCol w:w="717"/>
              <w:gridCol w:w="900"/>
              <w:gridCol w:w="943"/>
              <w:gridCol w:w="480"/>
              <w:gridCol w:w="984"/>
              <w:gridCol w:w="581"/>
              <w:gridCol w:w="730"/>
              <w:gridCol w:w="555"/>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blHeader/>
                <w:jc w:val="center"/>
              </w:trPr>
              <w:tc>
                <w:tcPr>
                  <w:tcW w:w="415"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序号</w:t>
                  </w:r>
                </w:p>
              </w:tc>
              <w:tc>
                <w:tcPr>
                  <w:tcW w:w="1127"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危险废物名称</w:t>
                  </w:r>
                </w:p>
              </w:tc>
              <w:tc>
                <w:tcPr>
                  <w:tcW w:w="958"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危险废物类别</w:t>
                  </w:r>
                </w:p>
              </w:tc>
              <w:tc>
                <w:tcPr>
                  <w:tcW w:w="717"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危险废物代码</w:t>
                  </w:r>
                </w:p>
              </w:tc>
              <w:tc>
                <w:tcPr>
                  <w:tcW w:w="900"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产生量</w:t>
                  </w:r>
                </w:p>
              </w:tc>
              <w:tc>
                <w:tcPr>
                  <w:tcW w:w="943"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产生工序及装置</w:t>
                  </w:r>
                </w:p>
              </w:tc>
              <w:tc>
                <w:tcPr>
                  <w:tcW w:w="480"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形态</w:t>
                  </w:r>
                </w:p>
              </w:tc>
              <w:tc>
                <w:tcPr>
                  <w:tcW w:w="984"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主要成分</w:t>
                  </w:r>
                </w:p>
              </w:tc>
              <w:tc>
                <w:tcPr>
                  <w:tcW w:w="581"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有害成分</w:t>
                  </w:r>
                </w:p>
              </w:tc>
              <w:tc>
                <w:tcPr>
                  <w:tcW w:w="730"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产废周期</w:t>
                  </w:r>
                </w:p>
              </w:tc>
              <w:tc>
                <w:tcPr>
                  <w:tcW w:w="555"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w:t>
                  </w:r>
                </w:p>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特性</w:t>
                  </w:r>
                </w:p>
              </w:tc>
              <w:tc>
                <w:tcPr>
                  <w:tcW w:w="919" w:type="dxa"/>
                  <w:tcBorders>
                    <w:tl2br w:val="nil"/>
                    <w:tr2bl w:val="nil"/>
                  </w:tcBorders>
                  <w:noWrap w:val="0"/>
                  <w:vAlign w:val="center"/>
                </w:tcPr>
                <w:p>
                  <w:pPr>
                    <w:widowControl w:val="0"/>
                    <w:topLinePunct/>
                    <w:adjustRightInd w:val="0"/>
                    <w:snapToGrid w:val="0"/>
                    <w:spacing w:after="0" w:line="240" w:lineRule="auto"/>
                    <w:ind w:firstLine="0"/>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w:t>
                  </w:r>
                </w:p>
              </w:tc>
              <w:tc>
                <w:tcPr>
                  <w:tcW w:w="112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2"/>
                      <w:sz w:val="21"/>
                      <w:szCs w:val="21"/>
                      <w:highlight w:val="none"/>
                      <w:lang w:eastAsia="zh-CN"/>
                    </w:rPr>
                    <w:t>废润滑油油桶、废乳化液桶</w:t>
                  </w:r>
                </w:p>
              </w:tc>
              <w:tc>
                <w:tcPr>
                  <w:tcW w:w="958"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其它废物</w:t>
                  </w:r>
                </w:p>
              </w:tc>
              <w:tc>
                <w:tcPr>
                  <w:tcW w:w="71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2"/>
                      <w:sz w:val="21"/>
                      <w:szCs w:val="21"/>
                    </w:rPr>
                    <w:t>900-041-49</w:t>
                  </w:r>
                </w:p>
              </w:tc>
              <w:tc>
                <w:tcPr>
                  <w:tcW w:w="90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0.04t</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a</w:t>
                  </w:r>
                </w:p>
              </w:tc>
              <w:tc>
                <w:tcPr>
                  <w:tcW w:w="943"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设备润滑、机加工</w:t>
                  </w:r>
                </w:p>
              </w:tc>
              <w:tc>
                <w:tcPr>
                  <w:tcW w:w="48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ascii="Times New Roman" w:hAnsi="Times New Roman" w:eastAsia="宋体" w:cs="Times New Roman"/>
                      <w:bCs/>
                      <w:color w:val="auto"/>
                      <w:kern w:val="2"/>
                      <w:sz w:val="21"/>
                      <w:szCs w:val="21"/>
                    </w:rPr>
                    <w:t>固态</w:t>
                  </w:r>
                </w:p>
              </w:tc>
              <w:tc>
                <w:tcPr>
                  <w:tcW w:w="984"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废润滑油油桶、废乳化液桶</w:t>
                  </w:r>
                </w:p>
              </w:tc>
              <w:tc>
                <w:tcPr>
                  <w:tcW w:w="581"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bCs/>
                      <w:color w:val="auto"/>
                      <w:kern w:val="2"/>
                      <w:sz w:val="21"/>
                      <w:szCs w:val="21"/>
                      <w:lang w:eastAsia="zh-CN"/>
                    </w:rPr>
                    <w:t>石油类</w:t>
                  </w:r>
                </w:p>
              </w:tc>
              <w:tc>
                <w:tcPr>
                  <w:tcW w:w="73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bCs/>
                      <w:color w:val="auto"/>
                      <w:kern w:val="2"/>
                      <w:sz w:val="21"/>
                      <w:szCs w:val="21"/>
                      <w:lang w:val="en-US" w:eastAsia="zh-CN"/>
                    </w:rPr>
                    <w:t>1</w:t>
                  </w:r>
                  <w:r>
                    <w:rPr>
                      <w:rFonts w:ascii="Times New Roman" w:hAnsi="Times New Roman" w:eastAsia="宋体" w:cs="Times New Roman"/>
                      <w:bCs/>
                      <w:color w:val="auto"/>
                      <w:kern w:val="2"/>
                      <w:sz w:val="21"/>
                      <w:szCs w:val="21"/>
                    </w:rPr>
                    <w:t>年</w:t>
                  </w:r>
                </w:p>
              </w:tc>
              <w:tc>
                <w:tcPr>
                  <w:tcW w:w="55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 xml:space="preserve">T/In </w:t>
                  </w:r>
                </w:p>
              </w:tc>
              <w:tc>
                <w:tcPr>
                  <w:tcW w:w="919" w:type="dxa"/>
                  <w:vMerge w:val="restart"/>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0"/>
                      <w:sz w:val="21"/>
                      <w:szCs w:val="21"/>
                    </w:rPr>
                  </w:pPr>
                  <w:r>
                    <w:rPr>
                      <w:rFonts w:ascii="Times New Roman" w:hAnsi="Times New Roman" w:eastAsia="宋体" w:cs="Times New Roman"/>
                      <w:bCs/>
                      <w:color w:val="auto"/>
                      <w:kern w:val="0"/>
                      <w:sz w:val="21"/>
                      <w:szCs w:val="21"/>
                    </w:rPr>
                    <w:t>暂存于项目内危废暂存区，定期交</w:t>
                  </w:r>
                  <w:r>
                    <w:rPr>
                      <w:rFonts w:hint="eastAsia" w:ascii="Times New Roman" w:hAnsi="Times New Roman" w:eastAsia="宋体" w:cs="Times New Roman"/>
                      <w:bCs/>
                      <w:color w:val="auto"/>
                      <w:kern w:val="0"/>
                      <w:sz w:val="21"/>
                      <w:szCs w:val="21"/>
                      <w:lang w:eastAsia="zh-CN"/>
                    </w:rPr>
                    <w:t>给</w:t>
                  </w:r>
                  <w:r>
                    <w:rPr>
                      <w:rFonts w:hint="eastAsia" w:ascii="Times New Roman" w:hAnsi="Times New Roman" w:eastAsia="宋体" w:cs="Times New Roman"/>
                      <w:bCs/>
                      <w:color w:val="auto"/>
                      <w:kern w:val="0"/>
                      <w:sz w:val="21"/>
                      <w:szCs w:val="21"/>
                    </w:rPr>
                    <w:t>有危险废物处置资质单位处置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41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p>
              </w:tc>
              <w:tc>
                <w:tcPr>
                  <w:tcW w:w="112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rPr>
                  </w:pPr>
                  <w:r>
                    <w:rPr>
                      <w:rFonts w:ascii="Times New Roman" w:hAnsi="Times New Roman" w:eastAsia="宋体" w:cs="Times New Roman"/>
                      <w:bCs/>
                      <w:color w:val="auto"/>
                      <w:kern w:val="2"/>
                      <w:sz w:val="21"/>
                      <w:szCs w:val="21"/>
                    </w:rPr>
                    <w:t>废</w:t>
                  </w:r>
                  <w:r>
                    <w:rPr>
                      <w:rFonts w:hint="eastAsia" w:ascii="Times New Roman" w:hAnsi="Times New Roman" w:eastAsia="宋体" w:cs="Times New Roman"/>
                      <w:bCs/>
                      <w:color w:val="auto"/>
                      <w:kern w:val="2"/>
                      <w:sz w:val="21"/>
                      <w:szCs w:val="21"/>
                      <w:lang w:eastAsia="zh-CN"/>
                    </w:rPr>
                    <w:t>润滑油、含油抹布</w:t>
                  </w:r>
                </w:p>
              </w:tc>
              <w:tc>
                <w:tcPr>
                  <w:tcW w:w="958"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rPr>
                  </w:pPr>
                  <w:r>
                    <w:rPr>
                      <w:rFonts w:ascii="Times New Roman" w:hAnsi="Times New Roman" w:eastAsia="宋体" w:cs="Times New Roman"/>
                      <w:bCs/>
                      <w:color w:val="auto"/>
                      <w:kern w:val="2"/>
                      <w:sz w:val="21"/>
                      <w:szCs w:val="21"/>
                    </w:rPr>
                    <w:t>废矿物油与含矿物油废物</w:t>
                  </w:r>
                </w:p>
              </w:tc>
              <w:tc>
                <w:tcPr>
                  <w:tcW w:w="71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rPr>
                  </w:pPr>
                  <w:r>
                    <w:rPr>
                      <w:rFonts w:ascii="Times New Roman" w:hAnsi="Times New Roman" w:eastAsia="宋体" w:cs="Times New Roman"/>
                      <w:color w:val="auto"/>
                      <w:kern w:val="2"/>
                      <w:sz w:val="21"/>
                      <w:szCs w:val="21"/>
                    </w:rPr>
                    <w:t>900-217-08</w:t>
                  </w:r>
                </w:p>
              </w:tc>
              <w:tc>
                <w:tcPr>
                  <w:tcW w:w="90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0.3t/a</w:t>
                  </w:r>
                </w:p>
              </w:tc>
              <w:tc>
                <w:tcPr>
                  <w:tcW w:w="943"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设备润滑</w:t>
                  </w:r>
                </w:p>
              </w:tc>
              <w:tc>
                <w:tcPr>
                  <w:tcW w:w="48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ascii="Times New Roman" w:hAnsi="Times New Roman" w:eastAsia="宋体" w:cs="Times New Roman"/>
                      <w:bCs/>
                      <w:color w:val="auto"/>
                      <w:kern w:val="2"/>
                      <w:sz w:val="21"/>
                      <w:szCs w:val="21"/>
                    </w:rPr>
                    <w:t>液态</w:t>
                  </w:r>
                </w:p>
              </w:tc>
              <w:tc>
                <w:tcPr>
                  <w:tcW w:w="984"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rPr>
                  </w:pPr>
                  <w:r>
                    <w:rPr>
                      <w:rFonts w:ascii="Times New Roman" w:hAnsi="Times New Roman" w:eastAsia="宋体" w:cs="Times New Roman"/>
                      <w:bCs/>
                      <w:color w:val="auto"/>
                      <w:kern w:val="2"/>
                      <w:sz w:val="21"/>
                      <w:szCs w:val="21"/>
                    </w:rPr>
                    <w:t>废</w:t>
                  </w:r>
                  <w:r>
                    <w:rPr>
                      <w:rFonts w:hint="eastAsia" w:ascii="Times New Roman" w:hAnsi="Times New Roman" w:eastAsia="宋体" w:cs="Times New Roman"/>
                      <w:bCs/>
                      <w:color w:val="auto"/>
                      <w:kern w:val="2"/>
                      <w:sz w:val="21"/>
                      <w:szCs w:val="21"/>
                      <w:lang w:eastAsia="zh-CN"/>
                    </w:rPr>
                    <w:t>润滑油、含油抹布</w:t>
                  </w:r>
                </w:p>
              </w:tc>
              <w:tc>
                <w:tcPr>
                  <w:tcW w:w="581"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bCs/>
                      <w:color w:val="auto"/>
                      <w:kern w:val="2"/>
                      <w:sz w:val="21"/>
                      <w:szCs w:val="21"/>
                    </w:rPr>
                    <w:t>石油类</w:t>
                  </w:r>
                </w:p>
              </w:tc>
              <w:tc>
                <w:tcPr>
                  <w:tcW w:w="73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bCs/>
                      <w:color w:val="auto"/>
                      <w:kern w:val="2"/>
                      <w:sz w:val="21"/>
                      <w:szCs w:val="21"/>
                      <w:lang w:val="en-US" w:eastAsia="zh-CN"/>
                    </w:rPr>
                    <w:t>1</w:t>
                  </w:r>
                  <w:r>
                    <w:rPr>
                      <w:rFonts w:ascii="Times New Roman" w:hAnsi="Times New Roman" w:eastAsia="宋体" w:cs="Times New Roman"/>
                      <w:bCs/>
                      <w:color w:val="auto"/>
                      <w:kern w:val="2"/>
                      <w:sz w:val="21"/>
                      <w:szCs w:val="21"/>
                    </w:rPr>
                    <w:t>年</w:t>
                  </w:r>
                </w:p>
              </w:tc>
              <w:tc>
                <w:tcPr>
                  <w:tcW w:w="55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T、I</w:t>
                  </w:r>
                </w:p>
              </w:tc>
              <w:tc>
                <w:tcPr>
                  <w:tcW w:w="919" w:type="dxa"/>
                  <w:vMerge w:val="continue"/>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41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w:t>
                  </w:r>
                </w:p>
              </w:tc>
              <w:tc>
                <w:tcPr>
                  <w:tcW w:w="112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bCs/>
                      <w:color w:val="auto"/>
                      <w:kern w:val="2"/>
                      <w:sz w:val="21"/>
                      <w:szCs w:val="21"/>
                    </w:rPr>
                    <w:t>废</w:t>
                  </w:r>
                  <w:r>
                    <w:rPr>
                      <w:rFonts w:hint="eastAsia" w:ascii="Times New Roman" w:hAnsi="Times New Roman" w:eastAsia="宋体" w:cs="Times New Roman"/>
                      <w:bCs/>
                      <w:color w:val="auto"/>
                      <w:kern w:val="2"/>
                      <w:sz w:val="21"/>
                      <w:szCs w:val="21"/>
                      <w:lang w:eastAsia="zh-CN"/>
                    </w:rPr>
                    <w:t>乳化液</w:t>
                  </w:r>
                </w:p>
              </w:tc>
              <w:tc>
                <w:tcPr>
                  <w:tcW w:w="958"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hint="eastAsia" w:ascii="Times New Roman" w:hAnsi="Times New Roman" w:eastAsia="宋体" w:cs="Times New Roman"/>
                      <w:color w:val="auto"/>
                      <w:kern w:val="0"/>
                      <w:sz w:val="21"/>
                      <w:szCs w:val="21"/>
                    </w:rPr>
                    <w:t>油/水、烃/水混合物或乳化液</w:t>
                  </w:r>
                </w:p>
              </w:tc>
              <w:tc>
                <w:tcPr>
                  <w:tcW w:w="71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0"/>
                      <w:sz w:val="21"/>
                      <w:szCs w:val="21"/>
                    </w:rPr>
                    <w:t>900-007-09</w:t>
                  </w:r>
                </w:p>
              </w:tc>
              <w:tc>
                <w:tcPr>
                  <w:tcW w:w="90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bCs/>
                      <w:color w:val="auto"/>
                      <w:kern w:val="2"/>
                      <w:sz w:val="21"/>
                      <w:szCs w:val="21"/>
                      <w:lang w:val="en-US" w:eastAsia="zh-CN"/>
                    </w:rPr>
                  </w:pPr>
                  <w:r>
                    <w:rPr>
                      <w:rFonts w:hint="eastAsia" w:ascii="Times New Roman" w:hAnsi="Times New Roman" w:eastAsia="宋体" w:cs="Times New Roman"/>
                      <w:bCs/>
                      <w:color w:val="auto"/>
                      <w:kern w:val="2"/>
                      <w:sz w:val="21"/>
                      <w:szCs w:val="21"/>
                      <w:lang w:val="en-US" w:eastAsia="zh-CN"/>
                    </w:rPr>
                    <w:t>0.35t/a</w:t>
                  </w:r>
                </w:p>
              </w:tc>
              <w:tc>
                <w:tcPr>
                  <w:tcW w:w="943"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机加工</w:t>
                  </w:r>
                </w:p>
              </w:tc>
              <w:tc>
                <w:tcPr>
                  <w:tcW w:w="48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bCs/>
                      <w:color w:val="auto"/>
                      <w:kern w:val="2"/>
                      <w:sz w:val="21"/>
                      <w:szCs w:val="21"/>
                    </w:rPr>
                    <w:t>液态</w:t>
                  </w:r>
                </w:p>
              </w:tc>
              <w:tc>
                <w:tcPr>
                  <w:tcW w:w="984"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bCs/>
                      <w:color w:val="auto"/>
                      <w:kern w:val="2"/>
                      <w:sz w:val="21"/>
                      <w:szCs w:val="21"/>
                    </w:rPr>
                    <w:t>废</w:t>
                  </w:r>
                  <w:r>
                    <w:rPr>
                      <w:rFonts w:hint="eastAsia" w:ascii="Times New Roman" w:hAnsi="Times New Roman" w:eastAsia="宋体" w:cs="Times New Roman"/>
                      <w:bCs/>
                      <w:color w:val="auto"/>
                      <w:kern w:val="2"/>
                      <w:sz w:val="21"/>
                      <w:szCs w:val="21"/>
                      <w:lang w:eastAsia="zh-CN"/>
                    </w:rPr>
                    <w:t>乳化液</w:t>
                  </w:r>
                </w:p>
              </w:tc>
              <w:tc>
                <w:tcPr>
                  <w:tcW w:w="581"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bCs/>
                      <w:color w:val="auto"/>
                      <w:kern w:val="2"/>
                      <w:sz w:val="21"/>
                      <w:szCs w:val="21"/>
                    </w:rPr>
                    <w:t>石油类</w:t>
                  </w:r>
                </w:p>
              </w:tc>
              <w:tc>
                <w:tcPr>
                  <w:tcW w:w="73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bCs/>
                      <w:color w:val="auto"/>
                      <w:kern w:val="2"/>
                      <w:sz w:val="21"/>
                      <w:szCs w:val="21"/>
                      <w:lang w:val="en-US" w:eastAsia="zh-CN"/>
                    </w:rPr>
                  </w:pPr>
                  <w:r>
                    <w:rPr>
                      <w:rFonts w:hint="eastAsia" w:ascii="Times New Roman" w:hAnsi="Times New Roman" w:eastAsia="宋体" w:cs="Times New Roman"/>
                      <w:bCs/>
                      <w:color w:val="auto"/>
                      <w:kern w:val="2"/>
                      <w:sz w:val="21"/>
                      <w:szCs w:val="21"/>
                      <w:lang w:val="en-US" w:eastAsia="zh-CN"/>
                    </w:rPr>
                    <w:t>1</w:t>
                  </w:r>
                  <w:r>
                    <w:rPr>
                      <w:rFonts w:ascii="Times New Roman" w:hAnsi="Times New Roman" w:eastAsia="宋体" w:cs="Times New Roman"/>
                      <w:bCs/>
                      <w:color w:val="auto"/>
                      <w:kern w:val="2"/>
                      <w:sz w:val="21"/>
                      <w:szCs w:val="21"/>
                    </w:rPr>
                    <w:t>年</w:t>
                  </w:r>
                </w:p>
              </w:tc>
              <w:tc>
                <w:tcPr>
                  <w:tcW w:w="55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T</w:t>
                  </w:r>
                </w:p>
              </w:tc>
              <w:tc>
                <w:tcPr>
                  <w:tcW w:w="919" w:type="dxa"/>
                  <w:vMerge w:val="continue"/>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FF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1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w:t>
                  </w:r>
                </w:p>
              </w:tc>
              <w:tc>
                <w:tcPr>
                  <w:tcW w:w="112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0"/>
                      <w:sz w:val="21"/>
                      <w:szCs w:val="21"/>
                    </w:rPr>
                    <w:t>废活性炭</w:t>
                  </w:r>
                </w:p>
              </w:tc>
              <w:tc>
                <w:tcPr>
                  <w:tcW w:w="958"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其它废物</w:t>
                  </w:r>
                </w:p>
              </w:tc>
              <w:tc>
                <w:tcPr>
                  <w:tcW w:w="717"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900-041-49</w:t>
                  </w:r>
                </w:p>
              </w:tc>
              <w:tc>
                <w:tcPr>
                  <w:tcW w:w="90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0.84t/a</w:t>
                  </w:r>
                </w:p>
              </w:tc>
              <w:tc>
                <w:tcPr>
                  <w:tcW w:w="943"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活性炭吸附装置</w:t>
                  </w:r>
                </w:p>
              </w:tc>
              <w:tc>
                <w:tcPr>
                  <w:tcW w:w="48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color w:val="auto"/>
                      <w:kern w:val="0"/>
                      <w:sz w:val="21"/>
                      <w:szCs w:val="21"/>
                    </w:rPr>
                    <w:t>固态</w:t>
                  </w:r>
                </w:p>
              </w:tc>
              <w:tc>
                <w:tcPr>
                  <w:tcW w:w="984"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color w:val="auto"/>
                      <w:kern w:val="2"/>
                      <w:sz w:val="21"/>
                      <w:szCs w:val="21"/>
                      <w:highlight w:val="none"/>
                      <w:lang w:eastAsia="zh-CN"/>
                    </w:rPr>
                  </w:pPr>
                  <w:r>
                    <w:rPr>
                      <w:rFonts w:ascii="Times New Roman" w:hAnsi="Times New Roman" w:eastAsia="宋体" w:cs="Times New Roman"/>
                      <w:color w:val="auto"/>
                      <w:kern w:val="0"/>
                      <w:sz w:val="21"/>
                      <w:szCs w:val="21"/>
                    </w:rPr>
                    <w:t>有机物</w:t>
                  </w:r>
                </w:p>
              </w:tc>
              <w:tc>
                <w:tcPr>
                  <w:tcW w:w="581"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bCs/>
                      <w:color w:val="auto"/>
                      <w:kern w:val="2"/>
                      <w:sz w:val="21"/>
                      <w:szCs w:val="21"/>
                      <w:lang w:eastAsia="zh-CN"/>
                    </w:rPr>
                  </w:pPr>
                  <w:r>
                    <w:rPr>
                      <w:rFonts w:ascii="Times New Roman" w:hAnsi="Times New Roman" w:eastAsia="宋体" w:cs="Times New Roman"/>
                      <w:color w:val="auto"/>
                      <w:kern w:val="0"/>
                      <w:sz w:val="21"/>
                      <w:szCs w:val="21"/>
                    </w:rPr>
                    <w:t>COD</w:t>
                  </w:r>
                </w:p>
              </w:tc>
              <w:tc>
                <w:tcPr>
                  <w:tcW w:w="730"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hint="eastAsia" w:ascii="Times New Roman" w:hAnsi="Times New Roman" w:eastAsia="宋体" w:cs="Times New Roman"/>
                      <w:bCs/>
                      <w:color w:val="auto"/>
                      <w:kern w:val="2"/>
                      <w:sz w:val="21"/>
                      <w:szCs w:val="21"/>
                      <w:lang w:eastAsia="zh-CN"/>
                    </w:rPr>
                  </w:pPr>
                  <w:r>
                    <w:rPr>
                      <w:rFonts w:hint="eastAsia" w:ascii="Times New Roman" w:hAnsi="Times New Roman" w:eastAsia="宋体" w:cs="Times New Roman"/>
                      <w:color w:val="auto"/>
                      <w:kern w:val="0"/>
                      <w:sz w:val="21"/>
                      <w:szCs w:val="21"/>
                      <w:lang w:val="en-US" w:eastAsia="zh-CN"/>
                    </w:rPr>
                    <w:t>1年</w:t>
                  </w:r>
                </w:p>
              </w:tc>
              <w:tc>
                <w:tcPr>
                  <w:tcW w:w="555" w:type="dxa"/>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 xml:space="preserve">T/In </w:t>
                  </w:r>
                </w:p>
              </w:tc>
              <w:tc>
                <w:tcPr>
                  <w:tcW w:w="919" w:type="dxa"/>
                  <w:vMerge w:val="continue"/>
                  <w:tcBorders>
                    <w:tl2br w:val="nil"/>
                    <w:tr2bl w:val="nil"/>
                  </w:tcBorders>
                  <w:noWrap w:val="0"/>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FF0000"/>
                      <w:kern w:val="0"/>
                      <w:sz w:val="21"/>
                      <w:szCs w:val="21"/>
                    </w:rPr>
                  </w:pPr>
                </w:p>
              </w:tc>
            </w:tr>
          </w:tbl>
          <w:p>
            <w:pPr>
              <w:pStyle w:val="2"/>
              <w:rPr>
                <w:rFonts w:hint="default" w:ascii="Times New Roman" w:hAnsi="Times New Roman" w:cs="Times New Roman"/>
                <w:color w:val="FF0000"/>
              </w:rPr>
            </w:pPr>
          </w:p>
          <w:p>
            <w:pPr>
              <w:pStyle w:val="5"/>
              <w:rPr>
                <w:rFonts w:hint="default" w:ascii="Times New Roman" w:hAnsi="Times New Roman" w:cs="Times New Roman"/>
                <w:color w:val="FF0000"/>
              </w:rPr>
            </w:pPr>
          </w:p>
          <w:p>
            <w:pPr>
              <w:pStyle w:val="6"/>
              <w:rPr>
                <w:rFonts w:hint="default"/>
              </w:rPr>
            </w:pPr>
          </w:p>
          <w:p>
            <w:pPr>
              <w:pStyle w:val="5"/>
              <w:rPr>
                <w:rFonts w:hint="default"/>
              </w:rPr>
            </w:pPr>
          </w:p>
          <w:p>
            <w:pPr>
              <w:pStyle w:val="2"/>
              <w:rPr>
                <w:rFonts w:hint="default" w:ascii="Times New Roman" w:hAnsi="Times New Roman" w:cs="Times New Roman"/>
                <w:color w:val="FF0000"/>
              </w:rPr>
            </w:pPr>
          </w:p>
          <w:p>
            <w:pPr>
              <w:pStyle w:val="2"/>
              <w:rPr>
                <w:rFonts w:hint="default" w:ascii="Times New Roman" w:hAnsi="Times New Roman" w:cs="Times New Roman"/>
                <w:color w:val="FF0000"/>
              </w:rPr>
            </w:pPr>
          </w:p>
          <w:p>
            <w:pPr>
              <w:pStyle w:val="2"/>
              <w:rPr>
                <w:rFonts w:hint="default" w:ascii="Times New Roman" w:hAnsi="Times New Roman" w:cs="Times New Roman"/>
                <w:color w:val="FF0000"/>
              </w:rPr>
            </w:pPr>
          </w:p>
          <w:p>
            <w:pPr>
              <w:pStyle w:val="2"/>
              <w:rPr>
                <w:rFonts w:hint="default" w:ascii="Times New Roman" w:hAnsi="Times New Roman" w:cs="Times New Roman"/>
                <w:color w:val="FF0000"/>
              </w:rPr>
            </w:pPr>
          </w:p>
          <w:p>
            <w:pPr>
              <w:pStyle w:val="2"/>
              <w:rPr>
                <w:rFonts w:hint="default" w:ascii="Times New Roman" w:hAnsi="Times New Roman" w:cs="Times New Roman"/>
                <w:color w:val="FF0000"/>
              </w:rPr>
            </w:pPr>
          </w:p>
          <w:p>
            <w:pPr>
              <w:pStyle w:val="2"/>
              <w:rPr>
                <w:rFonts w:hint="default" w:ascii="Times New Roman" w:hAnsi="Times New Roman" w:cs="Times New Roman"/>
                <w:color w:val="FF0000"/>
              </w:rPr>
            </w:pPr>
          </w:p>
        </w:tc>
      </w:tr>
    </w:tbl>
    <w:p>
      <w:pPr>
        <w:pStyle w:val="14"/>
        <w:pageBreakBefore/>
        <w:widowControl w:val="0"/>
        <w:spacing w:before="0" w:line="360" w:lineRule="auto"/>
        <w:rPr>
          <w:rFonts w:hint="default" w:ascii="Times New Roman" w:hAnsi="Times New Roman" w:cs="Times New Roman"/>
          <w:color w:val="auto"/>
        </w:rPr>
      </w:pPr>
      <w:bookmarkStart w:id="10" w:name="_Toc514773523"/>
      <w:bookmarkStart w:id="11" w:name="_Toc472601262"/>
      <w:r>
        <w:rPr>
          <w:rFonts w:hint="default" w:ascii="Times New Roman" w:hAnsi="Times New Roman" w:cs="Times New Roman"/>
          <w:color w:val="auto"/>
        </w:rPr>
        <w:t>六、项目</w:t>
      </w:r>
      <w:r>
        <w:rPr>
          <w:rFonts w:hint="default" w:ascii="Times New Roman" w:hAnsi="Times New Roman" w:eastAsia="宋体" w:cs="Times New Roman"/>
          <w:bCs w:val="0"/>
          <w:color w:val="auto"/>
          <w:kern w:val="44"/>
          <w:sz w:val="30"/>
          <w:szCs w:val="20"/>
        </w:rPr>
        <w:t>主要</w:t>
      </w:r>
      <w:r>
        <w:rPr>
          <w:rFonts w:hint="default" w:ascii="Times New Roman" w:hAnsi="Times New Roman" w:cs="Times New Roman"/>
          <w:color w:val="auto"/>
        </w:rPr>
        <w:t>污染物产生及预计排放情况</w:t>
      </w:r>
      <w:bookmarkEnd w:id="10"/>
      <w:bookmarkEnd w:id="11"/>
    </w:p>
    <w:tbl>
      <w:tblPr>
        <w:tblStyle w:val="43"/>
        <w:tblW w:w="1014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35"/>
        <w:gridCol w:w="1906"/>
        <w:gridCol w:w="870"/>
        <w:gridCol w:w="936"/>
        <w:gridCol w:w="1554"/>
        <w:gridCol w:w="1101"/>
        <w:gridCol w:w="1599"/>
        <w:gridCol w:w="143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35" w:type="dxa"/>
            <w:tcBorders>
              <w:bottom w:val="single" w:color="auto" w:sz="4" w:space="0"/>
              <w:tl2br w:val="single" w:color="000000" w:sz="6" w:space="0"/>
            </w:tcBorders>
          </w:tcPr>
          <w:p>
            <w:pPr>
              <w:widowControl w:val="0"/>
              <w:topLinePunct w:val="0"/>
              <w:autoSpaceDE/>
              <w:autoSpaceDN/>
              <w:adjustRightInd/>
              <w:jc w:val="right"/>
              <w:textAlignment w:val="auto"/>
              <w:rPr>
                <w:rFonts w:ascii="Times New Roman" w:hAnsi="Times New Roman" w:eastAsia="宋体" w:cs="Times New Roman"/>
                <w:color w:val="auto"/>
                <w:kern w:val="2"/>
                <w:position w:val="0"/>
                <w:sz w:val="24"/>
                <w:szCs w:val="24"/>
                <w:highlight w:val="none"/>
                <w:lang w:val="en-US" w:eastAsia="zh-CN" w:bidi="ar-SA"/>
              </w:rPr>
            </w:pPr>
            <w:r>
              <w:rPr>
                <w:rFonts w:ascii="Times New Roman" w:hAnsi="Times New Roman" w:eastAsia="宋体" w:cs="Times New Roman"/>
                <w:color w:val="auto"/>
                <w:kern w:val="2"/>
                <w:position w:val="0"/>
                <w:sz w:val="24"/>
                <w:szCs w:val="24"/>
                <w:highlight w:val="none"/>
                <w:lang w:val="en-US" w:eastAsia="zh-CN" w:bidi="ar-SA"/>
              </w:rPr>
              <w:t>内容</w:t>
            </w:r>
          </w:p>
          <w:p>
            <w:pPr>
              <w:widowControl w:val="0"/>
              <w:spacing w:after="0" w:line="240" w:lineRule="auto"/>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类型</w:t>
            </w:r>
          </w:p>
        </w:tc>
        <w:tc>
          <w:tcPr>
            <w:tcW w:w="1906" w:type="dxa"/>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排放源</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(编号)</w:t>
            </w:r>
          </w:p>
        </w:tc>
        <w:tc>
          <w:tcPr>
            <w:tcW w:w="1806" w:type="dxa"/>
            <w:gridSpan w:val="2"/>
            <w:tcBorders>
              <w:right w:val="single" w:color="auto" w:sz="4" w:space="0"/>
            </w:tcBorders>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4"/>
                <w:szCs w:val="24"/>
                <w:highlight w:val="none"/>
                <w:lang w:val="en-US" w:eastAsia="zh-CN" w:bidi="ar-SA"/>
              </w:rPr>
            </w:pPr>
            <w:r>
              <w:rPr>
                <w:rFonts w:ascii="Times New Roman" w:hAnsi="Times New Roman" w:eastAsia="宋体" w:cs="Times New Roman"/>
                <w:color w:val="auto"/>
                <w:kern w:val="24"/>
                <w:position w:val="0"/>
                <w:sz w:val="24"/>
                <w:szCs w:val="24"/>
                <w:highlight w:val="none"/>
                <w:lang w:val="en-US" w:eastAsia="zh-CN" w:bidi="ar-SA"/>
              </w:rPr>
              <w:t>污染物名称</w:t>
            </w:r>
          </w:p>
        </w:tc>
        <w:tc>
          <w:tcPr>
            <w:tcW w:w="2655" w:type="dxa"/>
            <w:gridSpan w:val="2"/>
            <w:tcBorders>
              <w:lef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处理前产生浓度及</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产生量(单位)</w:t>
            </w:r>
          </w:p>
        </w:tc>
        <w:tc>
          <w:tcPr>
            <w:tcW w:w="3038" w:type="dxa"/>
            <w:gridSpan w:val="2"/>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排放浓度及排放量</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27" w:hRule="atLeast"/>
          <w:jc w:val="center"/>
        </w:trPr>
        <w:tc>
          <w:tcPr>
            <w:tcW w:w="735" w:type="dxa"/>
            <w:vMerge w:val="restart"/>
            <w:tcBorders>
              <w:top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大</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气</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污</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染</w:t>
            </w:r>
          </w:p>
          <w:p>
            <w:pPr>
              <w:widowControl w:val="0"/>
              <w:spacing w:after="0" w:line="240" w:lineRule="auto"/>
              <w:jc w:val="center"/>
              <w:rPr>
                <w:rFonts w:ascii="Times New Roman" w:hAnsi="Times New Roman" w:eastAsia="宋体" w:cs="Times New Roman"/>
                <w:color w:val="FF0000"/>
                <w:kern w:val="2"/>
                <w:sz w:val="24"/>
                <w:szCs w:val="24"/>
                <w:highlight w:val="none"/>
              </w:rPr>
            </w:pPr>
            <w:r>
              <w:rPr>
                <w:rFonts w:ascii="Times New Roman" w:hAnsi="Times New Roman" w:eastAsia="宋体" w:cs="Times New Roman"/>
                <w:color w:val="auto"/>
                <w:kern w:val="2"/>
                <w:sz w:val="24"/>
                <w:szCs w:val="24"/>
                <w:highlight w:val="none"/>
              </w:rPr>
              <w:t>物</w:t>
            </w:r>
          </w:p>
        </w:tc>
        <w:tc>
          <w:tcPr>
            <w:tcW w:w="1906" w:type="dxa"/>
            <w:tcBorders>
              <w:top w:val="single" w:color="auto" w:sz="4" w:space="0"/>
              <w:bottom w:val="single" w:color="auto" w:sz="4" w:space="0"/>
              <w:right w:val="single" w:color="auto" w:sz="4" w:space="0"/>
            </w:tcBorders>
            <w:shd w:val="clear" w:color="auto" w:fill="auto"/>
            <w:vAlign w:val="center"/>
          </w:tcPr>
          <w:p>
            <w:pPr>
              <w:widowControl w:val="0"/>
              <w:spacing w:after="0" w:line="240" w:lineRule="auto"/>
              <w:jc w:val="center"/>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开料、机加工工序</w:t>
            </w:r>
          </w:p>
        </w:tc>
        <w:tc>
          <w:tcPr>
            <w:tcW w:w="1806"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eastAsia="zh-CN"/>
              </w:rPr>
            </w:pPr>
            <w:r>
              <w:rPr>
                <w:rFonts w:hint="eastAsia" w:ascii="Times New Roman" w:hAnsi="Times New Roman" w:eastAsia="宋体" w:cs="Times New Roman"/>
                <w:color w:val="auto"/>
                <w:kern w:val="2"/>
                <w:sz w:val="24"/>
                <w:szCs w:val="24"/>
                <w:highlight w:val="none"/>
                <w:lang w:eastAsia="zh-CN"/>
              </w:rPr>
              <w:t>粉尘</w:t>
            </w:r>
          </w:p>
        </w:tc>
        <w:tc>
          <w:tcPr>
            <w:tcW w:w="2655"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无组织排放，0.025t/a</w:t>
            </w:r>
          </w:p>
        </w:tc>
        <w:tc>
          <w:tcPr>
            <w:tcW w:w="3038" w:type="dxa"/>
            <w:gridSpan w:val="2"/>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无组织排放，0.025t/a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3"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p>
        </w:tc>
        <w:tc>
          <w:tcPr>
            <w:tcW w:w="1906" w:type="dxa"/>
            <w:vMerge w:val="restart"/>
            <w:tcBorders>
              <w:top w:val="single" w:color="auto" w:sz="4" w:space="0"/>
              <w:right w:val="single" w:color="auto" w:sz="4" w:space="0"/>
            </w:tcBorders>
            <w:shd w:val="clear" w:color="auto" w:fill="auto"/>
            <w:vAlign w:val="center"/>
          </w:tcPr>
          <w:p>
            <w:pPr>
              <w:widowControl w:val="0"/>
              <w:spacing w:after="0" w:line="240" w:lineRule="auto"/>
              <w:jc w:val="center"/>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红冲</w:t>
            </w:r>
            <w:r>
              <w:rPr>
                <w:rFonts w:ascii="Times New Roman" w:hAnsi="Times New Roman" w:eastAsia="宋体" w:cs="Times New Roman"/>
                <w:color w:val="auto"/>
                <w:kern w:val="2"/>
                <w:sz w:val="24"/>
                <w:szCs w:val="24"/>
                <w:highlight w:val="none"/>
                <w:lang w:val="en-US" w:eastAsia="zh-CN"/>
              </w:rPr>
              <w:t>工序</w:t>
            </w:r>
          </w:p>
          <w:p>
            <w:pPr>
              <w:widowControl w:val="0"/>
              <w:spacing w:after="0" w:line="240" w:lineRule="auto"/>
              <w:jc w:val="center"/>
              <w:rPr>
                <w:rFonts w:hint="eastAsia" w:ascii="Times New Roman" w:hAnsi="Times New Roman" w:eastAsia="宋体" w:cs="Times New Roman"/>
                <w:color w:val="FF0000"/>
                <w:kern w:val="24"/>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rPr>
              <w:t>4560</w:t>
            </w:r>
            <w:r>
              <w:rPr>
                <w:rFonts w:ascii="Times New Roman" w:hAnsi="Times New Roman" w:eastAsia="宋体" w:cs="Times New Roman"/>
                <w:color w:val="auto"/>
                <w:kern w:val="2"/>
                <w:sz w:val="24"/>
                <w:szCs w:val="24"/>
                <w:highlight w:val="none"/>
                <w:lang w:val="en-US" w:eastAsia="zh-CN"/>
              </w:rPr>
              <w:t>×104m</w:t>
            </w:r>
            <w:r>
              <w:rPr>
                <w:rFonts w:ascii="Times New Roman" w:hAnsi="Times New Roman" w:eastAsia="宋体" w:cs="Times New Roman"/>
                <w:color w:val="auto"/>
                <w:kern w:val="2"/>
                <w:sz w:val="24"/>
                <w:szCs w:val="24"/>
                <w:highlight w:val="none"/>
                <w:vertAlign w:val="superscript"/>
                <w:lang w:val="en-US" w:eastAsia="zh-CN"/>
              </w:rPr>
              <w:t>3</w:t>
            </w:r>
            <w:r>
              <w:rPr>
                <w:rFonts w:ascii="Times New Roman" w:hAnsi="Times New Roman" w:eastAsia="宋体" w:cs="Times New Roman"/>
                <w:color w:val="auto"/>
                <w:kern w:val="2"/>
                <w:sz w:val="24"/>
                <w:szCs w:val="24"/>
                <w:highlight w:val="none"/>
                <w:lang w:val="en-US" w:eastAsia="zh-CN"/>
              </w:rPr>
              <w:t>/a</w:t>
            </w:r>
          </w:p>
        </w:tc>
        <w:tc>
          <w:tcPr>
            <w:tcW w:w="870" w:type="dxa"/>
            <w:vMerge w:val="restart"/>
            <w:tcBorders>
              <w:top w:val="single" w:color="auto" w:sz="4" w:space="0"/>
              <w:left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非甲烷总烃</w:t>
            </w:r>
          </w:p>
        </w:tc>
        <w:tc>
          <w:tcPr>
            <w:tcW w:w="93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有组织</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3.509</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0.16t</w:t>
            </w:r>
            <w:r>
              <w:rPr>
                <w:rFonts w:ascii="Times New Roman" w:hAnsi="Times New Roman" w:eastAsia="宋体" w:cs="Times New Roman"/>
                <w:color w:val="auto"/>
                <w:kern w:val="2"/>
                <w:sz w:val="24"/>
                <w:szCs w:val="24"/>
                <w:highlight w:val="none"/>
                <w:lang w:val="en-US" w:eastAsia="zh-CN"/>
              </w:rPr>
              <w:t>/a</w:t>
            </w:r>
          </w:p>
        </w:tc>
        <w:tc>
          <w:tcPr>
            <w:tcW w:w="1599" w:type="dxa"/>
            <w:tcBorders>
              <w:top w:val="single" w:color="auto" w:sz="4" w:space="0"/>
              <w:left w:val="single" w:color="auto" w:sz="4" w:space="0"/>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0.702</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p>
        </w:tc>
        <w:tc>
          <w:tcPr>
            <w:tcW w:w="1439" w:type="dxa"/>
            <w:tcBorders>
              <w:top w:val="single" w:color="auto" w:sz="4" w:space="0"/>
              <w:left w:val="single" w:color="auto" w:sz="4" w:space="0"/>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0.032t</w:t>
            </w:r>
            <w:r>
              <w:rPr>
                <w:rFonts w:ascii="Times New Roman" w:hAnsi="Times New Roman" w:eastAsia="宋体" w:cs="Times New Roman"/>
                <w:color w:val="auto"/>
                <w:kern w:val="2"/>
                <w:sz w:val="24"/>
                <w:szCs w:val="24"/>
                <w:highlight w:val="none"/>
                <w:lang w:val="en-US" w:eastAsia="zh-CN"/>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24"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vMerge w:val="continue"/>
            <w:tcBorders>
              <w:right w:val="single" w:color="auto" w:sz="4" w:space="0"/>
            </w:tcBorders>
            <w:shd w:val="clear" w:color="auto" w:fill="auto"/>
            <w:vAlign w:val="center"/>
          </w:tcPr>
          <w:p>
            <w:pPr>
              <w:widowControl w:val="0"/>
              <w:autoSpaceDE w:val="0"/>
              <w:autoSpaceDN w:val="0"/>
              <w:adjustRightInd w:val="0"/>
              <w:jc w:val="center"/>
              <w:textAlignment w:val="baseline"/>
              <w:rPr>
                <w:rFonts w:ascii="Times New Roman" w:hAnsi="Times New Roman" w:eastAsia="宋体" w:cs="Times New Roman"/>
                <w:color w:val="FF0000"/>
                <w:kern w:val="2"/>
                <w:sz w:val="24"/>
                <w:szCs w:val="24"/>
                <w:highlight w:val="none"/>
                <w:lang w:val="en-US" w:eastAsia="zh-CN" w:bidi="ar-SA"/>
              </w:rPr>
            </w:pPr>
          </w:p>
        </w:tc>
        <w:tc>
          <w:tcPr>
            <w:tcW w:w="870" w:type="dxa"/>
            <w:vMerge w:val="continue"/>
            <w:tcBorders>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p>
        </w:tc>
        <w:tc>
          <w:tcPr>
            <w:tcW w:w="93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无组织</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0.04t/a</w:t>
            </w:r>
          </w:p>
        </w:tc>
        <w:tc>
          <w:tcPr>
            <w:tcW w:w="159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w:t>
            </w:r>
          </w:p>
        </w:tc>
        <w:tc>
          <w:tcPr>
            <w:tcW w:w="143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0.04t/a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9"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vMerge w:val="restart"/>
            <w:tcBorders>
              <w:right w:val="single" w:color="auto" w:sz="4" w:space="0"/>
            </w:tcBorders>
            <w:shd w:val="clear" w:color="auto" w:fill="auto"/>
            <w:vAlign w:val="center"/>
          </w:tcPr>
          <w:p>
            <w:pPr>
              <w:widowControl w:val="0"/>
              <w:autoSpaceDE w:val="0"/>
              <w:autoSpaceDN w:val="0"/>
              <w:adjustRightInd w:val="0"/>
              <w:jc w:val="center"/>
              <w:textAlignment w:val="baseline"/>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4"/>
                <w:sz w:val="24"/>
                <w:szCs w:val="24"/>
                <w:highlight w:val="none"/>
                <w:lang w:val="en-US" w:eastAsia="zh-CN" w:bidi="ar-SA"/>
              </w:rPr>
              <w:t>燃料废气</w:t>
            </w:r>
            <w:r>
              <w:rPr>
                <w:rFonts w:hint="eastAsia" w:ascii="Times New Roman" w:hAnsi="Times New Roman" w:eastAsia="宋体" w:cs="Times New Roman"/>
                <w:color w:val="auto"/>
                <w:kern w:val="24"/>
                <w:sz w:val="24"/>
                <w:szCs w:val="24"/>
                <w:highlight w:val="none"/>
                <w:lang w:val="en-US" w:eastAsia="zh-CN" w:bidi="ar-SA"/>
              </w:rPr>
              <w:t>68.13</w:t>
            </w:r>
            <w:r>
              <w:rPr>
                <w:rFonts w:ascii="Times New Roman" w:hAnsi="Times New Roman" w:eastAsia="宋体" w:cs="Times New Roman"/>
                <w:color w:val="auto"/>
                <w:kern w:val="24"/>
                <w:sz w:val="24"/>
                <w:szCs w:val="24"/>
                <w:highlight w:val="none"/>
                <w:lang w:val="en-US" w:eastAsia="zh-CN" w:bidi="ar-SA"/>
              </w:rPr>
              <w:t>×10</w:t>
            </w:r>
            <w:r>
              <w:rPr>
                <w:rFonts w:ascii="Times New Roman" w:hAnsi="Times New Roman" w:eastAsia="宋体" w:cs="Times New Roman"/>
                <w:color w:val="auto"/>
                <w:kern w:val="24"/>
                <w:sz w:val="24"/>
                <w:szCs w:val="24"/>
                <w:highlight w:val="none"/>
                <w:vertAlign w:val="superscript"/>
                <w:lang w:val="en-US" w:eastAsia="zh-CN" w:bidi="ar-SA"/>
              </w:rPr>
              <w:t>4</w:t>
            </w:r>
            <w:r>
              <w:rPr>
                <w:rFonts w:ascii="Times New Roman" w:hAnsi="Times New Roman" w:eastAsia="宋体" w:cs="Times New Roman"/>
                <w:color w:val="auto"/>
                <w:kern w:val="24"/>
                <w:sz w:val="24"/>
                <w:szCs w:val="24"/>
                <w:highlight w:val="none"/>
                <w:lang w:val="en-US" w:eastAsia="zh-CN" w:bidi="ar-SA"/>
              </w:rPr>
              <w:t>m</w:t>
            </w:r>
            <w:r>
              <w:rPr>
                <w:rFonts w:ascii="Times New Roman" w:hAnsi="Times New Roman" w:eastAsia="宋体" w:cs="Times New Roman"/>
                <w:color w:val="auto"/>
                <w:kern w:val="24"/>
                <w:sz w:val="24"/>
                <w:szCs w:val="24"/>
                <w:highlight w:val="none"/>
                <w:vertAlign w:val="superscript"/>
                <w:lang w:val="en-US" w:eastAsia="zh-CN" w:bidi="ar-SA"/>
              </w:rPr>
              <w:t>3</w:t>
            </w:r>
            <w:r>
              <w:rPr>
                <w:rFonts w:ascii="Times New Roman" w:hAnsi="Times New Roman" w:eastAsia="宋体" w:cs="Times New Roman"/>
                <w:color w:val="auto"/>
                <w:kern w:val="24"/>
                <w:sz w:val="24"/>
                <w:szCs w:val="24"/>
                <w:highlight w:val="none"/>
                <w:lang w:val="en-US" w:eastAsia="zh-CN" w:bidi="ar-SA"/>
              </w:rPr>
              <w:t>/a</w:t>
            </w:r>
          </w:p>
        </w:tc>
        <w:tc>
          <w:tcPr>
            <w:tcW w:w="1806" w:type="dxa"/>
            <w:gridSpan w:val="2"/>
            <w:tcBorders>
              <w:left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Impact" w:eastAsia="宋体" w:cs="Times New Roman"/>
                <w:color w:val="auto"/>
                <w:kern w:val="24"/>
                <w:sz w:val="24"/>
                <w:szCs w:val="24"/>
                <w:highlight w:val="none"/>
              </w:rPr>
              <w:t>SO</w:t>
            </w:r>
            <w:r>
              <w:rPr>
                <w:rFonts w:hint="eastAsia" w:ascii="Times New Roman" w:hAnsi="Impact" w:eastAsia="宋体" w:cs="Times New Roman"/>
                <w:color w:val="auto"/>
                <w:kern w:val="24"/>
                <w:sz w:val="24"/>
                <w:szCs w:val="24"/>
                <w:highlight w:val="none"/>
                <w:vertAlign w:val="subscript"/>
              </w:rPr>
              <w:t>2</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29.356</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r>
              <w:rPr>
                <w:rFonts w:hint="default" w:ascii="Times New Roman" w:hAnsi="Times New Roman" w:eastAsia="宋体" w:cs="Times New Roman"/>
                <w:color w:val="auto"/>
                <w:kern w:val="2"/>
                <w:sz w:val="24"/>
                <w:szCs w:val="24"/>
                <w:lang w:val="en-US" w:eastAsia="zh-CN"/>
              </w:rPr>
              <w:t xml:space="preserve"> </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0.020</w:t>
            </w:r>
            <w:r>
              <w:rPr>
                <w:rFonts w:hint="eastAsia" w:ascii="Times New Roman" w:hAnsi="Times New Roman" w:eastAsia="宋体" w:cs="Times New Roman"/>
                <w:color w:val="auto"/>
                <w:kern w:val="2"/>
                <w:sz w:val="24"/>
                <w:szCs w:val="24"/>
                <w:highlight w:val="none"/>
                <w:lang w:val="en-US" w:eastAsia="zh-CN"/>
              </w:rPr>
              <w:t>t</w:t>
            </w:r>
            <w:r>
              <w:rPr>
                <w:rFonts w:ascii="Times New Roman" w:hAnsi="Times New Roman" w:eastAsia="宋体" w:cs="Times New Roman"/>
                <w:color w:val="auto"/>
                <w:kern w:val="2"/>
                <w:sz w:val="24"/>
                <w:szCs w:val="24"/>
                <w:highlight w:val="none"/>
                <w:lang w:val="en-US" w:eastAsia="zh-CN"/>
              </w:rPr>
              <w:t>/a</w:t>
            </w:r>
            <w:r>
              <w:rPr>
                <w:rFonts w:hint="default" w:ascii="Times New Roman" w:hAnsi="Times New Roman" w:eastAsia="宋体" w:cs="Times New Roman"/>
                <w:color w:val="auto"/>
                <w:kern w:val="2"/>
                <w:sz w:val="24"/>
                <w:szCs w:val="24"/>
                <w:lang w:val="en-US" w:eastAsia="zh-CN"/>
              </w:rPr>
              <w:t xml:space="preserve"> </w:t>
            </w:r>
          </w:p>
        </w:tc>
        <w:tc>
          <w:tcPr>
            <w:tcW w:w="159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29.356</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r>
              <w:rPr>
                <w:rFonts w:hint="default" w:ascii="Times New Roman" w:hAnsi="Times New Roman" w:eastAsia="宋体" w:cs="Times New Roman"/>
                <w:color w:val="auto"/>
                <w:kern w:val="2"/>
                <w:sz w:val="24"/>
                <w:szCs w:val="24"/>
                <w:lang w:val="en-US" w:eastAsia="zh-CN"/>
              </w:rPr>
              <w:t xml:space="preserve"> </w:t>
            </w:r>
          </w:p>
        </w:tc>
        <w:tc>
          <w:tcPr>
            <w:tcW w:w="143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0.020</w:t>
            </w:r>
            <w:r>
              <w:rPr>
                <w:rFonts w:hint="eastAsia" w:ascii="Times New Roman" w:hAnsi="Times New Roman" w:eastAsia="宋体" w:cs="Times New Roman"/>
                <w:color w:val="auto"/>
                <w:kern w:val="2"/>
                <w:sz w:val="24"/>
                <w:szCs w:val="24"/>
                <w:highlight w:val="none"/>
                <w:lang w:val="en-US" w:eastAsia="zh-CN"/>
              </w:rPr>
              <w:t>t</w:t>
            </w:r>
            <w:r>
              <w:rPr>
                <w:rFonts w:ascii="Times New Roman" w:hAnsi="Times New Roman" w:eastAsia="宋体" w:cs="Times New Roman"/>
                <w:color w:val="auto"/>
                <w:kern w:val="2"/>
                <w:sz w:val="24"/>
                <w:szCs w:val="24"/>
                <w:highlight w:val="none"/>
                <w:lang w:val="en-US" w:eastAsia="zh-CN"/>
              </w:rPr>
              <w:t>/a</w:t>
            </w:r>
            <w:r>
              <w:rPr>
                <w:rFonts w:hint="default" w:ascii="Times New Roman" w:hAnsi="Times New Roman" w:eastAsia="宋体" w:cs="Times New Roman"/>
                <w:color w:val="auto"/>
                <w:kern w:val="2"/>
                <w:sz w:val="24"/>
                <w:szCs w:val="24"/>
                <w:lang w:val="en-US" w:eastAsia="zh-CN"/>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89"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vMerge w:val="continue"/>
            <w:tcBorders>
              <w:right w:val="single" w:color="auto" w:sz="4" w:space="0"/>
            </w:tcBorders>
            <w:shd w:val="clear" w:color="auto" w:fill="auto"/>
            <w:vAlign w:val="center"/>
          </w:tcPr>
          <w:p>
            <w:pPr>
              <w:widowControl w:val="0"/>
              <w:autoSpaceDE w:val="0"/>
              <w:autoSpaceDN w:val="0"/>
              <w:adjustRightInd w:val="0"/>
              <w:jc w:val="center"/>
              <w:textAlignment w:val="baseline"/>
              <w:rPr>
                <w:rFonts w:ascii="Times New Roman" w:hAnsi="Times New Roman" w:eastAsia="宋体" w:cs="Times New Roman"/>
                <w:color w:val="auto"/>
                <w:kern w:val="2"/>
                <w:sz w:val="24"/>
                <w:szCs w:val="24"/>
                <w:highlight w:val="none"/>
                <w:lang w:val="en-US" w:eastAsia="zh-CN" w:bidi="ar-SA"/>
              </w:rPr>
            </w:pPr>
          </w:p>
        </w:tc>
        <w:tc>
          <w:tcPr>
            <w:tcW w:w="1806" w:type="dxa"/>
            <w:gridSpan w:val="2"/>
            <w:tcBorders>
              <w:left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Impact" w:eastAsia="宋体" w:cs="Times New Roman"/>
                <w:color w:val="auto"/>
                <w:kern w:val="24"/>
                <w:sz w:val="24"/>
                <w:szCs w:val="24"/>
                <w:highlight w:val="none"/>
              </w:rPr>
              <w:t>NO</w:t>
            </w:r>
            <w:r>
              <w:rPr>
                <w:rFonts w:hint="eastAsia" w:ascii="Times New Roman" w:hAnsi="Impact" w:eastAsia="宋体" w:cs="Times New Roman"/>
                <w:color w:val="auto"/>
                <w:kern w:val="24"/>
                <w:sz w:val="24"/>
                <w:szCs w:val="24"/>
                <w:highlight w:val="none"/>
                <w:vertAlign w:val="subscript"/>
              </w:rPr>
              <w:t>X</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46.235</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r>
              <w:rPr>
                <w:rFonts w:hint="default" w:ascii="Times New Roman" w:hAnsi="Times New Roman" w:eastAsia="宋体" w:cs="Times New Roman"/>
                <w:color w:val="auto"/>
                <w:kern w:val="2"/>
                <w:sz w:val="24"/>
                <w:szCs w:val="24"/>
                <w:lang w:val="en-US" w:eastAsia="zh-CN"/>
              </w:rPr>
              <w:t xml:space="preserve"> </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eastAsia" w:ascii="Times New Roman" w:hAnsi="Times New Roman" w:eastAsia="宋体" w:cs="Times New Roman"/>
                <w:color w:val="auto"/>
                <w:kern w:val="2"/>
                <w:sz w:val="24"/>
                <w:szCs w:val="24"/>
                <w:lang w:val="en-US" w:eastAsia="zh-CN"/>
              </w:rPr>
              <w:t>0.032</w:t>
            </w:r>
            <w:r>
              <w:rPr>
                <w:rFonts w:hint="eastAsia" w:ascii="Times New Roman" w:hAnsi="Times New Roman" w:eastAsia="宋体" w:cs="Times New Roman"/>
                <w:color w:val="auto"/>
                <w:kern w:val="2"/>
                <w:sz w:val="24"/>
                <w:szCs w:val="24"/>
                <w:highlight w:val="none"/>
                <w:lang w:val="en-US" w:eastAsia="zh-CN"/>
              </w:rPr>
              <w:t>t</w:t>
            </w:r>
            <w:r>
              <w:rPr>
                <w:rFonts w:ascii="Times New Roman" w:hAnsi="Times New Roman" w:eastAsia="宋体" w:cs="Times New Roman"/>
                <w:color w:val="auto"/>
                <w:kern w:val="2"/>
                <w:sz w:val="24"/>
                <w:szCs w:val="24"/>
                <w:highlight w:val="none"/>
                <w:lang w:val="en-US" w:eastAsia="zh-CN"/>
              </w:rPr>
              <w:t>/a</w:t>
            </w:r>
          </w:p>
        </w:tc>
        <w:tc>
          <w:tcPr>
            <w:tcW w:w="159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46.235</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r>
              <w:rPr>
                <w:rFonts w:hint="default" w:ascii="Times New Roman" w:hAnsi="Times New Roman" w:eastAsia="宋体" w:cs="Times New Roman"/>
                <w:color w:val="auto"/>
                <w:kern w:val="2"/>
                <w:sz w:val="24"/>
                <w:szCs w:val="24"/>
                <w:lang w:val="en-US" w:eastAsia="zh-CN"/>
              </w:rPr>
              <w:t xml:space="preserve"> </w:t>
            </w:r>
          </w:p>
        </w:tc>
        <w:tc>
          <w:tcPr>
            <w:tcW w:w="143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eastAsia" w:ascii="Times New Roman" w:hAnsi="Times New Roman" w:eastAsia="宋体" w:cs="Times New Roman"/>
                <w:color w:val="auto"/>
                <w:kern w:val="2"/>
                <w:sz w:val="24"/>
                <w:szCs w:val="24"/>
                <w:lang w:val="en-US" w:eastAsia="zh-CN"/>
              </w:rPr>
              <w:t>0.032</w:t>
            </w:r>
            <w:r>
              <w:rPr>
                <w:rFonts w:hint="eastAsia" w:ascii="Times New Roman" w:hAnsi="Times New Roman" w:eastAsia="宋体" w:cs="Times New Roman"/>
                <w:color w:val="auto"/>
                <w:kern w:val="2"/>
                <w:sz w:val="24"/>
                <w:szCs w:val="24"/>
                <w:highlight w:val="none"/>
                <w:lang w:val="en-US" w:eastAsia="zh-CN"/>
              </w:rPr>
              <w:t>t</w:t>
            </w:r>
            <w:r>
              <w:rPr>
                <w:rFonts w:ascii="Times New Roman" w:hAnsi="Times New Roman" w:eastAsia="宋体" w:cs="Times New Roman"/>
                <w:color w:val="auto"/>
                <w:kern w:val="2"/>
                <w:sz w:val="24"/>
                <w:szCs w:val="24"/>
                <w:highlight w:val="none"/>
                <w:lang w:val="en-US" w:eastAsia="zh-CN"/>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94"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vMerge w:val="continue"/>
            <w:tcBorders>
              <w:right w:val="single" w:color="auto" w:sz="4" w:space="0"/>
            </w:tcBorders>
            <w:shd w:val="clear" w:color="auto" w:fill="auto"/>
            <w:vAlign w:val="center"/>
          </w:tcPr>
          <w:p>
            <w:pPr>
              <w:widowControl w:val="0"/>
              <w:autoSpaceDE w:val="0"/>
              <w:autoSpaceDN w:val="0"/>
              <w:adjustRightInd w:val="0"/>
              <w:jc w:val="center"/>
              <w:textAlignment w:val="baseline"/>
              <w:rPr>
                <w:rFonts w:ascii="Times New Roman" w:hAnsi="Times New Roman" w:eastAsia="宋体" w:cs="Times New Roman"/>
                <w:color w:val="auto"/>
                <w:kern w:val="2"/>
                <w:sz w:val="24"/>
                <w:szCs w:val="24"/>
                <w:highlight w:val="none"/>
                <w:lang w:val="en-US" w:eastAsia="zh-CN" w:bidi="ar-SA"/>
              </w:rPr>
            </w:pPr>
          </w:p>
        </w:tc>
        <w:tc>
          <w:tcPr>
            <w:tcW w:w="1806" w:type="dxa"/>
            <w:gridSpan w:val="2"/>
            <w:tcBorders>
              <w:left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Impact" w:eastAsia="宋体" w:cs="Times New Roman"/>
                <w:color w:val="auto"/>
                <w:kern w:val="24"/>
                <w:sz w:val="24"/>
                <w:szCs w:val="24"/>
                <w:highlight w:val="none"/>
              </w:rPr>
              <w:t>烟尘</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17.613</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r>
              <w:rPr>
                <w:rFonts w:hint="default" w:ascii="Times New Roman" w:hAnsi="Times New Roman" w:eastAsia="宋体" w:cs="Times New Roman"/>
                <w:color w:val="auto"/>
                <w:kern w:val="2"/>
                <w:sz w:val="24"/>
                <w:szCs w:val="24"/>
                <w:lang w:val="en-US" w:eastAsia="zh-CN"/>
              </w:rPr>
              <w:t xml:space="preserve"> </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0.012</w:t>
            </w:r>
            <w:r>
              <w:rPr>
                <w:rFonts w:hint="eastAsia" w:ascii="Times New Roman" w:hAnsi="Times New Roman" w:eastAsia="宋体" w:cs="Times New Roman"/>
                <w:color w:val="auto"/>
                <w:kern w:val="2"/>
                <w:sz w:val="24"/>
                <w:szCs w:val="24"/>
                <w:highlight w:val="none"/>
                <w:lang w:val="en-US" w:eastAsia="zh-CN"/>
              </w:rPr>
              <w:t>t</w:t>
            </w:r>
            <w:r>
              <w:rPr>
                <w:rFonts w:ascii="Times New Roman" w:hAnsi="Times New Roman" w:eastAsia="宋体" w:cs="Times New Roman"/>
                <w:color w:val="auto"/>
                <w:kern w:val="2"/>
                <w:sz w:val="24"/>
                <w:szCs w:val="24"/>
                <w:highlight w:val="none"/>
                <w:lang w:val="en-US" w:eastAsia="zh-CN"/>
              </w:rPr>
              <w:t>/a</w:t>
            </w:r>
          </w:p>
        </w:tc>
        <w:tc>
          <w:tcPr>
            <w:tcW w:w="159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17.613</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r>
              <w:rPr>
                <w:rFonts w:hint="default" w:ascii="Times New Roman" w:hAnsi="Times New Roman" w:eastAsia="宋体" w:cs="Times New Roman"/>
                <w:color w:val="auto"/>
                <w:kern w:val="2"/>
                <w:sz w:val="24"/>
                <w:szCs w:val="24"/>
                <w:lang w:val="en-US" w:eastAsia="zh-CN"/>
              </w:rPr>
              <w:t xml:space="preserve"> </w:t>
            </w:r>
          </w:p>
        </w:tc>
        <w:tc>
          <w:tcPr>
            <w:tcW w:w="143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lang w:val="en-US" w:eastAsia="zh-CN"/>
              </w:rPr>
              <w:t>0.012</w:t>
            </w:r>
            <w:r>
              <w:rPr>
                <w:rFonts w:hint="eastAsia" w:ascii="Times New Roman" w:hAnsi="Times New Roman" w:eastAsia="宋体" w:cs="Times New Roman"/>
                <w:color w:val="auto"/>
                <w:kern w:val="2"/>
                <w:sz w:val="24"/>
                <w:szCs w:val="24"/>
                <w:highlight w:val="none"/>
                <w:lang w:val="en-US" w:eastAsia="zh-CN"/>
              </w:rPr>
              <w:t>t</w:t>
            </w:r>
            <w:r>
              <w:rPr>
                <w:rFonts w:ascii="Times New Roman" w:hAnsi="Times New Roman" w:eastAsia="宋体" w:cs="Times New Roman"/>
                <w:color w:val="auto"/>
                <w:kern w:val="2"/>
                <w:sz w:val="24"/>
                <w:szCs w:val="24"/>
                <w:highlight w:val="none"/>
                <w:lang w:val="en-US" w:eastAsia="zh-CN"/>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79"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vMerge w:val="restart"/>
            <w:tcBorders>
              <w:right w:val="single" w:color="auto" w:sz="4" w:space="0"/>
            </w:tcBorders>
            <w:shd w:val="clear" w:color="auto" w:fill="auto"/>
            <w:vAlign w:val="center"/>
          </w:tcPr>
          <w:p>
            <w:pPr>
              <w:widowControl w:val="0"/>
              <w:autoSpaceDE w:val="0"/>
              <w:autoSpaceDN w:val="0"/>
              <w:adjustRightInd w:val="0"/>
              <w:jc w:val="center"/>
              <w:textAlignment w:val="baseline"/>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4"/>
                <w:sz w:val="24"/>
                <w:szCs w:val="24"/>
                <w:highlight w:val="none"/>
                <w:lang w:val="en-US" w:eastAsia="zh-CN" w:bidi="ar-SA"/>
              </w:rPr>
              <w:t>抛光工序3360</w:t>
            </w:r>
            <w:r>
              <w:rPr>
                <w:rFonts w:ascii="Times New Roman" w:hAnsi="Times New Roman" w:eastAsia="宋体" w:cs="Times New Roman"/>
                <w:color w:val="auto"/>
                <w:kern w:val="24"/>
                <w:sz w:val="24"/>
                <w:szCs w:val="24"/>
                <w:highlight w:val="none"/>
                <w:lang w:val="en-US" w:eastAsia="zh-CN" w:bidi="ar-SA"/>
              </w:rPr>
              <w:t>×10</w:t>
            </w:r>
            <w:r>
              <w:rPr>
                <w:rFonts w:ascii="Times New Roman" w:hAnsi="Times New Roman" w:eastAsia="宋体" w:cs="Times New Roman"/>
                <w:color w:val="auto"/>
                <w:kern w:val="24"/>
                <w:sz w:val="24"/>
                <w:szCs w:val="24"/>
                <w:highlight w:val="none"/>
                <w:vertAlign w:val="superscript"/>
                <w:lang w:val="en-US" w:eastAsia="zh-CN" w:bidi="ar-SA"/>
              </w:rPr>
              <w:t>4</w:t>
            </w:r>
            <w:r>
              <w:rPr>
                <w:rFonts w:ascii="Times New Roman" w:hAnsi="Times New Roman" w:eastAsia="宋体" w:cs="Times New Roman"/>
                <w:color w:val="auto"/>
                <w:kern w:val="24"/>
                <w:sz w:val="24"/>
                <w:szCs w:val="24"/>
                <w:highlight w:val="none"/>
                <w:lang w:val="en-US" w:eastAsia="zh-CN" w:bidi="ar-SA"/>
              </w:rPr>
              <w:t>m</w:t>
            </w:r>
            <w:r>
              <w:rPr>
                <w:rFonts w:ascii="Times New Roman" w:hAnsi="Times New Roman" w:eastAsia="宋体" w:cs="Times New Roman"/>
                <w:color w:val="auto"/>
                <w:kern w:val="24"/>
                <w:sz w:val="24"/>
                <w:szCs w:val="24"/>
                <w:highlight w:val="none"/>
                <w:vertAlign w:val="superscript"/>
                <w:lang w:val="en-US" w:eastAsia="zh-CN" w:bidi="ar-SA"/>
              </w:rPr>
              <w:t>3</w:t>
            </w:r>
            <w:r>
              <w:rPr>
                <w:rFonts w:ascii="Times New Roman" w:hAnsi="Times New Roman" w:eastAsia="宋体" w:cs="Times New Roman"/>
                <w:color w:val="auto"/>
                <w:kern w:val="24"/>
                <w:sz w:val="24"/>
                <w:szCs w:val="24"/>
                <w:highlight w:val="none"/>
                <w:lang w:val="en-US" w:eastAsia="zh-CN" w:bidi="ar-SA"/>
              </w:rPr>
              <w:t>/a</w:t>
            </w:r>
          </w:p>
        </w:tc>
        <w:tc>
          <w:tcPr>
            <w:tcW w:w="870" w:type="dxa"/>
            <w:vMerge w:val="restart"/>
            <w:tcBorders>
              <w:left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粉尘</w:t>
            </w:r>
          </w:p>
        </w:tc>
        <w:tc>
          <w:tcPr>
            <w:tcW w:w="93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有组织</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9.048</w:t>
            </w:r>
            <w:r>
              <w:rPr>
                <w:rFonts w:ascii="Times New Roman" w:hAnsi="Times New Roman" w:eastAsia="宋体" w:cs="Times New Roman"/>
                <w:color w:val="auto"/>
                <w:kern w:val="2"/>
                <w:sz w:val="24"/>
                <w:szCs w:val="24"/>
                <w:highlight w:val="none"/>
                <w:lang w:val="en-US" w:eastAsia="zh-CN"/>
              </w:rPr>
              <w:t>mg/</w:t>
            </w:r>
            <w:r>
              <w:rPr>
                <w:rFonts w:hint="eastAsia" w:ascii="Times New Roman" w:hAnsi="Times New Roman" w:eastAsia="宋体" w:cs="Times New Roman"/>
                <w:color w:val="auto"/>
                <w:kern w:val="2"/>
                <w:sz w:val="24"/>
                <w:szCs w:val="24"/>
                <w:highlight w:val="none"/>
                <w:lang w:val="en-US" w:eastAsia="zh-CN"/>
              </w:rPr>
              <w:t>m</w:t>
            </w:r>
            <w:r>
              <w:rPr>
                <w:rFonts w:hint="eastAsia" w:ascii="Times New Roman" w:hAnsi="Times New Roman" w:eastAsia="宋体" w:cs="Times New Roman"/>
                <w:color w:val="auto"/>
                <w:kern w:val="2"/>
                <w:sz w:val="24"/>
                <w:szCs w:val="24"/>
                <w:highlight w:val="none"/>
                <w:vertAlign w:val="superscript"/>
                <w:lang w:val="en-US" w:eastAsia="zh-CN"/>
              </w:rPr>
              <w:t>3</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0.304t</w:t>
            </w:r>
            <w:r>
              <w:rPr>
                <w:rFonts w:ascii="Times New Roman" w:hAnsi="Times New Roman" w:eastAsia="宋体" w:cs="Times New Roman"/>
                <w:color w:val="auto"/>
                <w:kern w:val="2"/>
                <w:sz w:val="24"/>
                <w:szCs w:val="24"/>
                <w:highlight w:val="none"/>
                <w:lang w:val="en-US" w:eastAsia="zh-CN"/>
              </w:rPr>
              <w:t>/a</w:t>
            </w:r>
          </w:p>
        </w:tc>
        <w:tc>
          <w:tcPr>
            <w:tcW w:w="159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0.090</w:t>
            </w:r>
            <w:r>
              <w:rPr>
                <w:rFonts w:ascii="Times New Roman" w:hAnsi="Times New Roman" w:eastAsia="宋体" w:cs="Times New Roman"/>
                <w:color w:val="auto"/>
                <w:kern w:val="2"/>
                <w:sz w:val="24"/>
                <w:szCs w:val="24"/>
                <w:highlight w:val="none"/>
                <w:lang w:val="en-US" w:eastAsia="zh-CN"/>
              </w:rPr>
              <w:t>mg/m</w:t>
            </w:r>
            <w:r>
              <w:rPr>
                <w:rFonts w:ascii="Times New Roman" w:hAnsi="Times New Roman" w:eastAsia="宋体" w:cs="Times New Roman"/>
                <w:color w:val="auto"/>
                <w:kern w:val="2"/>
                <w:sz w:val="24"/>
                <w:szCs w:val="24"/>
                <w:highlight w:val="none"/>
                <w:vertAlign w:val="superscript"/>
                <w:lang w:val="en-US" w:eastAsia="zh-CN"/>
              </w:rPr>
              <w:t>3</w:t>
            </w:r>
          </w:p>
        </w:tc>
        <w:tc>
          <w:tcPr>
            <w:tcW w:w="143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0.003t</w:t>
            </w:r>
            <w:r>
              <w:rPr>
                <w:rFonts w:ascii="Times New Roman" w:hAnsi="Times New Roman" w:eastAsia="宋体" w:cs="Times New Roman"/>
                <w:color w:val="auto"/>
                <w:kern w:val="2"/>
                <w:sz w:val="24"/>
                <w:szCs w:val="24"/>
                <w:highlight w:val="none"/>
                <w:lang w:val="en-US" w:eastAsia="zh-CN"/>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9"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vMerge w:val="continue"/>
            <w:tcBorders>
              <w:right w:val="single" w:color="auto" w:sz="4" w:space="0"/>
            </w:tcBorders>
            <w:shd w:val="clear" w:color="auto" w:fill="auto"/>
            <w:vAlign w:val="center"/>
          </w:tcPr>
          <w:p>
            <w:pPr>
              <w:widowControl w:val="0"/>
              <w:autoSpaceDE w:val="0"/>
              <w:autoSpaceDN w:val="0"/>
              <w:adjustRightInd w:val="0"/>
              <w:jc w:val="center"/>
              <w:textAlignment w:val="baseline"/>
              <w:rPr>
                <w:rFonts w:ascii="Times New Roman" w:hAnsi="Times New Roman" w:eastAsia="宋体" w:cs="Times New Roman"/>
                <w:color w:val="auto"/>
                <w:kern w:val="2"/>
                <w:sz w:val="24"/>
                <w:szCs w:val="24"/>
                <w:highlight w:val="none"/>
                <w:lang w:val="en-US" w:eastAsia="zh-CN" w:bidi="ar-SA"/>
              </w:rPr>
            </w:pPr>
          </w:p>
        </w:tc>
        <w:tc>
          <w:tcPr>
            <w:tcW w:w="870" w:type="dxa"/>
            <w:vMerge w:val="continue"/>
            <w:tcBorders>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p>
        </w:tc>
        <w:tc>
          <w:tcPr>
            <w:tcW w:w="93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无组织</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0.076t/a</w:t>
            </w:r>
          </w:p>
        </w:tc>
        <w:tc>
          <w:tcPr>
            <w:tcW w:w="159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w:t>
            </w:r>
          </w:p>
        </w:tc>
        <w:tc>
          <w:tcPr>
            <w:tcW w:w="1439" w:type="dxa"/>
            <w:tcBorders>
              <w:top w:val="single" w:color="auto" w:sz="4" w:space="0"/>
              <w:left w:val="single" w:color="auto" w:sz="4" w:space="0"/>
              <w:bottom w:val="single" w:color="auto" w:sz="4" w:space="0"/>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0.076t/a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4" w:hRule="atLeast"/>
          <w:jc w:val="center"/>
        </w:trPr>
        <w:tc>
          <w:tcPr>
            <w:tcW w:w="735" w:type="dxa"/>
            <w:vMerge w:val="restart"/>
            <w:tcBorders>
              <w:top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水</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污</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染</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物</w:t>
            </w:r>
          </w:p>
        </w:tc>
        <w:tc>
          <w:tcPr>
            <w:tcW w:w="1906" w:type="dxa"/>
            <w:tcBorders>
              <w:top w:val="single" w:color="auto" w:sz="4" w:space="0"/>
              <w:bottom w:val="single" w:color="auto" w:sz="4" w:space="0"/>
              <w:right w:val="single" w:color="auto" w:sz="4" w:space="0"/>
            </w:tcBorders>
            <w:vAlign w:val="center"/>
          </w:tcPr>
          <w:p>
            <w:pPr>
              <w:widowControl w:val="0"/>
              <w:spacing w:after="0" w:line="240" w:lineRule="auto"/>
              <w:jc w:val="center"/>
              <w:rPr>
                <w:rFonts w:hint="default" w:ascii="Times New Roman" w:hAnsi="Times New Roman" w:eastAsia="宋体" w:cs="Times New Roman"/>
                <w:color w:val="auto"/>
                <w:spacing w:val="2"/>
                <w:kern w:val="2"/>
                <w:sz w:val="24"/>
                <w:szCs w:val="20"/>
                <w:lang w:val="en-US" w:eastAsia="zh-CN"/>
              </w:rPr>
            </w:pPr>
            <w:r>
              <w:rPr>
                <w:rFonts w:hint="eastAsia" w:ascii="Times New Roman" w:hAnsi="Times New Roman" w:eastAsia="宋体" w:cs="Times New Roman"/>
                <w:color w:val="auto"/>
                <w:spacing w:val="2"/>
                <w:kern w:val="2"/>
                <w:sz w:val="24"/>
                <w:szCs w:val="20"/>
                <w:lang w:val="en-US" w:eastAsia="zh-CN"/>
              </w:rPr>
              <w:t>测试用水</w:t>
            </w:r>
          </w:p>
        </w:tc>
        <w:tc>
          <w:tcPr>
            <w:tcW w:w="7499" w:type="dxa"/>
            <w:gridSpan w:val="6"/>
            <w:tcBorders>
              <w:top w:val="single" w:color="auto" w:sz="4" w:space="0"/>
              <w:left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eastAsia" w:ascii="Times New Roman" w:hAnsi="Times New Roman" w:eastAsia="宋体" w:cs="Times New Roman"/>
                <w:color w:val="auto"/>
                <w:kern w:val="24"/>
                <w:position w:val="0"/>
                <w:sz w:val="24"/>
                <w:szCs w:val="24"/>
                <w:highlight w:val="none"/>
                <w:lang w:val="en-US" w:eastAsia="zh-CN" w:bidi="ar-SA"/>
              </w:rPr>
              <w:t>测试用水</w:t>
            </w:r>
            <w:r>
              <w:rPr>
                <w:rFonts w:hint="default" w:ascii="Times New Roman" w:hAnsi="Times New Roman" w:eastAsia="宋体" w:cs="Times New Roman"/>
                <w:color w:val="auto"/>
                <w:spacing w:val="2"/>
                <w:kern w:val="2"/>
                <w:sz w:val="24"/>
                <w:szCs w:val="20"/>
              </w:rPr>
              <w:t>循环使用，</w:t>
            </w:r>
            <w:r>
              <w:rPr>
                <w:rFonts w:hint="eastAsia" w:hAnsi="宋体"/>
                <w:b w:val="0"/>
                <w:bCs w:val="0"/>
                <w:color w:val="auto"/>
                <w:sz w:val="24"/>
                <w:shd w:val="clear" w:color="auto" w:fill="auto"/>
                <w:lang w:eastAsia="zh-CN"/>
              </w:rPr>
              <w:t>定期补充，不外排，</w:t>
            </w:r>
            <w:r>
              <w:rPr>
                <w:rFonts w:hint="default" w:ascii="Times New Roman" w:hAnsi="Times New Roman" w:eastAsia="宋体" w:cs="Times New Roman"/>
                <w:color w:val="auto"/>
                <w:spacing w:val="2"/>
                <w:kern w:val="2"/>
                <w:sz w:val="24"/>
                <w:szCs w:val="20"/>
              </w:rPr>
              <w:t>年用量约为</w:t>
            </w:r>
            <w:r>
              <w:rPr>
                <w:rFonts w:hint="eastAsia" w:ascii="Times New Roman" w:hAnsi="Times New Roman" w:eastAsia="宋体" w:cs="Times New Roman"/>
                <w:color w:val="auto"/>
                <w:spacing w:val="2"/>
                <w:kern w:val="2"/>
                <w:sz w:val="24"/>
                <w:szCs w:val="20"/>
                <w:lang w:val="en-US" w:eastAsia="zh-CN"/>
              </w:rPr>
              <w:t>150</w:t>
            </w:r>
            <w:r>
              <w:rPr>
                <w:rFonts w:hint="default" w:ascii="Times New Roman" w:hAnsi="Times New Roman" w:eastAsia="宋体" w:cs="Times New Roman"/>
                <w:color w:val="auto"/>
                <w:spacing w:val="2"/>
                <w:kern w:val="2"/>
                <w:sz w:val="24"/>
                <w:szCs w:val="20"/>
              </w:rPr>
              <w:t>t/a，不外排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4"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p>
        </w:tc>
        <w:tc>
          <w:tcPr>
            <w:tcW w:w="1906" w:type="dxa"/>
            <w:tcBorders>
              <w:top w:val="single" w:color="auto" w:sz="4" w:space="0"/>
              <w:bottom w:val="single" w:color="auto" w:sz="4" w:space="0"/>
              <w:right w:val="single" w:color="auto" w:sz="4" w:space="0"/>
            </w:tcBorders>
            <w:vAlign w:val="center"/>
          </w:tcPr>
          <w:p>
            <w:pPr>
              <w:widowControl w:val="0"/>
              <w:spacing w:after="0" w:line="240" w:lineRule="auto"/>
              <w:jc w:val="center"/>
              <w:rPr>
                <w:rFonts w:hint="default" w:ascii="Times New Roman" w:hAnsi="Times New Roman" w:eastAsia="宋体" w:cs="Times New Roman"/>
                <w:color w:val="auto"/>
                <w:spacing w:val="2"/>
                <w:kern w:val="2"/>
                <w:sz w:val="24"/>
                <w:szCs w:val="20"/>
                <w:lang w:val="en-US" w:eastAsia="zh-CN"/>
              </w:rPr>
            </w:pPr>
            <w:r>
              <w:rPr>
                <w:rFonts w:hint="default" w:ascii="Times New Roman" w:hAnsi="Times New Roman" w:eastAsia="宋体" w:cs="Times New Roman"/>
                <w:color w:val="auto"/>
                <w:spacing w:val="2"/>
                <w:kern w:val="2"/>
                <w:sz w:val="24"/>
                <w:szCs w:val="20"/>
              </w:rPr>
              <w:t>喷淋废水</w:t>
            </w:r>
          </w:p>
        </w:tc>
        <w:tc>
          <w:tcPr>
            <w:tcW w:w="7499" w:type="dxa"/>
            <w:gridSpan w:val="6"/>
            <w:tcBorders>
              <w:top w:val="single" w:color="auto" w:sz="4" w:space="0"/>
              <w:left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 w:val="0"/>
                <w:bCs/>
                <w:color w:val="auto"/>
                <w:spacing w:val="2"/>
                <w:kern w:val="2"/>
                <w:sz w:val="24"/>
                <w:szCs w:val="20"/>
              </w:rPr>
              <w:t>喷淋废水</w:t>
            </w:r>
            <w:r>
              <w:rPr>
                <w:rFonts w:hint="default" w:ascii="Times New Roman" w:hAnsi="Times New Roman" w:cs="Times New Roman"/>
                <w:color w:val="auto"/>
                <w:sz w:val="24"/>
                <w:szCs w:val="22"/>
                <w:highlight w:val="none"/>
              </w:rPr>
              <w:t>产生量为</w:t>
            </w:r>
            <w:r>
              <w:rPr>
                <w:rFonts w:hint="eastAsia" w:ascii="Times New Roman" w:hAnsi="Times New Roman" w:cs="Times New Roman"/>
                <w:color w:val="auto"/>
                <w:sz w:val="24"/>
                <w:szCs w:val="22"/>
                <w:highlight w:val="none"/>
                <w:lang w:val="en-US" w:eastAsia="zh-CN"/>
              </w:rPr>
              <w:t>16</w:t>
            </w:r>
            <w:r>
              <w:rPr>
                <w:rFonts w:hint="default" w:ascii="Times New Roman" w:hAnsi="Times New Roman" w:cs="Times New Roman"/>
                <w:color w:val="auto"/>
                <w:sz w:val="24"/>
                <w:szCs w:val="22"/>
                <w:highlight w:val="none"/>
              </w:rPr>
              <w:t>t/a</w:t>
            </w:r>
            <w:r>
              <w:rPr>
                <w:rFonts w:hint="eastAsia"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rPr>
              <w:t>经收集后定期交有资质单位处理，不外排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11" w:hRule="atLeast"/>
          <w:jc w:val="center"/>
        </w:trPr>
        <w:tc>
          <w:tcPr>
            <w:tcW w:w="735" w:type="dxa"/>
            <w:vMerge w:val="continue"/>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p>
        </w:tc>
        <w:tc>
          <w:tcPr>
            <w:tcW w:w="1906" w:type="dxa"/>
            <w:vMerge w:val="restart"/>
            <w:tcBorders>
              <w:top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lang w:val="en-US" w:eastAsia="zh-CN"/>
              </w:rPr>
            </w:pPr>
            <w:r>
              <w:rPr>
                <w:rFonts w:ascii="Times New Roman" w:hAnsi="Times New Roman" w:eastAsia="宋体" w:cs="Times New Roman"/>
                <w:color w:val="auto"/>
                <w:kern w:val="2"/>
                <w:sz w:val="24"/>
                <w:szCs w:val="24"/>
                <w:highlight w:val="none"/>
                <w:lang w:val="en-US" w:eastAsia="zh-CN"/>
              </w:rPr>
              <w:t>生活污水</w:t>
            </w:r>
          </w:p>
          <w:p>
            <w:pPr>
              <w:widowControl w:val="0"/>
              <w:spacing w:after="0" w:line="240" w:lineRule="auto"/>
              <w:jc w:val="center"/>
              <w:rPr>
                <w:rFonts w:ascii="Times New Roman" w:hAnsi="Times New Roman" w:eastAsia="宋体" w:cs="Times New Roman"/>
                <w:color w:val="auto"/>
                <w:kern w:val="24"/>
                <w:position w:val="0"/>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rPr>
              <w:t>345.6</w:t>
            </w:r>
            <w:r>
              <w:rPr>
                <w:rFonts w:ascii="Times New Roman" w:hAnsi="Times New Roman" w:eastAsia="宋体" w:cs="Times New Roman"/>
                <w:color w:val="auto"/>
                <w:kern w:val="2"/>
                <w:sz w:val="24"/>
                <w:szCs w:val="24"/>
                <w:highlight w:val="none"/>
                <w:lang w:val="en-US" w:eastAsia="zh-CN"/>
              </w:rPr>
              <w:t>t/a）</w:t>
            </w:r>
          </w:p>
        </w:tc>
        <w:tc>
          <w:tcPr>
            <w:tcW w:w="1806" w:type="dxa"/>
            <w:gridSpan w:val="2"/>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rPr>
            </w:pPr>
            <w:r>
              <w:rPr>
                <w:rFonts w:ascii="Times New Roman" w:hAnsi="Times New Roman" w:eastAsia="宋体" w:cs="Times New Roman"/>
                <w:color w:val="auto"/>
                <w:kern w:val="2"/>
                <w:sz w:val="24"/>
                <w:szCs w:val="24"/>
              </w:rPr>
              <w:t>COD</w:t>
            </w:r>
            <w:r>
              <w:rPr>
                <w:rFonts w:ascii="Times New Roman" w:hAnsi="Times New Roman" w:eastAsia="宋体" w:cs="Times New Roman"/>
                <w:color w:val="auto"/>
                <w:kern w:val="2"/>
                <w:sz w:val="24"/>
                <w:szCs w:val="24"/>
                <w:vertAlign w:val="subscript"/>
              </w:rPr>
              <w:t>cr</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hint="default" w:ascii="Times New Roman" w:hAnsi="Times New Roman" w:eastAsia="宋体" w:cs="Times New Roman"/>
                <w:bCs/>
                <w:color w:val="auto"/>
                <w:kern w:val="0"/>
                <w:sz w:val="24"/>
                <w:szCs w:val="24"/>
                <w:lang w:val="en-US" w:eastAsia="zh-CN"/>
              </w:rPr>
            </w:pPr>
            <w:r>
              <w:rPr>
                <w:rFonts w:ascii="Times New Roman" w:hAnsi="Times New Roman" w:eastAsia="宋体" w:cs="Times New Roman"/>
                <w:bCs/>
                <w:color w:val="auto"/>
                <w:kern w:val="0"/>
                <w:sz w:val="24"/>
                <w:szCs w:val="24"/>
              </w:rPr>
              <w:t>200mg/L</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lang w:val="en-US" w:eastAsia="zh-CN"/>
              </w:rPr>
              <w:t>0.086</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c>
          <w:tcPr>
            <w:tcW w:w="1599"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hint="default" w:ascii="Times New Roman" w:hAnsi="Times New Roman" w:eastAsia="宋体" w:cs="Times New Roman"/>
                <w:bCs/>
                <w:color w:val="auto"/>
                <w:kern w:val="0"/>
                <w:sz w:val="24"/>
                <w:szCs w:val="24"/>
                <w:lang w:val="en-US" w:eastAsia="zh-CN"/>
              </w:rPr>
            </w:pPr>
            <w:r>
              <w:rPr>
                <w:rFonts w:ascii="Times New Roman" w:hAnsi="Times New Roman" w:eastAsia="宋体" w:cs="Times New Roman"/>
                <w:color w:val="auto"/>
                <w:kern w:val="2"/>
                <w:sz w:val="24"/>
                <w:szCs w:val="24"/>
              </w:rPr>
              <w:t>250</w:t>
            </w:r>
            <w:r>
              <w:rPr>
                <w:rFonts w:ascii="Times New Roman" w:hAnsi="Times New Roman" w:eastAsia="宋体" w:cs="Times New Roman"/>
                <w:bCs/>
                <w:color w:val="auto"/>
                <w:kern w:val="0"/>
                <w:sz w:val="24"/>
                <w:szCs w:val="24"/>
              </w:rPr>
              <w:t>mg/L</w:t>
            </w:r>
          </w:p>
        </w:tc>
        <w:tc>
          <w:tcPr>
            <w:tcW w:w="1439" w:type="dxa"/>
            <w:tcBorders>
              <w:top w:val="single" w:color="auto" w:sz="4" w:space="0"/>
              <w:left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rPr>
            </w:pPr>
            <w:r>
              <w:rPr>
                <w:rFonts w:hint="default" w:ascii="Times New Roman" w:hAnsi="Times New Roman" w:eastAsia="宋体" w:cs="Times New Roman"/>
                <w:bCs/>
                <w:color w:val="auto"/>
                <w:kern w:val="0"/>
                <w:sz w:val="24"/>
                <w:szCs w:val="24"/>
                <w:lang w:val="en-US" w:eastAsia="zh-CN"/>
              </w:rPr>
              <w:t>0.069</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35" w:type="dxa"/>
            <w:vMerge w:val="continue"/>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p>
        </w:tc>
        <w:tc>
          <w:tcPr>
            <w:tcW w:w="1906" w:type="dxa"/>
            <w:vMerge w:val="continue"/>
            <w:tcBorders>
              <w:right w:val="single" w:color="auto" w:sz="4" w:space="0"/>
            </w:tcBorders>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4"/>
                <w:szCs w:val="24"/>
                <w:highlight w:val="none"/>
                <w:lang w:val="en-US" w:eastAsia="zh-CN" w:bidi="ar-SA"/>
              </w:rPr>
            </w:pPr>
          </w:p>
        </w:tc>
        <w:tc>
          <w:tcPr>
            <w:tcW w:w="1806" w:type="dxa"/>
            <w:gridSpan w:val="2"/>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lang w:val="en-US" w:eastAsia="zh-CN"/>
              </w:rPr>
            </w:pPr>
            <w:r>
              <w:rPr>
                <w:rFonts w:ascii="Times New Roman" w:hAnsi="Times New Roman" w:eastAsia="宋体" w:cs="Times New Roman"/>
                <w:color w:val="auto"/>
                <w:kern w:val="2"/>
                <w:sz w:val="24"/>
                <w:szCs w:val="24"/>
              </w:rPr>
              <w:t>BOD</w:t>
            </w:r>
            <w:r>
              <w:rPr>
                <w:rFonts w:ascii="Times New Roman" w:hAnsi="Times New Roman" w:eastAsia="宋体" w:cs="Times New Roman"/>
                <w:color w:val="auto"/>
                <w:kern w:val="2"/>
                <w:sz w:val="24"/>
                <w:szCs w:val="24"/>
                <w:vertAlign w:val="subscript"/>
              </w:rPr>
              <w:t>5</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4"/>
                <w:position w:val="0"/>
                <w:sz w:val="24"/>
                <w:szCs w:val="24"/>
                <w:highlight w:val="none"/>
                <w:lang w:val="en-US" w:eastAsia="zh-CN" w:bidi="ar-SA"/>
              </w:rPr>
            </w:pPr>
            <w:r>
              <w:rPr>
                <w:rFonts w:ascii="Times New Roman" w:hAnsi="Times New Roman" w:eastAsia="宋体" w:cs="Times New Roman"/>
                <w:bCs/>
                <w:color w:val="auto"/>
                <w:kern w:val="0"/>
                <w:sz w:val="24"/>
                <w:szCs w:val="24"/>
              </w:rPr>
              <w:t>120mg/L</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Cs/>
                <w:color w:val="auto"/>
                <w:kern w:val="0"/>
                <w:sz w:val="24"/>
                <w:szCs w:val="24"/>
                <w:lang w:val="en-US" w:eastAsia="zh-CN"/>
              </w:rPr>
              <w:t>0.052</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c>
          <w:tcPr>
            <w:tcW w:w="1599"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4"/>
                <w:position w:val="0"/>
                <w:sz w:val="24"/>
                <w:szCs w:val="24"/>
                <w:highlight w:val="none"/>
                <w:lang w:val="en-US" w:eastAsia="zh-CN" w:bidi="ar-SA"/>
              </w:rPr>
            </w:pPr>
            <w:r>
              <w:rPr>
                <w:rFonts w:ascii="Times New Roman" w:hAnsi="Times New Roman" w:eastAsia="宋体" w:cs="Times New Roman"/>
                <w:color w:val="auto"/>
                <w:kern w:val="2"/>
                <w:sz w:val="24"/>
                <w:szCs w:val="24"/>
              </w:rPr>
              <w:t>150</w:t>
            </w:r>
            <w:r>
              <w:rPr>
                <w:rFonts w:ascii="Times New Roman" w:hAnsi="Times New Roman" w:eastAsia="宋体" w:cs="Times New Roman"/>
                <w:bCs/>
                <w:color w:val="auto"/>
                <w:kern w:val="0"/>
                <w:sz w:val="24"/>
                <w:szCs w:val="24"/>
              </w:rPr>
              <w:t>mg/L</w:t>
            </w:r>
          </w:p>
        </w:tc>
        <w:tc>
          <w:tcPr>
            <w:tcW w:w="1439" w:type="dxa"/>
            <w:tcBorders>
              <w:top w:val="single" w:color="auto" w:sz="4" w:space="0"/>
              <w:left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Cs/>
                <w:color w:val="auto"/>
                <w:kern w:val="0"/>
                <w:sz w:val="24"/>
                <w:szCs w:val="24"/>
                <w:lang w:val="en-US" w:eastAsia="zh-CN"/>
              </w:rPr>
              <w:t>0.041</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35" w:type="dxa"/>
            <w:vMerge w:val="continue"/>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p>
        </w:tc>
        <w:tc>
          <w:tcPr>
            <w:tcW w:w="1906" w:type="dxa"/>
            <w:vMerge w:val="continue"/>
            <w:tcBorders>
              <w:right w:val="single" w:color="auto" w:sz="4" w:space="0"/>
            </w:tcBorders>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4"/>
                <w:szCs w:val="24"/>
                <w:highlight w:val="none"/>
                <w:lang w:val="en-US" w:eastAsia="zh-CN" w:bidi="ar-SA"/>
              </w:rPr>
            </w:pPr>
          </w:p>
        </w:tc>
        <w:tc>
          <w:tcPr>
            <w:tcW w:w="1806" w:type="dxa"/>
            <w:gridSpan w:val="2"/>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lang w:val="en-US" w:eastAsia="zh-CN"/>
              </w:rPr>
            </w:pPr>
            <w:r>
              <w:rPr>
                <w:rFonts w:ascii="Times New Roman" w:hAnsi="Times New Roman" w:eastAsia="宋体" w:cs="Times New Roman"/>
                <w:color w:val="auto"/>
                <w:kern w:val="2"/>
                <w:sz w:val="24"/>
                <w:szCs w:val="24"/>
              </w:rPr>
              <w:t>SS</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4"/>
                <w:position w:val="0"/>
                <w:sz w:val="24"/>
                <w:szCs w:val="24"/>
                <w:highlight w:val="none"/>
                <w:lang w:val="en-US" w:eastAsia="zh-CN" w:bidi="ar-SA"/>
              </w:rPr>
            </w:pPr>
            <w:r>
              <w:rPr>
                <w:rFonts w:ascii="Times New Roman" w:hAnsi="Times New Roman" w:eastAsia="宋体" w:cs="Times New Roman"/>
                <w:bCs/>
                <w:color w:val="auto"/>
                <w:kern w:val="0"/>
                <w:sz w:val="24"/>
                <w:szCs w:val="24"/>
              </w:rPr>
              <w:t>120mg/L</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Cs/>
                <w:color w:val="auto"/>
                <w:kern w:val="0"/>
                <w:sz w:val="24"/>
                <w:szCs w:val="24"/>
                <w:lang w:val="en-US" w:eastAsia="zh-CN"/>
              </w:rPr>
              <w:t>0.052</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c>
          <w:tcPr>
            <w:tcW w:w="1599"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4"/>
                <w:position w:val="0"/>
                <w:sz w:val="24"/>
                <w:szCs w:val="24"/>
                <w:highlight w:val="none"/>
                <w:lang w:val="en-US" w:eastAsia="zh-CN" w:bidi="ar-SA"/>
              </w:rPr>
            </w:pPr>
            <w:r>
              <w:rPr>
                <w:rFonts w:ascii="Times New Roman" w:hAnsi="Times New Roman" w:eastAsia="宋体" w:cs="Times New Roman"/>
                <w:color w:val="auto"/>
                <w:kern w:val="2"/>
                <w:sz w:val="24"/>
                <w:szCs w:val="24"/>
              </w:rPr>
              <w:t>150</w:t>
            </w:r>
            <w:r>
              <w:rPr>
                <w:rFonts w:ascii="Times New Roman" w:hAnsi="Times New Roman" w:eastAsia="宋体" w:cs="Times New Roman"/>
                <w:bCs/>
                <w:color w:val="auto"/>
                <w:kern w:val="0"/>
                <w:sz w:val="24"/>
                <w:szCs w:val="24"/>
              </w:rPr>
              <w:t>mg/L</w:t>
            </w:r>
          </w:p>
        </w:tc>
        <w:tc>
          <w:tcPr>
            <w:tcW w:w="1439" w:type="dxa"/>
            <w:tcBorders>
              <w:top w:val="single" w:color="auto" w:sz="4" w:space="0"/>
              <w:left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Cs/>
                <w:color w:val="auto"/>
                <w:kern w:val="0"/>
                <w:sz w:val="24"/>
                <w:szCs w:val="24"/>
                <w:lang w:val="en-US" w:eastAsia="zh-CN"/>
              </w:rPr>
              <w:t>0.041</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35" w:type="dxa"/>
            <w:vMerge w:val="continue"/>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p>
        </w:tc>
        <w:tc>
          <w:tcPr>
            <w:tcW w:w="1906" w:type="dxa"/>
            <w:vMerge w:val="continue"/>
            <w:tcBorders>
              <w:right w:val="single" w:color="auto" w:sz="4" w:space="0"/>
            </w:tcBorders>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4"/>
                <w:szCs w:val="24"/>
                <w:highlight w:val="none"/>
                <w:lang w:val="en-US" w:eastAsia="zh-CN" w:bidi="ar-SA"/>
              </w:rPr>
            </w:pPr>
          </w:p>
        </w:tc>
        <w:tc>
          <w:tcPr>
            <w:tcW w:w="1806" w:type="dxa"/>
            <w:gridSpan w:val="2"/>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lang w:val="en-US" w:eastAsia="zh-CN"/>
              </w:rPr>
            </w:pPr>
            <w:r>
              <w:rPr>
                <w:rFonts w:ascii="Times New Roman" w:hAnsi="Times New Roman" w:eastAsia="宋体" w:cs="Times New Roman"/>
                <w:color w:val="auto"/>
                <w:kern w:val="2"/>
                <w:sz w:val="24"/>
                <w:szCs w:val="24"/>
              </w:rPr>
              <w:t>NH</w:t>
            </w:r>
            <w:r>
              <w:rPr>
                <w:rFonts w:ascii="Times New Roman" w:hAnsi="Times New Roman" w:eastAsia="宋体" w:cs="Times New Roman"/>
                <w:color w:val="auto"/>
                <w:kern w:val="2"/>
                <w:sz w:val="24"/>
                <w:szCs w:val="24"/>
                <w:vertAlign w:val="subscript"/>
              </w:rPr>
              <w:t>3</w:t>
            </w:r>
            <w:r>
              <w:rPr>
                <w:rFonts w:ascii="Times New Roman" w:hAnsi="Times New Roman" w:eastAsia="宋体" w:cs="Times New Roman"/>
                <w:color w:val="auto"/>
                <w:kern w:val="2"/>
                <w:sz w:val="24"/>
                <w:szCs w:val="24"/>
              </w:rPr>
              <w:t>-N</w:t>
            </w:r>
          </w:p>
        </w:tc>
        <w:tc>
          <w:tcPr>
            <w:tcW w:w="1554"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4"/>
                <w:position w:val="0"/>
                <w:sz w:val="24"/>
                <w:szCs w:val="24"/>
                <w:highlight w:val="none"/>
                <w:lang w:val="en-US" w:eastAsia="zh-CN" w:bidi="ar-SA"/>
              </w:rPr>
            </w:pPr>
            <w:r>
              <w:rPr>
                <w:rFonts w:ascii="Times New Roman" w:hAnsi="Times New Roman" w:eastAsia="宋体" w:cs="Times New Roman"/>
                <w:bCs/>
                <w:color w:val="auto"/>
                <w:kern w:val="0"/>
                <w:sz w:val="24"/>
                <w:szCs w:val="24"/>
              </w:rPr>
              <w:t>20mg/L</w:t>
            </w:r>
          </w:p>
        </w:tc>
        <w:tc>
          <w:tcPr>
            <w:tcW w:w="1101"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Cs/>
                <w:color w:val="auto"/>
                <w:kern w:val="0"/>
                <w:sz w:val="24"/>
                <w:szCs w:val="24"/>
                <w:lang w:val="en-US" w:eastAsia="zh-CN"/>
              </w:rPr>
              <w:t>0.009</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c>
          <w:tcPr>
            <w:tcW w:w="1599"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FF0000"/>
                <w:kern w:val="24"/>
                <w:position w:val="0"/>
                <w:sz w:val="24"/>
                <w:szCs w:val="24"/>
                <w:highlight w:val="none"/>
                <w:lang w:val="en-US" w:eastAsia="zh-CN" w:bidi="ar-SA"/>
              </w:rPr>
            </w:pPr>
            <w:r>
              <w:rPr>
                <w:rFonts w:ascii="Times New Roman" w:hAnsi="Times New Roman" w:eastAsia="宋体" w:cs="Times New Roman"/>
                <w:color w:val="auto"/>
                <w:kern w:val="2"/>
                <w:sz w:val="24"/>
                <w:szCs w:val="24"/>
              </w:rPr>
              <w:t>25</w:t>
            </w:r>
            <w:r>
              <w:rPr>
                <w:rFonts w:ascii="Times New Roman" w:hAnsi="Times New Roman" w:eastAsia="宋体" w:cs="Times New Roman"/>
                <w:bCs/>
                <w:color w:val="auto"/>
                <w:kern w:val="0"/>
                <w:sz w:val="24"/>
                <w:szCs w:val="24"/>
              </w:rPr>
              <w:t>mg/L</w:t>
            </w:r>
          </w:p>
        </w:tc>
        <w:tc>
          <w:tcPr>
            <w:tcW w:w="1439" w:type="dxa"/>
            <w:tcBorders>
              <w:top w:val="single" w:color="auto" w:sz="4" w:space="0"/>
              <w:left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r>
              <w:rPr>
                <w:rFonts w:hint="default" w:ascii="Times New Roman" w:hAnsi="Times New Roman" w:eastAsia="宋体" w:cs="Times New Roman"/>
                <w:bCs/>
                <w:color w:val="auto"/>
                <w:kern w:val="0"/>
                <w:sz w:val="24"/>
                <w:szCs w:val="24"/>
                <w:lang w:val="en-US" w:eastAsia="zh-CN"/>
              </w:rPr>
              <w:t>0.007</w:t>
            </w:r>
            <w:r>
              <w:rPr>
                <w:rFonts w:hint="eastAsia" w:ascii="Times New Roman" w:hAnsi="Times New Roman" w:eastAsia="宋体" w:cs="Times New Roman"/>
                <w:color w:val="auto"/>
                <w:kern w:val="2"/>
                <w:sz w:val="24"/>
                <w:szCs w:val="24"/>
                <w:lang w:val="en-US" w:eastAsia="zh-CN"/>
              </w:rPr>
              <w:t>t</w:t>
            </w:r>
            <w:r>
              <w:rPr>
                <w:rFonts w:ascii="Times New Roman" w:hAnsi="Times New Roman" w:eastAsia="宋体" w:cs="Times New Roman"/>
                <w:color w:val="auto"/>
                <w:kern w:val="2"/>
                <w:sz w:val="24"/>
                <w:szCs w:val="24"/>
              </w:rPr>
              <w:t>/a</w:t>
            </w:r>
            <w:r>
              <w:rPr>
                <w:rFonts w:hint="default" w:ascii="Times New Roman" w:hAnsi="Times New Roman" w:eastAsia="宋体" w:cs="Times New Roman"/>
                <w:bCs/>
                <w:color w:val="auto"/>
                <w:kern w:val="0"/>
                <w:sz w:val="24"/>
                <w:szCs w:val="24"/>
                <w:lang w:val="en-US" w:eastAsia="zh-CN"/>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35" w:type="dxa"/>
            <w:vMerge w:val="restart"/>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固</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体</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废</w:t>
            </w:r>
          </w:p>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物</w:t>
            </w:r>
          </w:p>
        </w:tc>
        <w:tc>
          <w:tcPr>
            <w:tcW w:w="1906" w:type="dxa"/>
            <w:tcBorders>
              <w:top w:val="single" w:color="auto" w:sz="8"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生活垃圾</w:t>
            </w:r>
          </w:p>
        </w:tc>
        <w:tc>
          <w:tcPr>
            <w:tcW w:w="1806" w:type="dxa"/>
            <w:gridSpan w:val="2"/>
            <w:tcBorders>
              <w:top w:val="single" w:color="auto" w:sz="8"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生活垃圾</w:t>
            </w:r>
          </w:p>
        </w:tc>
        <w:tc>
          <w:tcPr>
            <w:tcW w:w="2655" w:type="dxa"/>
            <w:gridSpan w:val="2"/>
            <w:tcBorders>
              <w:top w:val="single" w:color="auto" w:sz="8" w:space="0"/>
              <w:bottom w:val="single" w:color="auto" w:sz="4" w:space="0"/>
            </w:tcBorders>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4"/>
                <w:szCs w:val="24"/>
                <w:highlight w:val="none"/>
                <w:lang w:val="en-US" w:eastAsia="zh-CN" w:bidi="ar-SA"/>
              </w:rPr>
            </w:pPr>
            <w:r>
              <w:rPr>
                <w:rFonts w:hint="eastAsia" w:ascii="Times New Roman" w:hAnsi="Times New Roman" w:eastAsia="宋体" w:cs="Times New Roman"/>
                <w:color w:val="auto"/>
                <w:kern w:val="24"/>
                <w:position w:val="0"/>
                <w:sz w:val="24"/>
                <w:szCs w:val="24"/>
                <w:highlight w:val="none"/>
                <w:lang w:val="en-US" w:eastAsia="zh-CN" w:bidi="ar-SA"/>
              </w:rPr>
              <w:t>4.8</w:t>
            </w:r>
            <w:r>
              <w:rPr>
                <w:rFonts w:ascii="Times New Roman" w:hAnsi="Times New Roman" w:eastAsia="宋体" w:cs="Times New Roman"/>
                <w:color w:val="auto"/>
                <w:kern w:val="24"/>
                <w:position w:val="0"/>
                <w:sz w:val="24"/>
                <w:szCs w:val="24"/>
                <w:highlight w:val="none"/>
                <w:lang w:val="en-US" w:eastAsia="zh-CN" w:bidi="ar-SA"/>
              </w:rPr>
              <w:t>t/a</w:t>
            </w:r>
          </w:p>
        </w:tc>
        <w:tc>
          <w:tcPr>
            <w:tcW w:w="3038" w:type="dxa"/>
            <w:gridSpan w:val="2"/>
            <w:tcBorders>
              <w:top w:val="single" w:color="auto" w:sz="8"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分类收集后交予环卫部门处理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31" w:hRule="atLeast"/>
          <w:jc w:val="center"/>
        </w:trPr>
        <w:tc>
          <w:tcPr>
            <w:tcW w:w="735" w:type="dxa"/>
            <w:vMerge w:val="continue"/>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tcBorders>
              <w:top w:val="single" w:color="auto" w:sz="8"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一般</w:t>
            </w:r>
            <w:r>
              <w:rPr>
                <w:rFonts w:hint="eastAsia" w:ascii="Times New Roman" w:hAnsi="Times New Roman" w:eastAsia="宋体" w:cs="Times New Roman"/>
                <w:color w:val="auto"/>
                <w:kern w:val="2"/>
                <w:sz w:val="24"/>
                <w:szCs w:val="24"/>
                <w:highlight w:val="none"/>
              </w:rPr>
              <w:t>工业固废</w:t>
            </w:r>
          </w:p>
        </w:tc>
        <w:tc>
          <w:tcPr>
            <w:tcW w:w="1806" w:type="dxa"/>
            <w:gridSpan w:val="2"/>
            <w:tcBorders>
              <w:top w:val="single" w:color="auto" w:sz="8" w:space="0"/>
              <w:bottom w:val="single" w:color="auto" w:sz="4" w:space="0"/>
            </w:tcBorders>
            <w:vAlign w:val="center"/>
          </w:tcPr>
          <w:p>
            <w:pPr>
              <w:pStyle w:val="229"/>
              <w:rPr>
                <w:color w:val="auto"/>
                <w:sz w:val="24"/>
                <w:highlight w:val="none"/>
              </w:rPr>
            </w:pPr>
            <w:r>
              <w:rPr>
                <w:rFonts w:hint="default" w:ascii="Times New Roman" w:hAnsi="Times New Roman" w:eastAsia="宋体" w:cs="Times New Roman"/>
                <w:color w:val="auto"/>
                <w:kern w:val="2"/>
                <w:sz w:val="24"/>
              </w:rPr>
              <w:t>沉降金属粉尘</w:t>
            </w:r>
            <w:r>
              <w:rPr>
                <w:rFonts w:hint="eastAsia"/>
                <w:color w:val="auto"/>
                <w:spacing w:val="-2"/>
                <w:sz w:val="24"/>
                <w:highlight w:val="none"/>
              </w:rPr>
              <w:t>、边角料、不合格品、废包装材料、布袋除尘装置收集的粉尘</w:t>
            </w:r>
          </w:p>
        </w:tc>
        <w:tc>
          <w:tcPr>
            <w:tcW w:w="2655" w:type="dxa"/>
            <w:gridSpan w:val="2"/>
            <w:tcBorders>
              <w:top w:val="single" w:color="auto" w:sz="8" w:space="0"/>
              <w:bottom w:val="single" w:color="auto" w:sz="4" w:space="0"/>
            </w:tcBorders>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4"/>
                <w:szCs w:val="24"/>
                <w:highlight w:val="none"/>
                <w:lang w:val="en-US" w:eastAsia="zh-CN" w:bidi="ar-SA"/>
              </w:rPr>
            </w:pPr>
            <w:r>
              <w:rPr>
                <w:rFonts w:hint="eastAsia" w:ascii="Times New Roman" w:hAnsi="Times New Roman" w:eastAsia="宋体" w:cs="Times New Roman"/>
                <w:color w:val="auto"/>
                <w:kern w:val="24"/>
                <w:position w:val="0"/>
                <w:sz w:val="24"/>
                <w:szCs w:val="24"/>
                <w:highlight w:val="none"/>
                <w:lang w:val="en-US" w:eastAsia="zh-CN" w:bidi="ar-SA"/>
              </w:rPr>
              <w:t>12.325</w:t>
            </w:r>
            <w:r>
              <w:rPr>
                <w:rFonts w:ascii="Times New Roman" w:hAnsi="Times New Roman" w:eastAsia="宋体" w:cs="Times New Roman"/>
                <w:color w:val="auto"/>
                <w:kern w:val="24"/>
                <w:position w:val="0"/>
                <w:sz w:val="24"/>
                <w:szCs w:val="24"/>
                <w:highlight w:val="none"/>
                <w:lang w:val="en-US" w:eastAsia="zh-CN" w:bidi="ar-SA"/>
              </w:rPr>
              <w:t>t/a</w:t>
            </w:r>
          </w:p>
        </w:tc>
        <w:tc>
          <w:tcPr>
            <w:tcW w:w="3038" w:type="dxa"/>
            <w:gridSpan w:val="2"/>
            <w:tcBorders>
              <w:top w:val="single" w:color="auto" w:sz="8"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交专业公司回收处理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31" w:hRule="atLeast"/>
          <w:jc w:val="center"/>
        </w:trPr>
        <w:tc>
          <w:tcPr>
            <w:tcW w:w="735" w:type="dxa"/>
            <w:vMerge w:val="continue"/>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4"/>
                <w:szCs w:val="24"/>
                <w:highlight w:val="none"/>
              </w:rPr>
            </w:pPr>
          </w:p>
        </w:tc>
        <w:tc>
          <w:tcPr>
            <w:tcW w:w="1906" w:type="dxa"/>
            <w:tcBorders>
              <w:top w:val="single" w:color="auto" w:sz="8" w:space="0"/>
            </w:tcBorders>
            <w:vAlign w:val="center"/>
          </w:tcPr>
          <w:p>
            <w:pPr>
              <w:widowControl w:val="0"/>
              <w:spacing w:after="0" w:line="240" w:lineRule="auto"/>
              <w:jc w:val="center"/>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危险废物</w:t>
            </w:r>
          </w:p>
        </w:tc>
        <w:tc>
          <w:tcPr>
            <w:tcW w:w="1806" w:type="dxa"/>
            <w:gridSpan w:val="2"/>
            <w:tcBorders>
              <w:top w:val="single" w:color="auto" w:sz="8" w:space="0"/>
              <w:bottom w:val="single" w:color="auto" w:sz="4" w:space="0"/>
            </w:tcBorders>
            <w:vAlign w:val="center"/>
          </w:tcPr>
          <w:p>
            <w:pPr>
              <w:pStyle w:val="229"/>
              <w:rPr>
                <w:rFonts w:hAnsi="宋体"/>
                <w:color w:val="auto"/>
                <w:sz w:val="24"/>
                <w:highlight w:val="none"/>
              </w:rPr>
            </w:pPr>
            <w:r>
              <w:rPr>
                <w:rFonts w:hint="eastAsia" w:ascii="Times New Roman" w:hAnsi="Times New Roman" w:eastAsia="宋体" w:cs="Times New Roman"/>
                <w:color w:val="auto"/>
                <w:kern w:val="2"/>
                <w:sz w:val="24"/>
                <w:szCs w:val="24"/>
                <w:lang w:eastAsia="zh-CN"/>
              </w:rPr>
              <w:t>废润滑油油桶、废乳化液桶、废润滑油、废乳化液、</w:t>
            </w:r>
            <w:r>
              <w:rPr>
                <w:rFonts w:hint="eastAsia"/>
                <w:color w:val="auto"/>
                <w:sz w:val="24"/>
                <w:szCs w:val="22"/>
                <w:highlight w:val="none"/>
              </w:rPr>
              <w:t>含油抹布、</w:t>
            </w:r>
            <w:r>
              <w:rPr>
                <w:rFonts w:hint="eastAsia" w:ascii="Times New Roman" w:hAnsi="Times New Roman" w:eastAsia="宋体" w:cs="Times New Roman"/>
                <w:color w:val="auto"/>
                <w:kern w:val="2"/>
                <w:sz w:val="24"/>
                <w:szCs w:val="24"/>
                <w:lang w:eastAsia="zh-CN"/>
              </w:rPr>
              <w:t>废活性炭</w:t>
            </w:r>
          </w:p>
        </w:tc>
        <w:tc>
          <w:tcPr>
            <w:tcW w:w="2655" w:type="dxa"/>
            <w:gridSpan w:val="2"/>
            <w:tcBorders>
              <w:top w:val="single" w:color="auto" w:sz="8" w:space="0"/>
              <w:bottom w:val="single" w:color="auto" w:sz="4" w:space="0"/>
            </w:tcBorders>
            <w:vAlign w:val="center"/>
          </w:tcPr>
          <w:p>
            <w:pPr>
              <w:widowControl w:val="0"/>
              <w:spacing w:after="0" w:line="240" w:lineRule="auto"/>
              <w:jc w:val="center"/>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lang w:val="en-US" w:eastAsia="zh-CN"/>
              </w:rPr>
              <w:t>1.53</w:t>
            </w:r>
            <w:r>
              <w:rPr>
                <w:rFonts w:hint="eastAsia" w:ascii="Times New Roman" w:hAnsi="宋体" w:eastAsia="宋体" w:cs="Times New Roman"/>
                <w:color w:val="auto"/>
                <w:kern w:val="2"/>
                <w:sz w:val="24"/>
                <w:szCs w:val="24"/>
                <w:highlight w:val="none"/>
              </w:rPr>
              <w:t>t/a</w:t>
            </w:r>
          </w:p>
        </w:tc>
        <w:tc>
          <w:tcPr>
            <w:tcW w:w="3038" w:type="dxa"/>
            <w:gridSpan w:val="2"/>
            <w:tcBorders>
              <w:top w:val="single" w:color="auto" w:sz="8" w:space="0"/>
              <w:bottom w:val="single" w:color="auto" w:sz="4" w:space="0"/>
            </w:tcBorders>
            <w:vAlign w:val="center"/>
          </w:tcPr>
          <w:p>
            <w:pPr>
              <w:widowControl w:val="0"/>
              <w:spacing w:after="0" w:line="240" w:lineRule="auto"/>
              <w:jc w:val="center"/>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交给有危险废物处置资质单位处置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jc w:val="center"/>
        </w:trPr>
        <w:tc>
          <w:tcPr>
            <w:tcW w:w="735"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噪</w:t>
            </w:r>
          </w:p>
          <w:p>
            <w:pPr>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声</w:t>
            </w:r>
          </w:p>
        </w:tc>
        <w:tc>
          <w:tcPr>
            <w:tcW w:w="9405" w:type="dxa"/>
            <w:gridSpan w:val="7"/>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rPr>
              <w:t>普通加工机械的运行噪声，噪声值约为70～</w:t>
            </w:r>
            <w:r>
              <w:rPr>
                <w:rFonts w:hint="eastAsia" w:ascii="Times New Roman" w:hAnsi="Times New Roman" w:eastAsia="宋体" w:cs="Times New Roman"/>
                <w:color w:val="auto"/>
                <w:kern w:val="2"/>
                <w:sz w:val="24"/>
                <w:szCs w:val="24"/>
              </w:rPr>
              <w:t>80</w:t>
            </w:r>
            <w:r>
              <w:rPr>
                <w:rFonts w:ascii="Times New Roman" w:hAnsi="Times New Roman" w:eastAsia="宋体" w:cs="Times New Roman"/>
                <w:color w:val="auto"/>
                <w:kern w:val="2"/>
                <w:sz w:val="24"/>
                <w:szCs w:val="24"/>
              </w:rPr>
              <w:t>dB（A）；空压机的运行噪声，噪声值约为</w:t>
            </w:r>
            <w:r>
              <w:rPr>
                <w:rFonts w:hint="eastAsia" w:ascii="Times New Roman" w:hAnsi="Times New Roman" w:eastAsia="宋体" w:cs="Times New Roman"/>
                <w:color w:val="auto"/>
                <w:kern w:val="2"/>
                <w:sz w:val="24"/>
                <w:szCs w:val="24"/>
              </w:rPr>
              <w:t>80</w:t>
            </w:r>
            <w:r>
              <w:rPr>
                <w:rFonts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rPr>
              <w:t>90</w:t>
            </w:r>
            <w:r>
              <w:rPr>
                <w:rFonts w:ascii="Times New Roman" w:hAnsi="Times New Roman" w:eastAsia="宋体" w:cs="Times New Roman"/>
                <w:color w:val="auto"/>
                <w:kern w:val="2"/>
                <w:sz w:val="24"/>
                <w:szCs w:val="24"/>
              </w:rPr>
              <w:t>dB（A）；机械通风所用通风机运行时产生的噪声，其噪声级</w:t>
            </w:r>
            <w:r>
              <w:rPr>
                <w:rFonts w:hint="eastAsia" w:ascii="Times New Roman" w:hAnsi="Times New Roman" w:eastAsia="宋体" w:cs="Times New Roman"/>
                <w:color w:val="auto"/>
                <w:kern w:val="2"/>
                <w:sz w:val="24"/>
                <w:szCs w:val="24"/>
              </w:rPr>
              <w:t>约</w:t>
            </w:r>
            <w:r>
              <w:rPr>
                <w:rFonts w:ascii="Times New Roman" w:hAnsi="Times New Roman" w:eastAsia="宋体" w:cs="Times New Roman"/>
                <w:color w:val="auto"/>
                <w:kern w:val="2"/>
                <w:sz w:val="24"/>
                <w:szCs w:val="24"/>
              </w:rPr>
              <w:t>为70～75dB（A）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94" w:hRule="atLeast"/>
          <w:jc w:val="center"/>
        </w:trPr>
        <w:tc>
          <w:tcPr>
            <w:tcW w:w="735" w:type="dxa"/>
            <w:vAlign w:val="center"/>
          </w:tcPr>
          <w:p>
            <w:pPr>
              <w:widowControl w:val="0"/>
              <w:spacing w:after="0" w:line="360" w:lineRule="auto"/>
              <w:jc w:val="center"/>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其他</w:t>
            </w:r>
          </w:p>
        </w:tc>
        <w:tc>
          <w:tcPr>
            <w:tcW w:w="9405" w:type="dxa"/>
            <w:gridSpan w:val="7"/>
            <w:vAlign w:val="center"/>
          </w:tcPr>
          <w:p>
            <w:pPr>
              <w:widowControl w:val="0"/>
              <w:spacing w:after="0" w:line="360" w:lineRule="auto"/>
              <w:jc w:val="center"/>
              <w:rPr>
                <w:rFonts w:hint="default" w:ascii="Times New Roman" w:hAnsi="Times New Roman" w:eastAsia="宋体" w:cs="Times New Roman"/>
                <w:color w:val="auto"/>
                <w:spacing w:val="2"/>
                <w:kern w:val="2"/>
                <w:sz w:val="24"/>
                <w:szCs w:val="20"/>
                <w:lang w:val="en-US" w:eastAsia="zh-CN"/>
              </w:rPr>
            </w:pPr>
            <w:r>
              <w:rPr>
                <w:rFonts w:hint="eastAsia" w:ascii="Times New Roman" w:hAnsi="Times New Roman" w:eastAsia="宋体" w:cs="Times New Roman"/>
                <w:color w:val="auto"/>
                <w:spacing w:val="2"/>
                <w:kern w:val="2"/>
                <w:sz w:val="24"/>
                <w:szCs w:val="20"/>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140" w:type="dxa"/>
            <w:gridSpan w:val="8"/>
          </w:tcPr>
          <w:p>
            <w:pPr>
              <w:keepNext w:val="0"/>
              <w:keepLines w:val="0"/>
              <w:pageBreakBefore w:val="0"/>
              <w:widowControl w:val="0"/>
              <w:kinsoku/>
              <w:wordWrap/>
              <w:overflowPunct/>
              <w:topLinePunct w:val="0"/>
              <w:autoSpaceDE/>
              <w:autoSpaceDN/>
              <w:bidi w:val="0"/>
              <w:adjustRightInd/>
              <w:snapToGrid/>
              <w:spacing w:after="0" w:line="360" w:lineRule="auto"/>
              <w:jc w:val="both"/>
              <w:textAlignment w:val="auto"/>
              <w:rPr>
                <w:rFonts w:ascii="Times New Roman" w:hAnsi="Times New Roman" w:eastAsia="宋体" w:cs="Times New Roman"/>
                <w:bCs/>
                <w:color w:val="auto"/>
                <w:kern w:val="2"/>
                <w:sz w:val="24"/>
                <w:szCs w:val="24"/>
                <w:highlight w:val="none"/>
              </w:rPr>
            </w:pPr>
            <w:r>
              <w:rPr>
                <w:rFonts w:ascii="Times New Roman" w:hAnsi="Times New Roman" w:eastAsia="宋体" w:cs="Times New Roman"/>
                <w:bCs/>
                <w:color w:val="auto"/>
                <w:kern w:val="2"/>
                <w:sz w:val="24"/>
                <w:szCs w:val="24"/>
                <w:highlight w:val="none"/>
              </w:rPr>
              <w:t>主要生态影响(不够时可附另页):</w:t>
            </w:r>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ascii="Times New Roman" w:hAnsi="Times New Roman" w:eastAsia="宋体" w:cs="Times New Roman"/>
                <w:color w:val="FF0000"/>
                <w:kern w:val="2"/>
                <w:sz w:val="24"/>
                <w:szCs w:val="24"/>
                <w:highlight w:val="none"/>
              </w:rPr>
            </w:pPr>
            <w:r>
              <w:rPr>
                <w:rFonts w:ascii="Times New Roman" w:hAnsi="Times New Roman" w:eastAsia="宋体" w:cs="Times New Roman"/>
                <w:color w:val="auto"/>
                <w:kern w:val="2"/>
                <w:sz w:val="24"/>
                <w:szCs w:val="24"/>
                <w:highlight w:val="none"/>
              </w:rPr>
              <w:t>项目所在厂房</w:t>
            </w:r>
            <w:r>
              <w:rPr>
                <w:rFonts w:hint="eastAsia" w:ascii="Times New Roman" w:hAnsi="Times New Roman" w:eastAsia="宋体" w:cs="Times New Roman"/>
                <w:color w:val="auto"/>
                <w:kern w:val="2"/>
                <w:sz w:val="24"/>
                <w:szCs w:val="24"/>
                <w:highlight w:val="none"/>
                <w:lang w:eastAsia="zh-CN"/>
              </w:rPr>
              <w:t>已建成</w:t>
            </w:r>
            <w:r>
              <w:rPr>
                <w:rFonts w:ascii="Times New Roman" w:hAnsi="Times New Roman" w:eastAsia="宋体" w:cs="Times New Roman"/>
                <w:color w:val="auto"/>
                <w:kern w:val="2"/>
                <w:sz w:val="24"/>
                <w:szCs w:val="24"/>
                <w:highlight w:val="none"/>
              </w:rPr>
              <w:t>，本次环境评价不涉及建设期间环境影响评价。在项目正常运营期间，基本上不会对土壤、植被等周边的生态环境造成严重的污染和影响。</w:t>
            </w:r>
          </w:p>
        </w:tc>
      </w:tr>
    </w:tbl>
    <w:p>
      <w:pPr>
        <w:pStyle w:val="14"/>
        <w:pageBreakBefore/>
        <w:widowControl w:val="0"/>
        <w:spacing w:before="0" w:line="360" w:lineRule="auto"/>
        <w:rPr>
          <w:rFonts w:hint="default" w:ascii="Times New Roman" w:hAnsi="Times New Roman" w:cs="Times New Roman"/>
          <w:color w:val="auto"/>
        </w:rPr>
      </w:pPr>
      <w:bookmarkStart w:id="12" w:name="_Toc472601263"/>
      <w:bookmarkStart w:id="13" w:name="_Toc514773524"/>
      <w:r>
        <w:rPr>
          <w:rFonts w:hint="default" w:ascii="Times New Roman" w:hAnsi="Times New Roman" w:cs="Times New Roman"/>
          <w:color w:val="auto"/>
        </w:rPr>
        <w:t>七、</w:t>
      </w:r>
      <w:r>
        <w:rPr>
          <w:rFonts w:hint="default" w:ascii="Times New Roman" w:hAnsi="Times New Roman" w:eastAsia="宋体" w:cs="Times New Roman"/>
          <w:bCs w:val="0"/>
          <w:color w:val="auto"/>
          <w:kern w:val="44"/>
          <w:sz w:val="30"/>
          <w:szCs w:val="20"/>
        </w:rPr>
        <w:t>环境影响</w:t>
      </w:r>
      <w:r>
        <w:rPr>
          <w:rFonts w:hint="default" w:ascii="Times New Roman" w:hAnsi="Times New Roman" w:cs="Times New Roman"/>
          <w:color w:val="auto"/>
        </w:rPr>
        <w:t>分析</w:t>
      </w:r>
      <w:bookmarkEnd w:id="12"/>
      <w:bookmarkEnd w:id="13"/>
    </w:p>
    <w:tbl>
      <w:tblPr>
        <w:tblStyle w:val="43"/>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9648" w:type="dxa"/>
          </w:tcPr>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施工期环境影响分析:</w:t>
            </w:r>
          </w:p>
          <w:p>
            <w:pPr>
              <w:widowControl w:val="0"/>
              <w:spacing w:after="0" w:line="360" w:lineRule="auto"/>
              <w:ind w:firstLine="480" w:firstLineChars="200"/>
              <w:jc w:val="both"/>
              <w:textAlignment w:val="baseline"/>
              <w:rPr>
                <w:rFonts w:hint="default" w:ascii="Times New Roman" w:hAnsi="Times New Roman" w:cs="Times New Roman"/>
                <w:color w:val="FF0000"/>
                <w:kern w:val="2"/>
              </w:rPr>
            </w:pPr>
            <w:r>
              <w:rPr>
                <w:color w:val="auto"/>
                <w:sz w:val="24"/>
                <w:highlight w:val="none"/>
              </w:rPr>
              <w:t>项目租用厂房，故不存在施工期的环境影响问题。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9648" w:type="dxa"/>
            <w:vAlign w:val="top"/>
          </w:tcPr>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营运期环境影响分析:</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eastAsia" w:ascii="Times New Roman" w:hAnsi="Times New Roman" w:eastAsia="宋体" w:cs="Times New Roman"/>
                <w:b/>
                <w:color w:val="auto"/>
                <w:kern w:val="2"/>
                <w:sz w:val="24"/>
                <w:lang w:eastAsia="zh-CN"/>
              </w:rPr>
              <w:t>一</w:t>
            </w:r>
            <w:r>
              <w:rPr>
                <w:rFonts w:hint="default" w:ascii="Times New Roman" w:hAnsi="Times New Roman" w:eastAsia="宋体" w:cs="Times New Roman"/>
                <w:b/>
                <w:color w:val="auto"/>
                <w:kern w:val="2"/>
                <w:sz w:val="24"/>
              </w:rPr>
              <w:t>、水环境影响分析</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◇生活污水</w:t>
            </w:r>
          </w:p>
          <w:p>
            <w:pPr>
              <w:widowControl w:val="0"/>
              <w:spacing w:after="0" w:line="343" w:lineRule="auto"/>
              <w:ind w:firstLine="480" w:firstLineChars="200"/>
              <w:jc w:val="both"/>
              <w:rPr>
                <w:rFonts w:ascii="Times New Roman" w:hAnsi="宋体" w:eastAsia="宋体" w:cs="Times New Roman"/>
                <w:color w:val="auto"/>
                <w:kern w:val="2"/>
                <w:sz w:val="24"/>
                <w:szCs w:val="24"/>
                <w:shd w:val="clear" w:color="auto" w:fill="auto"/>
              </w:rPr>
            </w:pPr>
            <w:r>
              <w:rPr>
                <w:rFonts w:hint="eastAsia" w:ascii="Times New Roman" w:hAnsi="Times New Roman" w:eastAsia="宋体" w:cs="Times New Roman"/>
                <w:color w:val="auto"/>
                <w:kern w:val="2"/>
                <w:sz w:val="24"/>
                <w:szCs w:val="24"/>
                <w:shd w:val="clear" w:color="auto" w:fill="auto"/>
              </w:rPr>
              <w:t>项目</w:t>
            </w:r>
            <w:r>
              <w:rPr>
                <w:rFonts w:ascii="Times New Roman" w:hAnsi="Times New Roman" w:eastAsia="宋体" w:cs="Times New Roman"/>
                <w:color w:val="auto"/>
                <w:kern w:val="2"/>
                <w:sz w:val="24"/>
                <w:szCs w:val="24"/>
                <w:shd w:val="clear" w:color="auto" w:fill="auto"/>
              </w:rPr>
              <w:t>员工生活污水排放量为</w:t>
            </w:r>
            <w:r>
              <w:rPr>
                <w:rFonts w:hint="eastAsia" w:ascii="Times New Roman" w:hAnsi="Times New Roman" w:eastAsia="宋体" w:cs="Times New Roman"/>
                <w:color w:val="auto"/>
                <w:kern w:val="2"/>
                <w:sz w:val="24"/>
                <w:szCs w:val="24"/>
                <w:shd w:val="clear" w:color="auto" w:fill="auto"/>
                <w:lang w:val="en-US" w:eastAsia="zh-CN"/>
              </w:rPr>
              <w:t>345.6</w:t>
            </w:r>
            <w:r>
              <w:rPr>
                <w:rFonts w:ascii="Times New Roman" w:hAnsi="Times New Roman" w:eastAsia="宋体" w:cs="Times New Roman"/>
                <w:color w:val="auto"/>
                <w:kern w:val="2"/>
                <w:sz w:val="24"/>
                <w:szCs w:val="24"/>
                <w:shd w:val="clear" w:color="auto" w:fill="auto"/>
              </w:rPr>
              <w:t>t/a</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color w:val="auto"/>
                <w:kern w:val="2"/>
                <w:sz w:val="24"/>
                <w:szCs w:val="24"/>
                <w:shd w:val="clear" w:color="auto" w:fill="auto"/>
              </w:rPr>
              <w:t>主要污染物为COD</w:t>
            </w:r>
            <w:r>
              <w:rPr>
                <w:rFonts w:ascii="Times New Roman" w:hAnsi="Times New Roman" w:eastAsia="宋体" w:cs="Times New Roman"/>
                <w:color w:val="auto"/>
                <w:kern w:val="2"/>
                <w:sz w:val="24"/>
                <w:szCs w:val="24"/>
                <w:shd w:val="clear" w:color="auto" w:fill="auto"/>
                <w:vertAlign w:val="subscript"/>
              </w:rPr>
              <w:t>cr</w:t>
            </w:r>
            <w:r>
              <w:rPr>
                <w:rFonts w:ascii="Times New Roman" w:hAnsi="Times New Roman" w:eastAsia="宋体" w:cs="Times New Roman"/>
                <w:color w:val="auto"/>
                <w:kern w:val="2"/>
                <w:sz w:val="24"/>
                <w:szCs w:val="24"/>
                <w:shd w:val="clear" w:color="auto" w:fill="auto"/>
              </w:rPr>
              <w:t>、BOD</w:t>
            </w:r>
            <w:r>
              <w:rPr>
                <w:rFonts w:ascii="Times New Roman" w:hAnsi="Times New Roman" w:eastAsia="宋体" w:cs="Times New Roman"/>
                <w:color w:val="auto"/>
                <w:kern w:val="2"/>
                <w:sz w:val="24"/>
                <w:szCs w:val="24"/>
                <w:shd w:val="clear" w:color="auto" w:fill="auto"/>
                <w:vertAlign w:val="subscript"/>
              </w:rPr>
              <w:t>5</w:t>
            </w:r>
            <w:r>
              <w:rPr>
                <w:rFonts w:ascii="Times New Roman" w:hAnsi="Times New Roman" w:eastAsia="宋体" w:cs="Times New Roman"/>
                <w:color w:val="auto"/>
                <w:kern w:val="2"/>
                <w:sz w:val="24"/>
                <w:szCs w:val="24"/>
                <w:shd w:val="clear" w:color="auto" w:fill="auto"/>
              </w:rPr>
              <w:t>、SS、NH</w:t>
            </w:r>
            <w:r>
              <w:rPr>
                <w:rFonts w:ascii="Times New Roman" w:hAnsi="Times New Roman" w:eastAsia="宋体" w:cs="Times New Roman"/>
                <w:color w:val="auto"/>
                <w:kern w:val="2"/>
                <w:sz w:val="24"/>
                <w:szCs w:val="24"/>
                <w:shd w:val="clear" w:color="auto" w:fill="auto"/>
                <w:vertAlign w:val="subscript"/>
              </w:rPr>
              <w:t>3</w:t>
            </w:r>
            <w:r>
              <w:rPr>
                <w:rFonts w:ascii="Times New Roman" w:hAnsi="Times New Roman" w:eastAsia="宋体" w:cs="Times New Roman"/>
                <w:color w:val="auto"/>
                <w:kern w:val="2"/>
                <w:sz w:val="24"/>
                <w:szCs w:val="24"/>
                <w:shd w:val="clear" w:color="auto" w:fill="auto"/>
              </w:rPr>
              <w:t>-N等。</w:t>
            </w:r>
            <w:r>
              <w:rPr>
                <w:rFonts w:hint="eastAsia" w:ascii="Times New Roman" w:hAnsi="Times New Roman" w:eastAsia="宋体" w:cs="Times New Roman"/>
                <w:bCs/>
                <w:color w:val="auto"/>
                <w:kern w:val="2"/>
                <w:sz w:val="24"/>
                <w:szCs w:val="24"/>
                <w:shd w:val="clear" w:color="auto" w:fill="auto"/>
              </w:rPr>
              <w:t>项目生活污水经三级化粪池预处理后，达到</w:t>
            </w:r>
            <w:r>
              <w:rPr>
                <w:rFonts w:hint="eastAsia" w:ascii="Times New Roman" w:hAnsi="Times New Roman" w:eastAsia="宋体" w:cs="Times New Roman"/>
                <w:bCs/>
                <w:color w:val="auto"/>
                <w:kern w:val="2"/>
                <w:sz w:val="24"/>
                <w:szCs w:val="24"/>
                <w:shd w:val="clear" w:color="auto" w:fill="auto"/>
                <w:lang w:eastAsia="zh-CN"/>
              </w:rPr>
              <w:t>广东省地方标准《水污染物排放限值》</w:t>
            </w:r>
            <w:r>
              <w:rPr>
                <w:rFonts w:hint="eastAsia" w:ascii="Times New Roman" w:hAnsi="Times New Roman" w:eastAsia="宋体" w:cs="Times New Roman"/>
                <w:bCs/>
                <w:color w:val="auto"/>
                <w:kern w:val="2"/>
                <w:sz w:val="24"/>
                <w:szCs w:val="24"/>
                <w:shd w:val="clear" w:color="auto" w:fill="auto"/>
              </w:rPr>
              <w:t>（DB44/26-2001）第二时段三级标准</w:t>
            </w:r>
            <w:r>
              <w:rPr>
                <w:rFonts w:hint="eastAsia" w:ascii="Times New Roman" w:hAnsi="Times New Roman" w:eastAsia="宋体" w:cs="Times New Roman"/>
                <w:color w:val="auto"/>
                <w:kern w:val="2"/>
                <w:sz w:val="24"/>
                <w:szCs w:val="24"/>
                <w:shd w:val="clear" w:color="auto" w:fill="auto"/>
              </w:rPr>
              <w:t>和</w:t>
            </w:r>
            <w:r>
              <w:rPr>
                <w:rFonts w:hint="eastAsia" w:ascii="Times New Roman" w:hAnsi="Times New Roman" w:eastAsia="宋体" w:cs="Times New Roman"/>
                <w:color w:val="auto"/>
                <w:kern w:val="2"/>
                <w:sz w:val="24"/>
                <w:szCs w:val="24"/>
                <w:shd w:val="clear" w:color="auto" w:fill="auto"/>
                <w:lang w:eastAsia="zh-CN"/>
              </w:rPr>
              <w:t>《污水排入城镇下水道水质标准》(GB/T31962-2015 )B级标准</w:t>
            </w:r>
            <w:r>
              <w:rPr>
                <w:rFonts w:hint="eastAsia" w:ascii="Times New Roman" w:hAnsi="Times New Roman" w:eastAsia="宋体" w:cs="Times New Roman"/>
                <w:color w:val="auto"/>
                <w:kern w:val="2"/>
                <w:sz w:val="24"/>
                <w:szCs w:val="24"/>
                <w:shd w:val="clear" w:color="auto" w:fill="auto"/>
              </w:rPr>
              <w:t>较严者</w:t>
            </w:r>
            <w:r>
              <w:rPr>
                <w:rFonts w:hint="eastAsia" w:ascii="Times New Roman" w:hAnsi="Times New Roman" w:eastAsia="宋体" w:cs="Times New Roman"/>
                <w:bCs/>
                <w:color w:val="auto"/>
                <w:kern w:val="2"/>
                <w:sz w:val="24"/>
                <w:szCs w:val="24"/>
                <w:shd w:val="clear" w:color="auto" w:fill="auto"/>
              </w:rPr>
              <w:t>排放至市政污水管网，</w:t>
            </w:r>
            <w:r>
              <w:rPr>
                <w:rFonts w:hint="eastAsia" w:ascii="Times New Roman" w:hAnsi="Times New Roman" w:eastAsia="宋体" w:cs="Times New Roman"/>
                <w:color w:val="auto"/>
                <w:kern w:val="2"/>
                <w:sz w:val="24"/>
                <w:szCs w:val="24"/>
                <w:shd w:val="clear" w:color="auto" w:fill="auto"/>
              </w:rPr>
              <w:t>然后</w:t>
            </w:r>
            <w:r>
              <w:rPr>
                <w:rFonts w:hint="eastAsia" w:ascii="Times New Roman" w:hAnsi="Times New Roman" w:eastAsia="宋体" w:cs="Times New Roman"/>
                <w:bCs/>
                <w:color w:val="auto"/>
                <w:kern w:val="2"/>
                <w:sz w:val="24"/>
                <w:szCs w:val="24"/>
                <w:shd w:val="clear" w:color="auto" w:fill="auto"/>
              </w:rPr>
              <w:t>引</w:t>
            </w:r>
            <w:r>
              <w:rPr>
                <w:rFonts w:hint="eastAsia" w:ascii="Times New Roman" w:hAnsi="Times New Roman" w:eastAsia="宋体" w:cs="Times New Roman"/>
                <w:color w:val="auto"/>
                <w:kern w:val="2"/>
                <w:sz w:val="24"/>
                <w:szCs w:val="24"/>
                <w:shd w:val="clear" w:color="auto" w:fill="auto"/>
              </w:rPr>
              <w:t>至</w:t>
            </w:r>
            <w:r>
              <w:rPr>
                <w:rFonts w:hint="eastAsia" w:ascii="Times New Roman" w:hAnsi="Times New Roman" w:eastAsia="宋体" w:cs="Times New Roman"/>
                <w:color w:val="auto"/>
                <w:kern w:val="2"/>
                <w:sz w:val="24"/>
                <w:szCs w:val="24"/>
                <w:shd w:val="clear" w:color="auto" w:fill="auto"/>
                <w:lang w:eastAsia="zh-CN"/>
              </w:rPr>
              <w:t>开平市水口污水处理厂</w:t>
            </w:r>
            <w:r>
              <w:rPr>
                <w:rFonts w:hint="eastAsia" w:ascii="Times New Roman" w:hAnsi="Times New Roman" w:eastAsia="宋体" w:cs="Times New Roman"/>
                <w:color w:val="auto"/>
                <w:kern w:val="2"/>
                <w:sz w:val="24"/>
                <w:szCs w:val="24"/>
                <w:shd w:val="clear" w:color="auto" w:fill="auto"/>
              </w:rPr>
              <w:t>处</w:t>
            </w:r>
            <w:r>
              <w:rPr>
                <w:rFonts w:hint="eastAsia" w:ascii="Times New Roman" w:hAnsi="Times New Roman" w:eastAsia="宋体" w:cs="Times New Roman"/>
                <w:bCs/>
                <w:color w:val="auto"/>
                <w:kern w:val="2"/>
                <w:sz w:val="24"/>
                <w:szCs w:val="24"/>
                <w:shd w:val="clear" w:color="auto" w:fill="auto"/>
              </w:rPr>
              <w:t>理后达</w:t>
            </w:r>
            <w:r>
              <w:rPr>
                <w:rFonts w:hint="eastAsia" w:ascii="Times New Roman" w:hAnsi="Times New Roman" w:eastAsia="宋体" w:cs="Times New Roman"/>
                <w:color w:val="auto"/>
                <w:kern w:val="2"/>
                <w:sz w:val="24"/>
                <w:szCs w:val="24"/>
                <w:shd w:val="clear" w:color="auto" w:fill="auto"/>
              </w:rPr>
              <w:t>到</w:t>
            </w:r>
            <w:r>
              <w:rPr>
                <w:rFonts w:hint="eastAsia" w:ascii="Times New Roman" w:hAnsi="Times New Roman" w:eastAsia="宋体" w:cs="Times New Roman"/>
                <w:color w:val="auto"/>
                <w:kern w:val="2"/>
                <w:sz w:val="24"/>
                <w:szCs w:val="24"/>
                <w:shd w:val="clear" w:color="auto" w:fill="auto"/>
                <w:lang w:eastAsia="zh-CN"/>
              </w:rPr>
              <w:t>《城镇污水处理厂污染物排放标准》（GB18918-2002）中一级A 标准及广东省地方标准《水污染物排放限值》（DB44/26-2001）第二时段一级标准的较严值</w:t>
            </w:r>
            <w:r>
              <w:rPr>
                <w:rFonts w:ascii="Times New Roman" w:hAnsi="Times New Roman" w:eastAsia="宋体" w:cs="Times New Roman"/>
                <w:bCs/>
                <w:color w:val="auto"/>
                <w:kern w:val="2"/>
                <w:sz w:val="24"/>
                <w:szCs w:val="24"/>
                <w:shd w:val="clear" w:color="auto" w:fill="auto"/>
              </w:rPr>
              <w:t>后排放</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color w:val="auto"/>
                <w:kern w:val="2"/>
                <w:sz w:val="24"/>
                <w:szCs w:val="24"/>
                <w:shd w:val="clear" w:color="auto" w:fill="auto"/>
              </w:rPr>
              <w:t>项目产生生活污水经处理后水污染物得到一定量削减，减轻了污水排放对纳污水体的污染负荷，有利于水环境保护</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bCs/>
                <w:color w:val="auto"/>
                <w:kern w:val="2"/>
                <w:sz w:val="24"/>
                <w:szCs w:val="20"/>
                <w:shd w:val="clear" w:color="auto" w:fill="auto"/>
              </w:rPr>
              <w:t>则项目生活污水对周围环境影响不大。</w:t>
            </w:r>
          </w:p>
          <w:p>
            <w:pPr>
              <w:widowControl w:val="0"/>
              <w:spacing w:after="0" w:line="360" w:lineRule="auto"/>
              <w:ind w:firstLine="482" w:firstLineChars="200"/>
              <w:jc w:val="both"/>
              <w:rPr>
                <w:rFonts w:hint="eastAsia" w:ascii="Times New Roman" w:hAnsi="Times New Roman" w:eastAsia="宋体" w:cs="Times New Roman"/>
                <w:b/>
                <w:color w:val="auto"/>
                <w:kern w:val="2"/>
                <w:sz w:val="24"/>
                <w:szCs w:val="24"/>
                <w:shd w:val="clear" w:color="auto" w:fill="auto"/>
                <w:lang w:eastAsia="zh-CN"/>
              </w:rPr>
            </w:pPr>
            <w:r>
              <w:rPr>
                <w:rFonts w:ascii="Times New Roman" w:hAnsi="Times New Roman" w:eastAsia="宋体" w:cs="Times New Roman"/>
                <w:b/>
                <w:color w:val="auto"/>
                <w:kern w:val="2"/>
                <w:sz w:val="24"/>
                <w:szCs w:val="24"/>
                <w:shd w:val="clear" w:color="auto" w:fill="auto"/>
              </w:rPr>
              <w:t>污水处理厂简介：</w:t>
            </w:r>
            <w:r>
              <w:rPr>
                <w:rFonts w:hint="eastAsia" w:ascii="Times New Roman" w:hAnsi="Times New Roman" w:eastAsia="宋体" w:cs="Times New Roman"/>
                <w:b w:val="0"/>
                <w:bCs/>
                <w:color w:val="auto"/>
                <w:kern w:val="2"/>
                <w:sz w:val="24"/>
                <w:szCs w:val="24"/>
                <w:shd w:val="clear" w:color="auto" w:fill="auto"/>
              </w:rPr>
              <w:t>开平市水口污水处理厂位于水口镇泮兴路16号，设计处理规模为5000吨/天，</w:t>
            </w:r>
            <w:r>
              <w:rPr>
                <w:rFonts w:hint="eastAsia" w:ascii="Times New Roman" w:hAnsi="Times New Roman" w:eastAsia="宋体" w:cs="Times New Roman"/>
                <w:color w:val="auto"/>
                <w:kern w:val="2"/>
                <w:sz w:val="24"/>
                <w:szCs w:val="24"/>
                <w:shd w:val="clear" w:color="auto" w:fill="auto"/>
                <w:lang w:eastAsia="zh-CN"/>
              </w:rPr>
              <w:t>开平市水口污水处理厂</w:t>
            </w:r>
            <w:r>
              <w:rPr>
                <w:rFonts w:hint="eastAsia" w:ascii="Times New Roman" w:hAnsi="Times New Roman" w:eastAsia="宋体" w:cs="Times New Roman"/>
                <w:b w:val="0"/>
                <w:bCs/>
                <w:color w:val="auto"/>
                <w:kern w:val="2"/>
                <w:sz w:val="24"/>
                <w:szCs w:val="24"/>
                <w:shd w:val="clear" w:color="auto" w:fill="auto"/>
              </w:rPr>
              <w:t>主要收集水口镇新市、东方红、泮村、泮南、永安等管理区和第二、第四工业园的生活污水</w:t>
            </w:r>
            <w:r>
              <w:rPr>
                <w:rFonts w:hint="eastAsia" w:ascii="Times New Roman" w:hAnsi="Times New Roman" w:eastAsia="宋体" w:cs="Times New Roman"/>
                <w:b w:val="0"/>
                <w:bCs/>
                <w:color w:val="auto"/>
                <w:kern w:val="2"/>
                <w:sz w:val="24"/>
                <w:szCs w:val="24"/>
                <w:shd w:val="clear" w:color="auto" w:fill="auto"/>
                <w:lang w:eastAsia="zh-CN"/>
              </w:rPr>
              <w:t>。</w:t>
            </w:r>
            <w:r>
              <w:rPr>
                <w:rFonts w:hint="eastAsia" w:ascii="Times New Roman" w:hAnsi="Times New Roman" w:eastAsia="宋体" w:cs="Times New Roman"/>
                <w:b w:val="0"/>
                <w:bCs/>
                <w:color w:val="auto"/>
                <w:kern w:val="2"/>
                <w:sz w:val="24"/>
                <w:szCs w:val="24"/>
                <w:shd w:val="clear" w:color="auto" w:fill="auto"/>
              </w:rPr>
              <w:t>工程占地面积6666.7 平方米，建筑面积1016 平方米。水口污水处理厂于2007 年开始开工建设，于2009年12月建成并开始试运行，采用“CASS”处理工艺，该方案成熟可靠，在正常运营的情况下，尾水完全可以达到既定标准的要求</w:t>
            </w:r>
            <w:r>
              <w:rPr>
                <w:rFonts w:hint="eastAsia" w:ascii="Times New Roman" w:hAnsi="Times New Roman" w:eastAsia="宋体" w:cs="Times New Roman"/>
                <w:b w:val="0"/>
                <w:bCs/>
                <w:color w:val="auto"/>
                <w:kern w:val="2"/>
                <w:sz w:val="24"/>
                <w:szCs w:val="24"/>
                <w:shd w:val="clear" w:color="auto" w:fill="auto"/>
                <w:lang w:eastAsia="zh-CN"/>
              </w:rPr>
              <w:t>。</w:t>
            </w:r>
          </w:p>
          <w:p>
            <w:pPr>
              <w:widowControl w:val="0"/>
              <w:spacing w:after="0" w:line="360" w:lineRule="auto"/>
              <w:ind w:right="170" w:firstLine="472" w:firstLineChars="196"/>
              <w:jc w:val="both"/>
              <w:rPr>
                <w:rFonts w:hint="eastAsia" w:ascii="Times New Roman" w:hAnsi="Times New Roman" w:eastAsia="宋体" w:cs="Times New Roman"/>
                <w:b/>
                <w:bCs w:val="0"/>
                <w:color w:val="auto"/>
                <w:spacing w:val="2"/>
                <w:kern w:val="2"/>
                <w:sz w:val="24"/>
                <w:szCs w:val="20"/>
                <w:lang w:eastAsia="zh-CN"/>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bCs w:val="0"/>
                <w:color w:val="auto"/>
                <w:spacing w:val="2"/>
                <w:kern w:val="2"/>
                <w:sz w:val="24"/>
                <w:szCs w:val="20"/>
                <w:lang w:eastAsia="zh-CN"/>
              </w:rPr>
              <w:t>测试用水</w:t>
            </w:r>
          </w:p>
          <w:p>
            <w:pPr>
              <w:widowControl w:val="0"/>
              <w:spacing w:after="0" w:line="360" w:lineRule="auto"/>
              <w:ind w:right="170" w:firstLine="478" w:firstLineChars="196"/>
              <w:jc w:val="both"/>
              <w:rPr>
                <w:rFonts w:hint="default" w:ascii="Times New Roman" w:hAnsi="Times New Roman" w:cs="Times New Roman"/>
                <w:b/>
                <w:color w:val="auto"/>
                <w:sz w:val="24"/>
                <w:szCs w:val="24"/>
              </w:rPr>
            </w:pPr>
            <w:r>
              <w:rPr>
                <w:rFonts w:hint="default" w:ascii="Times New Roman" w:hAnsi="Times New Roman" w:eastAsia="宋体" w:cs="Times New Roman"/>
                <w:color w:val="auto"/>
                <w:spacing w:val="2"/>
                <w:kern w:val="2"/>
                <w:sz w:val="24"/>
                <w:szCs w:val="20"/>
              </w:rPr>
              <w:t>项目生产过程中需要使用试水机对产品进行渗漏性检测，将产品放进水槽内，检测是否他有气泡冒出，从而检验其渗漏性，项目</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量较少，循环使用，需不定期补充因蒸发作用和产品携带减少的水量，每天补充约0.5t自来水，故</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年用量约为</w:t>
            </w:r>
            <w:r>
              <w:rPr>
                <w:rFonts w:hint="eastAsia" w:ascii="Times New Roman" w:hAnsi="Times New Roman" w:eastAsia="宋体" w:cs="Times New Roman"/>
                <w:color w:val="auto"/>
                <w:spacing w:val="2"/>
                <w:kern w:val="2"/>
                <w:sz w:val="24"/>
                <w:szCs w:val="20"/>
                <w:lang w:val="en-US" w:eastAsia="zh-CN"/>
              </w:rPr>
              <w:t>150</w:t>
            </w:r>
            <w:r>
              <w:rPr>
                <w:rFonts w:hint="default" w:ascii="Times New Roman" w:hAnsi="Times New Roman" w:eastAsia="宋体" w:cs="Times New Roman"/>
                <w:color w:val="auto"/>
                <w:spacing w:val="2"/>
                <w:kern w:val="2"/>
                <w:sz w:val="24"/>
                <w:szCs w:val="20"/>
              </w:rPr>
              <w:t>t/a，不外排。</w:t>
            </w:r>
          </w:p>
          <w:p>
            <w:pPr>
              <w:widowControl w:val="0"/>
              <w:spacing w:after="0" w:line="360" w:lineRule="auto"/>
              <w:ind w:right="170" w:firstLine="472" w:firstLineChars="196"/>
              <w:jc w:val="both"/>
              <w:rPr>
                <w:rFonts w:hint="default" w:ascii="Times New Roman" w:hAnsi="Times New Roman" w:eastAsia="宋体" w:cs="Times New Roman"/>
                <w:b/>
                <w:bCs w:val="0"/>
                <w:color w:val="auto"/>
                <w:spacing w:val="2"/>
                <w:kern w:val="2"/>
                <w:sz w:val="24"/>
                <w:szCs w:val="20"/>
              </w:rPr>
            </w:pP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bCs w:val="0"/>
                <w:color w:val="auto"/>
                <w:spacing w:val="2"/>
                <w:kern w:val="2"/>
                <w:sz w:val="24"/>
                <w:szCs w:val="20"/>
              </w:rPr>
              <w:t>喷淋废水</w:t>
            </w:r>
          </w:p>
          <w:p>
            <w:pPr>
              <w:widowControl w:val="0"/>
              <w:spacing w:after="0" w:line="360" w:lineRule="auto"/>
              <w:ind w:right="170" w:firstLine="470" w:firstLineChars="196"/>
              <w:jc w:val="both"/>
              <w:rPr>
                <w:rFonts w:hint="default" w:ascii="Times New Roman" w:hAnsi="Times New Roman" w:eastAsia="宋体" w:cs="Times New Roman"/>
                <w:color w:val="FF0000"/>
                <w:kern w:val="2"/>
                <w:sz w:val="24"/>
                <w:szCs w:val="24"/>
              </w:rPr>
            </w:pPr>
            <w:r>
              <w:rPr>
                <w:rFonts w:hint="default" w:ascii="Times New Roman" w:hAnsi="Times New Roman" w:eastAsia="宋体" w:cs="Times New Roman"/>
                <w:color w:val="auto"/>
                <w:kern w:val="2"/>
                <w:sz w:val="24"/>
                <w:szCs w:val="24"/>
              </w:rPr>
              <w:t>项目红冲过程中产生的</w:t>
            </w:r>
            <w:r>
              <w:rPr>
                <w:rFonts w:hint="eastAsia" w:ascii="Times New Roman" w:hAnsi="Times New Roman" w:eastAsia="宋体" w:cs="Times New Roman"/>
                <w:color w:val="auto"/>
                <w:kern w:val="2"/>
                <w:sz w:val="24"/>
                <w:szCs w:val="24"/>
                <w:lang w:eastAsia="zh-CN"/>
              </w:rPr>
              <w:t>非甲烷总烃</w:t>
            </w:r>
            <w:r>
              <w:rPr>
                <w:rFonts w:hint="default" w:ascii="Times New Roman" w:hAnsi="Times New Roman" w:eastAsia="宋体" w:cs="Times New Roman"/>
                <w:color w:val="auto"/>
                <w:kern w:val="2"/>
                <w:sz w:val="24"/>
                <w:szCs w:val="24"/>
              </w:rPr>
              <w:t>经收集后通过</w:t>
            </w:r>
            <w:r>
              <w:rPr>
                <w:rFonts w:hint="eastAsia" w:ascii="Times New Roman" w:hAnsi="Times New Roman" w:eastAsia="宋体" w:cs="Times New Roman"/>
                <w:color w:val="auto"/>
                <w:kern w:val="2"/>
                <w:sz w:val="24"/>
                <w:szCs w:val="24"/>
                <w:lang w:eastAsia="zh-CN"/>
              </w:rPr>
              <w:t>水喷淋+活性炭吸附装置</w:t>
            </w:r>
            <w:r>
              <w:rPr>
                <w:rFonts w:hint="default" w:ascii="Times New Roman" w:hAnsi="Times New Roman" w:eastAsia="宋体" w:cs="Times New Roman"/>
                <w:color w:val="auto"/>
                <w:kern w:val="2"/>
                <w:sz w:val="24"/>
                <w:szCs w:val="24"/>
              </w:rPr>
              <w:t>处理，喷淋废水经喷淋塔配套循环水池循环后使用，</w:t>
            </w:r>
            <w:r>
              <w:rPr>
                <w:rFonts w:hint="default" w:ascii="Times New Roman" w:hAnsi="Times New Roman" w:cs="Times New Roman"/>
                <w:color w:val="auto"/>
                <w:sz w:val="24"/>
              </w:rPr>
              <w:t>因受热等因素损失，需定期补充新鲜水，</w:t>
            </w:r>
            <w:r>
              <w:rPr>
                <w:rFonts w:hint="default" w:ascii="Times New Roman" w:hAnsi="Times New Roman" w:cs="Times New Roman"/>
                <w:color w:val="auto"/>
                <w:sz w:val="24"/>
                <w:lang w:eastAsia="zh-CN"/>
              </w:rPr>
              <w:t>根据建设单位提供的资料，水喷淋装置循环水池有效水容积为</w:t>
            </w:r>
            <w:r>
              <w:rPr>
                <w:rFonts w:hint="default" w:ascii="Times New Roman" w:hAnsi="Times New Roman" w:cs="Times New Roman"/>
                <w:color w:val="auto"/>
                <w:sz w:val="24"/>
                <w:lang w:val="en-US" w:eastAsia="zh-CN"/>
              </w:rPr>
              <w:t>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，每天</w:t>
            </w:r>
            <w:r>
              <w:rPr>
                <w:rFonts w:hint="default" w:ascii="Times New Roman" w:hAnsi="Times New Roman" w:cs="Times New Roman"/>
                <w:color w:val="auto"/>
                <w:sz w:val="24"/>
              </w:rPr>
              <w:t>补充损耗水量约为</w:t>
            </w:r>
            <w:r>
              <w:rPr>
                <w:rFonts w:hint="default" w:ascii="Times New Roman" w:hAnsi="Times New Roman" w:cs="Times New Roman"/>
                <w:color w:val="auto"/>
                <w:sz w:val="24"/>
                <w:lang w:eastAsia="zh-CN"/>
              </w:rPr>
              <w:t>水池容积的</w:t>
            </w:r>
            <w:r>
              <w:rPr>
                <w:rFonts w:hint="default" w:ascii="Times New Roman" w:hAnsi="Times New Roman" w:cs="Times New Roman"/>
                <w:color w:val="auto"/>
                <w:sz w:val="24"/>
                <w:lang w:val="en-US" w:eastAsia="zh-CN"/>
              </w:rPr>
              <w:t>5%，0.2</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d，即60</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喷淋废水</w:t>
            </w:r>
            <w:r>
              <w:rPr>
                <w:rFonts w:hint="eastAsia" w:ascii="Times New Roman" w:hAnsi="Times New Roman" w:cs="Times New Roman"/>
                <w:bCs/>
                <w:color w:val="auto"/>
                <w:sz w:val="24"/>
                <w:szCs w:val="24"/>
                <w:highlight w:val="none"/>
                <w:lang w:eastAsia="zh-CN"/>
              </w:rPr>
              <w:t>循环</w:t>
            </w:r>
            <w:r>
              <w:rPr>
                <w:rFonts w:hint="default" w:ascii="Times New Roman" w:hAnsi="Times New Roman" w:cs="Times New Roman"/>
                <w:bCs/>
                <w:color w:val="auto"/>
                <w:sz w:val="24"/>
                <w:szCs w:val="24"/>
                <w:highlight w:val="none"/>
              </w:rPr>
              <w:t>一段时间后需定期更换</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2"/>
                <w:highlight w:val="none"/>
              </w:rPr>
              <w:t>每</w:t>
            </w:r>
            <w:r>
              <w:rPr>
                <w:rFonts w:hint="eastAsia"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rPr>
              <w:t>个月更换一次，更换水量为</w:t>
            </w:r>
            <w:r>
              <w:rPr>
                <w:rFonts w:hint="eastAsia" w:ascii="Times New Roman" w:hAnsi="Times New Roman" w:cs="Times New Roman"/>
                <w:color w:val="auto"/>
                <w:sz w:val="24"/>
                <w:szCs w:val="22"/>
                <w:highlight w:val="none"/>
                <w:lang w:val="en-US" w:eastAsia="zh-CN"/>
              </w:rPr>
              <w:t>4</w:t>
            </w:r>
            <w:r>
              <w:rPr>
                <w:rFonts w:hint="default" w:ascii="Times New Roman" w:hAnsi="Times New Roman" w:cs="Times New Roman"/>
                <w:color w:val="auto"/>
                <w:sz w:val="24"/>
                <w:szCs w:val="22"/>
                <w:highlight w:val="none"/>
              </w:rPr>
              <w:t>吨/次，则更换废水产生量为</w:t>
            </w:r>
            <w:r>
              <w:rPr>
                <w:rFonts w:hint="eastAsia" w:ascii="Times New Roman" w:hAnsi="Times New Roman" w:cs="Times New Roman"/>
                <w:color w:val="auto"/>
                <w:sz w:val="24"/>
                <w:szCs w:val="22"/>
                <w:highlight w:val="none"/>
                <w:lang w:val="en-US" w:eastAsia="zh-CN"/>
              </w:rPr>
              <w:t>16</w:t>
            </w:r>
            <w:r>
              <w:rPr>
                <w:rFonts w:hint="default" w:ascii="Times New Roman" w:hAnsi="Times New Roman" w:cs="Times New Roman"/>
                <w:color w:val="auto"/>
                <w:sz w:val="24"/>
                <w:szCs w:val="22"/>
                <w:highlight w:val="none"/>
              </w:rPr>
              <w:t>t/a。该废水经收集后定期交有资质单位处理，不外排。</w:t>
            </w:r>
          </w:p>
          <w:p>
            <w:pPr>
              <w:widowControl w:val="0"/>
              <w:spacing w:after="0" w:line="360" w:lineRule="auto"/>
              <w:ind w:firstLine="482" w:firstLineChars="200"/>
              <w:jc w:val="both"/>
              <w:rPr>
                <w:rFonts w:hint="default" w:ascii="Times New Roman" w:hAnsi="Times New Roman" w:cs="Times New Roman" w:eastAsiaTheme="minorEastAsia"/>
                <w:b/>
                <w:bCs/>
                <w:color w:val="auto"/>
                <w:kern w:val="2"/>
                <w:sz w:val="24"/>
                <w:szCs w:val="24"/>
                <w:lang w:val="en-US" w:eastAsia="zh-CN" w:bidi="ar-SA"/>
              </w:rPr>
            </w:pPr>
            <w:r>
              <w:rPr>
                <w:rFonts w:hint="default" w:ascii="Times New Roman" w:hAnsi="Times New Roman" w:cs="Times New Roman" w:eastAsiaTheme="minorEastAsia"/>
                <w:b/>
                <w:bCs/>
                <w:color w:val="auto"/>
                <w:kern w:val="2"/>
                <w:sz w:val="24"/>
                <w:szCs w:val="24"/>
                <w:lang w:val="en-US" w:eastAsia="zh-CN" w:bidi="ar-SA"/>
              </w:rPr>
              <w:t>地表水环境影响评价</w:t>
            </w:r>
          </w:p>
          <w:p>
            <w:pPr>
              <w:widowControl w:val="0"/>
              <w:spacing w:after="0" w:line="360" w:lineRule="auto"/>
              <w:ind w:firstLine="480" w:firstLineChars="20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（1）评价等级确定</w:t>
            </w:r>
          </w:p>
          <w:p>
            <w:pPr>
              <w:widowControl w:val="0"/>
              <w:spacing w:after="0" w:line="360" w:lineRule="auto"/>
              <w:ind w:firstLine="480" w:firstLineChars="20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根据《环境影响评价技术导则地表水环境（HJ 2.3—2018）》按照建设项目的影响类型、排放方式、排放量或影响情况、受纳水体环境质量现状、水环境保护目标等综合确定，水污染影响型建设项目评价等级判定依据见表</w:t>
            </w:r>
            <w:r>
              <w:rPr>
                <w:rFonts w:hint="eastAsia" w:ascii="Times New Roman" w:hAnsi="Times New Roman" w:cs="Times New Roman"/>
                <w:color w:val="auto"/>
                <w:kern w:val="2"/>
                <w:sz w:val="24"/>
                <w:szCs w:val="24"/>
                <w:lang w:val="en-US" w:eastAsia="zh-CN" w:bidi="ar-SA"/>
              </w:rPr>
              <w:t>25</w:t>
            </w:r>
            <w:r>
              <w:rPr>
                <w:rFonts w:hint="default" w:ascii="Times New Roman" w:hAnsi="Times New Roman" w:cs="Times New Roman" w:eastAsiaTheme="minorEastAsia"/>
                <w:color w:val="auto"/>
                <w:kern w:val="2"/>
                <w:sz w:val="24"/>
                <w:szCs w:val="24"/>
                <w:lang w:val="en-US" w:eastAsia="zh-CN" w:bidi="ar-SA"/>
              </w:rPr>
              <w:t>。根据工程分析，本项目的等级判定参数见</w:t>
            </w:r>
            <w:r>
              <w:rPr>
                <w:rFonts w:hint="eastAsia" w:ascii="Times New Roman" w:hAnsi="Times New Roman" w:cs="Times New Roman" w:eastAsiaTheme="minorEastAsia"/>
                <w:color w:val="auto"/>
                <w:kern w:val="2"/>
                <w:sz w:val="24"/>
                <w:szCs w:val="24"/>
                <w:lang w:val="en-US" w:eastAsia="zh-CN" w:bidi="ar-SA"/>
              </w:rPr>
              <w:t>表</w:t>
            </w:r>
            <w:r>
              <w:rPr>
                <w:rFonts w:hint="eastAsia" w:ascii="Times New Roman" w:hAnsi="Times New Roman" w:cs="Times New Roman"/>
                <w:color w:val="auto"/>
                <w:kern w:val="2"/>
                <w:sz w:val="24"/>
                <w:szCs w:val="24"/>
                <w:lang w:val="en-US" w:eastAsia="zh-CN" w:bidi="ar-SA"/>
              </w:rPr>
              <w:t>26</w:t>
            </w:r>
            <w:r>
              <w:rPr>
                <w:rFonts w:hint="default" w:ascii="Times New Roman" w:hAnsi="Times New Roman" w:cs="Times New Roman" w:eastAsiaTheme="minorEastAsia"/>
                <w:color w:val="auto"/>
                <w:kern w:val="2"/>
                <w:sz w:val="24"/>
                <w:szCs w:val="24"/>
                <w:lang w:val="en-US" w:eastAsia="zh-CN" w:bidi="ar-SA"/>
              </w:rPr>
              <w:t>，判定结果为三级B。</w:t>
            </w:r>
          </w:p>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 xml:space="preserve">  水污染影响型建设项目评价等级判定依据</w:t>
            </w:r>
          </w:p>
          <w:tbl>
            <w:tblPr>
              <w:tblStyle w:val="43"/>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9"/>
              <w:gridCol w:w="2949"/>
              <w:gridCol w:w="2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评价等级</w:t>
                  </w:r>
                </w:p>
              </w:tc>
              <w:tc>
                <w:tcPr>
                  <w:tcW w:w="5895" w:type="dxa"/>
                  <w:gridSpan w:val="2"/>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排放方式</w:t>
                  </w:r>
                </w:p>
              </w:tc>
              <w:tc>
                <w:tcPr>
                  <w:tcW w:w="294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废水排放量（Q/m</w:t>
                  </w:r>
                  <w:r>
                    <w:rPr>
                      <w:rFonts w:hint="default" w:ascii="Times New Roman" w:hAnsi="Times New Roman" w:cs="Times New Roman" w:eastAsiaTheme="minorEastAsia"/>
                      <w:color w:val="auto"/>
                      <w:kern w:val="2"/>
                      <w:sz w:val="21"/>
                      <w:szCs w:val="21"/>
                      <w:vertAlign w:val="superscript"/>
                      <w:lang w:val="en-US" w:eastAsia="zh-CN" w:bidi="ar-SA"/>
                    </w:rPr>
                    <w:t>3</w:t>
                  </w:r>
                  <w:r>
                    <w:rPr>
                      <w:rFonts w:hint="default" w:ascii="Times New Roman" w:hAnsi="Times New Roman" w:cs="Times New Roman" w:eastAsiaTheme="minorEastAsia"/>
                      <w:color w:val="auto"/>
                      <w:kern w:val="2"/>
                      <w:sz w:val="21"/>
                      <w:szCs w:val="21"/>
                      <w:lang w:val="en-US" w:eastAsia="zh-CN" w:bidi="ar-SA"/>
                    </w:rPr>
                    <w:t>/d）</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一级</w:t>
                  </w:r>
                </w:p>
              </w:tc>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直接排放</w:t>
                  </w:r>
                </w:p>
              </w:tc>
              <w:tc>
                <w:tcPr>
                  <w:tcW w:w="294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二级</w:t>
                  </w:r>
                </w:p>
              </w:tc>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直接排放</w:t>
                  </w:r>
                </w:p>
              </w:tc>
              <w:tc>
                <w:tcPr>
                  <w:tcW w:w="294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三级A</w:t>
                  </w:r>
                </w:p>
              </w:tc>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直接排放</w:t>
                  </w:r>
                </w:p>
              </w:tc>
              <w:tc>
                <w:tcPr>
                  <w:tcW w:w="294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三级B</w:t>
                  </w:r>
                </w:p>
              </w:tc>
              <w:tc>
                <w:tcPr>
                  <w:tcW w:w="294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间接排放</w:t>
                  </w:r>
                </w:p>
              </w:tc>
              <w:tc>
                <w:tcPr>
                  <w:tcW w:w="294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w:t>
                  </w:r>
                </w:p>
              </w:tc>
            </w:tr>
          </w:tbl>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 xml:space="preserve"> 本项目的等级判定结果</w:t>
            </w:r>
          </w:p>
          <w:tbl>
            <w:tblPr>
              <w:tblStyle w:val="44"/>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2713"/>
              <w:gridCol w:w="4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09" w:type="dxa"/>
                  <w:gridSpan w:val="2"/>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影响类型</w:t>
                  </w:r>
                </w:p>
              </w:tc>
              <w:tc>
                <w:tcPr>
                  <w:tcW w:w="458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水污染影响型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4309" w:type="dxa"/>
                  <w:gridSpan w:val="2"/>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排放方式</w:t>
                  </w:r>
                </w:p>
              </w:tc>
              <w:tc>
                <w:tcPr>
                  <w:tcW w:w="458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间接排放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596"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水环境保护目标</w:t>
                  </w:r>
                </w:p>
              </w:tc>
              <w:tc>
                <w:tcPr>
                  <w:tcW w:w="271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是否涉及保护目标</w:t>
                  </w:r>
                </w:p>
              </w:tc>
              <w:tc>
                <w:tcPr>
                  <w:tcW w:w="458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59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271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保护目标</w:t>
                  </w:r>
                </w:p>
              </w:tc>
              <w:tc>
                <w:tcPr>
                  <w:tcW w:w="458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09" w:type="dxa"/>
                  <w:gridSpan w:val="2"/>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等级判定结果</w:t>
                  </w:r>
                </w:p>
              </w:tc>
              <w:tc>
                <w:tcPr>
                  <w:tcW w:w="458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三级B</w:t>
                  </w:r>
                </w:p>
              </w:tc>
            </w:tr>
          </w:tbl>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废水类别、污染物及污染治理设施信息表</w:t>
            </w:r>
          </w:p>
          <w:tbl>
            <w:tblPr>
              <w:tblStyle w:val="44"/>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38"/>
              <w:gridCol w:w="528"/>
              <w:gridCol w:w="809"/>
              <w:gridCol w:w="530"/>
              <w:gridCol w:w="1195"/>
              <w:gridCol w:w="834"/>
              <w:gridCol w:w="864"/>
              <w:gridCol w:w="923"/>
              <w:gridCol w:w="780"/>
              <w:gridCol w:w="736"/>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38"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序号</w:t>
                  </w:r>
                </w:p>
              </w:tc>
              <w:tc>
                <w:tcPr>
                  <w:tcW w:w="528"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废水类别</w:t>
                  </w:r>
                </w:p>
              </w:tc>
              <w:tc>
                <w:tcPr>
                  <w:tcW w:w="809"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污染物种类</w:t>
                  </w:r>
                </w:p>
              </w:tc>
              <w:tc>
                <w:tcPr>
                  <w:tcW w:w="530"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排放去向</w:t>
                  </w:r>
                </w:p>
              </w:tc>
              <w:tc>
                <w:tcPr>
                  <w:tcW w:w="1195"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排放规律</w:t>
                  </w:r>
                </w:p>
              </w:tc>
              <w:tc>
                <w:tcPr>
                  <w:tcW w:w="2621" w:type="dxa"/>
                  <w:gridSpan w:val="3"/>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污染防治设施</w:t>
                  </w:r>
                </w:p>
              </w:tc>
              <w:tc>
                <w:tcPr>
                  <w:tcW w:w="780"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排放口</w:t>
                  </w:r>
                </w:p>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编号</w:t>
                  </w:r>
                </w:p>
              </w:tc>
              <w:tc>
                <w:tcPr>
                  <w:tcW w:w="736"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排放口设置是否符合要求</w:t>
                  </w:r>
                </w:p>
              </w:tc>
              <w:tc>
                <w:tcPr>
                  <w:tcW w:w="1523" w:type="dxa"/>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1" w:hRule="atLeast"/>
                <w:jc w:val="center"/>
              </w:trPr>
              <w:tc>
                <w:tcPr>
                  <w:tcW w:w="338"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528"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80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53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19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834" w:type="dxa"/>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污染设施施编号</w:t>
                  </w:r>
                </w:p>
              </w:tc>
              <w:tc>
                <w:tcPr>
                  <w:tcW w:w="864" w:type="dxa"/>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污染治理设施名称</w:t>
                  </w:r>
                </w:p>
              </w:tc>
              <w:tc>
                <w:tcPr>
                  <w:tcW w:w="923" w:type="dxa"/>
                  <w:vAlign w:val="center"/>
                </w:tcPr>
                <w:p>
                  <w:pPr>
                    <w:widowControl w:val="0"/>
                    <w:spacing w:after="0" w:line="240"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污染治理设施工艺</w:t>
                  </w:r>
                </w:p>
              </w:tc>
              <w:tc>
                <w:tcPr>
                  <w:tcW w:w="78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73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523"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38"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1</w:t>
                  </w:r>
                </w:p>
              </w:tc>
              <w:tc>
                <w:tcPr>
                  <w:tcW w:w="528"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生活污水</w:t>
                  </w:r>
                </w:p>
              </w:tc>
              <w:tc>
                <w:tcPr>
                  <w:tcW w:w="80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COD、</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BOD、</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氨氮等</w:t>
                  </w:r>
                </w:p>
              </w:tc>
              <w:tc>
                <w:tcPr>
                  <w:tcW w:w="530"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进入</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城市</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污水</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处理厂</w:t>
                  </w:r>
                </w:p>
              </w:tc>
              <w:tc>
                <w:tcPr>
                  <w:tcW w:w="1195"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间断排放，排放期间流量不稳定且无规律，但不属于冲击型排放</w:t>
                  </w:r>
                </w:p>
              </w:tc>
              <w:tc>
                <w:tcPr>
                  <w:tcW w:w="83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w:t>
                  </w:r>
                </w:p>
              </w:tc>
              <w:tc>
                <w:tcPr>
                  <w:tcW w:w="86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化粪池</w:t>
                  </w:r>
                </w:p>
              </w:tc>
              <w:tc>
                <w:tcPr>
                  <w:tcW w:w="92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分格沉淀、厌氧消化</w:t>
                  </w:r>
                </w:p>
              </w:tc>
              <w:tc>
                <w:tcPr>
                  <w:tcW w:w="780"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WS-01</w:t>
                  </w:r>
                </w:p>
              </w:tc>
              <w:tc>
                <w:tcPr>
                  <w:tcW w:w="736"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√是</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□否</w:t>
                  </w:r>
                </w:p>
              </w:tc>
              <w:tc>
                <w:tcPr>
                  <w:tcW w:w="152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√企业总排</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□雨水排放</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□清净下水排放</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□温排水排放</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□车间或车间处理设施排放口</w:t>
                  </w:r>
                </w:p>
              </w:tc>
            </w:tr>
          </w:tbl>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废水间接排放口基本情况表</w:t>
            </w:r>
          </w:p>
          <w:tbl>
            <w:tblPr>
              <w:tblStyle w:val="44"/>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10"/>
              <w:gridCol w:w="529"/>
              <w:gridCol w:w="870"/>
              <w:gridCol w:w="780"/>
              <w:gridCol w:w="855"/>
              <w:gridCol w:w="720"/>
              <w:gridCol w:w="1571"/>
              <w:gridCol w:w="435"/>
              <w:gridCol w:w="825"/>
              <w:gridCol w:w="822"/>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序号</w:t>
                  </w:r>
                </w:p>
              </w:tc>
              <w:tc>
                <w:tcPr>
                  <w:tcW w:w="529"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排放口</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编号</w:t>
                  </w:r>
                </w:p>
              </w:tc>
              <w:tc>
                <w:tcPr>
                  <w:tcW w:w="1650" w:type="dxa"/>
                  <w:gridSpan w:val="2"/>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排放口地理坐标</w:t>
                  </w:r>
                </w:p>
              </w:tc>
              <w:tc>
                <w:tcPr>
                  <w:tcW w:w="855"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废水</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排放量</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（万t/a）</w:t>
                  </w:r>
                </w:p>
              </w:tc>
              <w:tc>
                <w:tcPr>
                  <w:tcW w:w="72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排放</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去向</w:t>
                  </w:r>
                </w:p>
              </w:tc>
              <w:tc>
                <w:tcPr>
                  <w:tcW w:w="1571"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排放</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规律</w:t>
                  </w:r>
                </w:p>
              </w:tc>
              <w:tc>
                <w:tcPr>
                  <w:tcW w:w="435"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间歇</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排放</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时段</w:t>
                  </w:r>
                </w:p>
              </w:tc>
              <w:tc>
                <w:tcPr>
                  <w:tcW w:w="2846" w:type="dxa"/>
                  <w:gridSpan w:val="3"/>
                  <w:vMerge w:val="restart"/>
                  <w:vAlign w:val="center"/>
                </w:tcPr>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1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52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7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经度</w:t>
                  </w:r>
                  <w:r>
                    <w:rPr>
                      <w:rFonts w:hint="default" w:ascii="Times New Roman" w:hAnsi="Times New Roman" w:eastAsia="宋体" w:cs="Times New Roman"/>
                      <w:b/>
                      <w:color w:val="auto"/>
                      <w:kern w:val="2"/>
                      <w:sz w:val="21"/>
                      <w:szCs w:val="21"/>
                      <w:shd w:val="clear" w:color="auto" w:fill="auto"/>
                    </w:rPr>
                    <w:t>/</w:t>
                  </w:r>
                  <w:r>
                    <w:rPr>
                      <w:rFonts w:hint="default" w:ascii="Times New Roman" w:hAnsi="Times New Roman" w:cs="Times New Roman" w:eastAsiaTheme="minorEastAsia"/>
                      <w:color w:val="auto"/>
                      <w:kern w:val="2"/>
                      <w:sz w:val="21"/>
                      <w:szCs w:val="21"/>
                      <w:lang w:val="en-US" w:eastAsia="zh-CN" w:bidi="ar-SA"/>
                    </w:rPr>
                    <w:t>°</w:t>
                  </w:r>
                </w:p>
              </w:tc>
              <w:tc>
                <w:tcPr>
                  <w:tcW w:w="78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纬度</w:t>
                  </w:r>
                  <w:r>
                    <w:rPr>
                      <w:rFonts w:hint="default" w:ascii="Times New Roman" w:hAnsi="Times New Roman" w:eastAsia="宋体" w:cs="Times New Roman"/>
                      <w:b/>
                      <w:color w:val="auto"/>
                      <w:kern w:val="2"/>
                      <w:sz w:val="21"/>
                      <w:szCs w:val="21"/>
                      <w:shd w:val="clear" w:color="auto" w:fill="auto"/>
                    </w:rPr>
                    <w:t>/</w:t>
                  </w:r>
                  <w:r>
                    <w:rPr>
                      <w:rFonts w:hint="default" w:ascii="Times New Roman" w:hAnsi="Times New Roman" w:cs="Times New Roman" w:eastAsiaTheme="minorEastAsia"/>
                      <w:color w:val="auto"/>
                      <w:kern w:val="2"/>
                      <w:sz w:val="21"/>
                      <w:szCs w:val="21"/>
                      <w:lang w:val="en-US" w:eastAsia="zh-CN" w:bidi="ar-SA"/>
                    </w:rPr>
                    <w:t>°</w:t>
                  </w:r>
                </w:p>
              </w:tc>
              <w:tc>
                <w:tcPr>
                  <w:tcW w:w="85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2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157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43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2846" w:type="dxa"/>
                  <w:gridSpan w:val="3"/>
                  <w:vMerge w:val="continue"/>
                  <w:vAlign w:val="center"/>
                </w:tcPr>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30" w:hRule="atLeast"/>
                <w:jc w:val="center"/>
              </w:trPr>
              <w:tc>
                <w:tcPr>
                  <w:tcW w:w="41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52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7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8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5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2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157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43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5" w:type="dxa"/>
                  <w:vAlign w:val="center"/>
                </w:tcPr>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名称</w:t>
                  </w:r>
                </w:p>
              </w:tc>
              <w:tc>
                <w:tcPr>
                  <w:tcW w:w="822" w:type="dxa"/>
                  <w:vAlign w:val="center"/>
                </w:tcPr>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污染物种类</w:t>
                  </w:r>
                </w:p>
              </w:tc>
              <w:tc>
                <w:tcPr>
                  <w:tcW w:w="1199" w:type="dxa"/>
                  <w:vAlign w:val="center"/>
                </w:tcPr>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国家或</w:t>
                  </w:r>
                </w:p>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地方污染</w:t>
                  </w:r>
                </w:p>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物排放</w:t>
                  </w:r>
                </w:p>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标准浓度</w:t>
                  </w:r>
                </w:p>
                <w:p>
                  <w:pPr>
                    <w:widowControl w:val="0"/>
                    <w:spacing w:after="0" w:line="240"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41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1</w:t>
                  </w:r>
                </w:p>
              </w:tc>
              <w:tc>
                <w:tcPr>
                  <w:tcW w:w="529"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WS-01</w:t>
                  </w:r>
                </w:p>
              </w:tc>
              <w:tc>
                <w:tcPr>
                  <w:tcW w:w="87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112.7813</w:t>
                  </w:r>
                </w:p>
              </w:tc>
              <w:tc>
                <w:tcPr>
                  <w:tcW w:w="78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22.4594</w:t>
                  </w:r>
                </w:p>
              </w:tc>
              <w:tc>
                <w:tcPr>
                  <w:tcW w:w="855"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eastAsia" w:ascii="Times New Roman" w:hAnsi="Times New Roman" w:cs="Times New Roman" w:eastAsiaTheme="minorEastAsia"/>
                      <w:snapToGrid w:val="0"/>
                      <w:color w:val="auto"/>
                      <w:kern w:val="2"/>
                      <w:sz w:val="21"/>
                      <w:szCs w:val="21"/>
                      <w:lang w:val="en-US" w:eastAsia="zh-CN" w:bidi="ar-SA"/>
                    </w:rPr>
                    <w:t>0.0</w:t>
                  </w:r>
                  <w:r>
                    <w:rPr>
                      <w:rFonts w:hint="eastAsia" w:ascii="Times New Roman" w:hAnsi="Times New Roman" w:cs="Times New Roman"/>
                      <w:snapToGrid w:val="0"/>
                      <w:color w:val="auto"/>
                      <w:kern w:val="2"/>
                      <w:sz w:val="21"/>
                      <w:szCs w:val="21"/>
                      <w:lang w:val="en-US" w:eastAsia="zh-CN" w:bidi="ar-SA"/>
                    </w:rPr>
                    <w:t>3456</w:t>
                  </w:r>
                </w:p>
              </w:tc>
              <w:tc>
                <w:tcPr>
                  <w:tcW w:w="720"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进入</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城市</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污水</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处理厂</w:t>
                  </w:r>
                </w:p>
              </w:tc>
              <w:tc>
                <w:tcPr>
                  <w:tcW w:w="1571"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间断排放，排放期间流量不稳定且无规律，但不属于冲击型排放</w:t>
                  </w:r>
                </w:p>
              </w:tc>
              <w:tc>
                <w:tcPr>
                  <w:tcW w:w="435"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w:t>
                  </w:r>
                </w:p>
              </w:tc>
              <w:tc>
                <w:tcPr>
                  <w:tcW w:w="825"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eastAsia" w:ascii="Times New Roman" w:hAnsi="Times New Roman" w:cs="Times New Roman" w:eastAsiaTheme="minorEastAsia"/>
                      <w:snapToGrid w:val="0"/>
                      <w:color w:val="auto"/>
                      <w:kern w:val="2"/>
                      <w:sz w:val="21"/>
                      <w:szCs w:val="21"/>
                      <w:lang w:val="en-US" w:eastAsia="zh-CN" w:bidi="ar-SA"/>
                    </w:rPr>
                    <w:t>开平市水口污水处理厂</w:t>
                  </w:r>
                </w:p>
              </w:tc>
              <w:tc>
                <w:tcPr>
                  <w:tcW w:w="822"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pH</w:t>
                  </w:r>
                </w:p>
              </w:tc>
              <w:tc>
                <w:tcPr>
                  <w:tcW w:w="1199"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6.0~9.0</w:t>
                  </w:r>
                </w:p>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41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52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7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8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5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2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157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43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2"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COD</w:t>
                  </w:r>
                  <w:r>
                    <w:rPr>
                      <w:rFonts w:hint="default" w:ascii="Times New Roman" w:hAnsi="Times New Roman" w:cs="Times New Roman" w:eastAsiaTheme="minorEastAsia"/>
                      <w:snapToGrid w:val="0"/>
                      <w:color w:val="auto"/>
                      <w:kern w:val="2"/>
                      <w:sz w:val="21"/>
                      <w:szCs w:val="21"/>
                      <w:vertAlign w:val="subscript"/>
                      <w:lang w:val="en-US" w:eastAsia="zh-CN" w:bidi="ar-SA"/>
                    </w:rPr>
                    <w:t>Cr</w:t>
                  </w:r>
                </w:p>
              </w:tc>
              <w:tc>
                <w:tcPr>
                  <w:tcW w:w="1199"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52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7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8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5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2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157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43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2"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BOD</w:t>
                  </w:r>
                  <w:r>
                    <w:rPr>
                      <w:rFonts w:hint="default" w:ascii="Times New Roman" w:hAnsi="Times New Roman" w:cs="Times New Roman" w:eastAsiaTheme="minorEastAsia"/>
                      <w:snapToGrid w:val="0"/>
                      <w:color w:val="auto"/>
                      <w:kern w:val="2"/>
                      <w:sz w:val="21"/>
                      <w:szCs w:val="21"/>
                      <w:vertAlign w:val="subscript"/>
                      <w:lang w:val="en-US" w:eastAsia="zh-CN" w:bidi="ar-SA"/>
                    </w:rPr>
                    <w:t>5</w:t>
                  </w:r>
                </w:p>
              </w:tc>
              <w:tc>
                <w:tcPr>
                  <w:tcW w:w="1199"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eastAsia" w:ascii="Times New Roman" w:hAnsi="Times New Roman" w:cs="Times New Roman" w:eastAsiaTheme="minorEastAsia"/>
                      <w:snapToGrid w:val="0"/>
                      <w:color w:val="auto"/>
                      <w:kern w:val="2"/>
                      <w:sz w:val="21"/>
                      <w:szCs w:val="21"/>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52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7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8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5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2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157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43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2"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SS</w:t>
                  </w:r>
                </w:p>
              </w:tc>
              <w:tc>
                <w:tcPr>
                  <w:tcW w:w="1199"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eastAsia" w:ascii="Times New Roman" w:hAnsi="Times New Roman" w:cs="Times New Roman" w:eastAsiaTheme="minorEastAsia"/>
                      <w:snapToGrid w:val="0"/>
                      <w:color w:val="auto"/>
                      <w:kern w:val="2"/>
                      <w:sz w:val="21"/>
                      <w:szCs w:val="21"/>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52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7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8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5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720"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157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43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5"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p>
              </w:tc>
              <w:tc>
                <w:tcPr>
                  <w:tcW w:w="822"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default" w:ascii="Times New Roman" w:hAnsi="Times New Roman" w:cs="Times New Roman" w:eastAsiaTheme="minorEastAsia"/>
                      <w:snapToGrid w:val="0"/>
                      <w:color w:val="auto"/>
                      <w:kern w:val="2"/>
                      <w:sz w:val="21"/>
                      <w:szCs w:val="21"/>
                      <w:lang w:val="en-US" w:eastAsia="zh-CN" w:bidi="ar-SA"/>
                    </w:rPr>
                    <w:t>NH</w:t>
                  </w:r>
                  <w:r>
                    <w:rPr>
                      <w:rFonts w:hint="default" w:ascii="Times New Roman" w:hAnsi="Times New Roman" w:cs="Times New Roman" w:eastAsiaTheme="minorEastAsia"/>
                      <w:snapToGrid w:val="0"/>
                      <w:color w:val="auto"/>
                      <w:kern w:val="2"/>
                      <w:sz w:val="21"/>
                      <w:szCs w:val="21"/>
                      <w:vertAlign w:val="subscript"/>
                      <w:lang w:val="en-US" w:eastAsia="zh-CN" w:bidi="ar-SA"/>
                    </w:rPr>
                    <w:t>3</w:t>
                  </w:r>
                  <w:r>
                    <w:rPr>
                      <w:rFonts w:hint="default" w:ascii="Times New Roman" w:hAnsi="Times New Roman" w:cs="Times New Roman" w:eastAsiaTheme="minorEastAsia"/>
                      <w:snapToGrid w:val="0"/>
                      <w:color w:val="auto"/>
                      <w:kern w:val="2"/>
                      <w:sz w:val="21"/>
                      <w:szCs w:val="21"/>
                      <w:lang w:val="en-US" w:eastAsia="zh-CN" w:bidi="ar-SA"/>
                    </w:rPr>
                    <w:t>-N</w:t>
                  </w:r>
                </w:p>
              </w:tc>
              <w:tc>
                <w:tcPr>
                  <w:tcW w:w="1199" w:type="dxa"/>
                  <w:vAlign w:val="center"/>
                </w:tcPr>
                <w:p>
                  <w:pPr>
                    <w:widowControl w:val="0"/>
                    <w:spacing w:after="0" w:line="276" w:lineRule="auto"/>
                    <w:ind w:firstLine="0" w:firstLineChars="0"/>
                    <w:jc w:val="center"/>
                    <w:rPr>
                      <w:rFonts w:hint="default" w:ascii="Times New Roman" w:hAnsi="Times New Roman" w:cs="Times New Roman" w:eastAsiaTheme="minorEastAsia"/>
                      <w:snapToGrid w:val="0"/>
                      <w:color w:val="auto"/>
                      <w:kern w:val="2"/>
                      <w:sz w:val="21"/>
                      <w:szCs w:val="21"/>
                      <w:lang w:val="en-US" w:eastAsia="zh-CN" w:bidi="ar-SA"/>
                    </w:rPr>
                  </w:pPr>
                  <w:r>
                    <w:rPr>
                      <w:rFonts w:hint="eastAsia" w:ascii="Times New Roman" w:hAnsi="Times New Roman" w:cs="Times New Roman" w:eastAsiaTheme="minorEastAsia"/>
                      <w:snapToGrid w:val="0"/>
                      <w:color w:val="auto"/>
                      <w:kern w:val="2"/>
                      <w:sz w:val="21"/>
                      <w:szCs w:val="21"/>
                      <w:lang w:val="en-US" w:eastAsia="zh-CN" w:bidi="ar-SA"/>
                    </w:rPr>
                    <w:t>5</w:t>
                  </w:r>
                </w:p>
              </w:tc>
            </w:tr>
          </w:tbl>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废水污染物排放执行标准表</w:t>
            </w:r>
          </w:p>
          <w:tbl>
            <w:tblPr>
              <w:tblStyle w:val="44"/>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52"/>
              <w:gridCol w:w="1446"/>
              <w:gridCol w:w="1284"/>
              <w:gridCol w:w="3651"/>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4" w:hRule="atLeast"/>
                <w:jc w:val="center"/>
              </w:trPr>
              <w:tc>
                <w:tcPr>
                  <w:tcW w:w="552"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序号</w:t>
                  </w:r>
                </w:p>
              </w:tc>
              <w:tc>
                <w:tcPr>
                  <w:tcW w:w="1446"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排放口</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编号</w:t>
                  </w:r>
                </w:p>
              </w:tc>
              <w:tc>
                <w:tcPr>
                  <w:tcW w:w="1284"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污染物种类</w:t>
                  </w:r>
                </w:p>
              </w:tc>
              <w:tc>
                <w:tcPr>
                  <w:tcW w:w="5734" w:type="dxa"/>
                  <w:gridSpan w:val="2"/>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44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284"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5734" w:type="dxa"/>
                  <w:gridSpan w:val="2"/>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552"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44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284"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3651"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名称</w:t>
                  </w:r>
                </w:p>
              </w:tc>
              <w:tc>
                <w:tcPr>
                  <w:tcW w:w="208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0" w:hRule="atLeast"/>
                <w:jc w:val="center"/>
              </w:trPr>
              <w:tc>
                <w:tcPr>
                  <w:tcW w:w="552"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1</w:t>
                  </w:r>
                </w:p>
              </w:tc>
              <w:tc>
                <w:tcPr>
                  <w:tcW w:w="1446"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WS-01</w:t>
                  </w:r>
                </w:p>
              </w:tc>
              <w:tc>
                <w:tcPr>
                  <w:tcW w:w="128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pH</w:t>
                  </w:r>
                </w:p>
              </w:tc>
              <w:tc>
                <w:tcPr>
                  <w:tcW w:w="3651"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Style w:val="50"/>
                      <w:rFonts w:hint="default" w:ascii="Times New Roman" w:hAnsi="Times New Roman" w:eastAsia="宋体" w:cs="Times New Roman"/>
                      <w:color w:val="auto"/>
                      <w:kern w:val="2"/>
                    </w:rPr>
                    <w:t>广东省地方标准《水污染物排放限值》（DB44/26-2001）第二时段三级标准和</w:t>
                  </w:r>
                  <w:r>
                    <w:rPr>
                      <w:rStyle w:val="50"/>
                      <w:rFonts w:hint="eastAsia" w:ascii="Times New Roman" w:hAnsi="Times New Roman" w:eastAsia="宋体" w:cs="Times New Roman"/>
                      <w:color w:val="auto"/>
                      <w:kern w:val="2"/>
                      <w:lang w:eastAsia="zh-CN"/>
                    </w:rPr>
                    <w:t>《污水排入城镇下水道水质标准》(GB/T31962-2015 )B级标准</w:t>
                  </w:r>
                  <w:r>
                    <w:rPr>
                      <w:rStyle w:val="50"/>
                      <w:rFonts w:hint="default" w:ascii="Times New Roman" w:hAnsi="Times New Roman" w:eastAsia="宋体" w:cs="Times New Roman"/>
                      <w:color w:val="auto"/>
                      <w:kern w:val="2"/>
                    </w:rPr>
                    <w:t>较严者</w:t>
                  </w:r>
                </w:p>
              </w:tc>
              <w:tc>
                <w:tcPr>
                  <w:tcW w:w="208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6.0~9.0（无量纲）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552"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44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28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COD</w:t>
                  </w:r>
                  <w:r>
                    <w:rPr>
                      <w:rFonts w:hint="default" w:ascii="Times New Roman" w:hAnsi="Times New Roman" w:cs="Times New Roman" w:eastAsiaTheme="minorEastAsia"/>
                      <w:color w:val="auto"/>
                      <w:kern w:val="2"/>
                      <w:sz w:val="21"/>
                      <w:szCs w:val="21"/>
                      <w:vertAlign w:val="subscript"/>
                      <w:lang w:val="en-US" w:eastAsia="zh-CN" w:bidi="ar-SA"/>
                    </w:rPr>
                    <w:t>Cr</w:t>
                  </w:r>
                </w:p>
              </w:tc>
              <w:tc>
                <w:tcPr>
                  <w:tcW w:w="365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208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44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28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BOD</w:t>
                  </w:r>
                  <w:r>
                    <w:rPr>
                      <w:rFonts w:hint="default" w:ascii="Times New Roman" w:hAnsi="Times New Roman" w:cs="Times New Roman" w:eastAsiaTheme="minorEastAsia"/>
                      <w:color w:val="auto"/>
                      <w:kern w:val="2"/>
                      <w:sz w:val="21"/>
                      <w:szCs w:val="21"/>
                      <w:vertAlign w:val="subscript"/>
                      <w:lang w:val="en-US" w:eastAsia="zh-CN" w:bidi="ar-SA"/>
                    </w:rPr>
                    <w:t>5</w:t>
                  </w:r>
                </w:p>
              </w:tc>
              <w:tc>
                <w:tcPr>
                  <w:tcW w:w="365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208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44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28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SS</w:t>
                  </w:r>
                </w:p>
              </w:tc>
              <w:tc>
                <w:tcPr>
                  <w:tcW w:w="365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208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552"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446"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28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NH</w:t>
                  </w:r>
                  <w:r>
                    <w:rPr>
                      <w:rFonts w:hint="default" w:ascii="Times New Roman" w:hAnsi="Times New Roman" w:cs="Times New Roman" w:eastAsiaTheme="minorEastAsia"/>
                      <w:color w:val="auto"/>
                      <w:kern w:val="2"/>
                      <w:sz w:val="21"/>
                      <w:szCs w:val="21"/>
                      <w:vertAlign w:val="subscript"/>
                      <w:lang w:val="en-US" w:eastAsia="zh-CN" w:bidi="ar-SA"/>
                    </w:rPr>
                    <w:t>3</w:t>
                  </w:r>
                  <w:r>
                    <w:rPr>
                      <w:rFonts w:hint="default" w:ascii="Times New Roman" w:hAnsi="Times New Roman" w:cs="Times New Roman" w:eastAsiaTheme="minorEastAsia"/>
                      <w:color w:val="auto"/>
                      <w:kern w:val="2"/>
                      <w:sz w:val="21"/>
                      <w:szCs w:val="21"/>
                      <w:lang w:val="en-US" w:eastAsia="zh-CN" w:bidi="ar-SA"/>
                    </w:rPr>
                    <w:t>-N</w:t>
                  </w:r>
                </w:p>
              </w:tc>
              <w:tc>
                <w:tcPr>
                  <w:tcW w:w="3651"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2083"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45</w:t>
                  </w:r>
                </w:p>
              </w:tc>
            </w:tr>
          </w:tbl>
          <w:p>
            <w:pPr>
              <w:widowControl/>
              <w:numPr>
                <w:ilvl w:val="0"/>
                <w:numId w:val="2"/>
              </w:numPr>
              <w:tabs>
                <w:tab w:val="left" w:pos="420"/>
              </w:tabs>
              <w:adjustRightInd w:val="0"/>
              <w:snapToGrid w:val="0"/>
              <w:spacing w:line="240" w:lineRule="auto"/>
              <w:ind w:left="0" w:firstLine="471"/>
              <w:jc w:val="center"/>
              <w:rPr>
                <w:rFonts w:hint="default" w:ascii="Times New Roman" w:hAnsi="Times New Roman" w:eastAsia="宋体" w:cs="Times New Roman"/>
                <w:b/>
                <w:color w:val="auto"/>
                <w:kern w:val="0"/>
                <w:sz w:val="21"/>
                <w:szCs w:val="21"/>
                <w:highlight w:val="none"/>
                <w:lang w:val="en-GB" w:eastAsia="zh-TW" w:bidi="ar-SA"/>
              </w:rPr>
            </w:pPr>
            <w:r>
              <w:rPr>
                <w:rFonts w:hint="default" w:ascii="Times New Roman" w:hAnsi="Times New Roman" w:cs="Times New Roman" w:eastAsiaTheme="minorEastAsia"/>
                <w:color w:val="auto"/>
                <w:kern w:val="0"/>
                <w:sz w:val="24"/>
                <w:szCs w:val="24"/>
                <w:lang w:val="en-US" w:eastAsia="zh-CN" w:bidi="ar-SA"/>
              </w:rPr>
              <w:t xml:space="preserve"> </w:t>
            </w:r>
            <w:r>
              <w:rPr>
                <w:rFonts w:hint="default" w:ascii="Times New Roman" w:hAnsi="Times New Roman" w:eastAsia="宋体" w:cs="Times New Roman"/>
                <w:b/>
                <w:color w:val="auto"/>
                <w:kern w:val="0"/>
                <w:sz w:val="21"/>
                <w:szCs w:val="21"/>
                <w:highlight w:val="none"/>
                <w:lang w:val="en-GB" w:eastAsia="zh-TW" w:bidi="ar-SA"/>
              </w:rPr>
              <w:t>废水污染物排放信息表</w:t>
            </w:r>
          </w:p>
          <w:tbl>
            <w:tblPr>
              <w:tblStyle w:val="44"/>
              <w:tblW w:w="90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9"/>
              <w:gridCol w:w="1769"/>
              <w:gridCol w:w="1769"/>
              <w:gridCol w:w="1554"/>
              <w:gridCol w:w="1560"/>
              <w:gridCol w:w="14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序号</w:t>
                  </w:r>
                </w:p>
              </w:tc>
              <w:tc>
                <w:tcPr>
                  <w:tcW w:w="176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排放口编号</w:t>
                  </w:r>
                </w:p>
              </w:tc>
              <w:tc>
                <w:tcPr>
                  <w:tcW w:w="176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污染物种类</w:t>
                  </w:r>
                </w:p>
              </w:tc>
              <w:tc>
                <w:tcPr>
                  <w:tcW w:w="155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排放浓度</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（mg/L）</w:t>
                  </w:r>
                </w:p>
              </w:tc>
              <w:tc>
                <w:tcPr>
                  <w:tcW w:w="1560"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日排放量</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（t/d）</w:t>
                  </w:r>
                </w:p>
              </w:tc>
              <w:tc>
                <w:tcPr>
                  <w:tcW w:w="1475"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年排放量</w:t>
                  </w:r>
                </w:p>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 w:hRule="atLeast"/>
                <w:jc w:val="center"/>
              </w:trPr>
              <w:tc>
                <w:tcPr>
                  <w:tcW w:w="889"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1</w:t>
                  </w:r>
                </w:p>
              </w:tc>
              <w:tc>
                <w:tcPr>
                  <w:tcW w:w="1769" w:type="dxa"/>
                  <w:vMerge w:val="restart"/>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WS-01</w:t>
                  </w:r>
                </w:p>
              </w:tc>
              <w:tc>
                <w:tcPr>
                  <w:tcW w:w="176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CODcr</w:t>
                  </w:r>
                </w:p>
              </w:tc>
              <w:tc>
                <w:tcPr>
                  <w:tcW w:w="155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200</w:t>
                  </w:r>
                </w:p>
              </w:tc>
              <w:tc>
                <w:tcPr>
                  <w:tcW w:w="1560" w:type="dxa"/>
                  <w:vAlign w:val="bottom"/>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 xml:space="preserve">0.00023 </w:t>
                  </w:r>
                </w:p>
              </w:tc>
              <w:tc>
                <w:tcPr>
                  <w:tcW w:w="1475" w:type="dxa"/>
                  <w:vAlign w:val="center"/>
                </w:tcPr>
                <w:p>
                  <w:pPr>
                    <w:widowControl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bCs/>
                      <w:color w:val="auto"/>
                      <w:kern w:val="0"/>
                      <w:sz w:val="21"/>
                      <w:szCs w:val="21"/>
                      <w:lang w:val="en-US" w:eastAsia="zh-CN"/>
                    </w:rPr>
                    <w:t xml:space="preserve">0.069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8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76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76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BOD</w:t>
                  </w:r>
                  <w:r>
                    <w:rPr>
                      <w:rFonts w:hint="default" w:ascii="Times New Roman" w:hAnsi="Times New Roman" w:cs="Times New Roman" w:eastAsiaTheme="minorEastAsia"/>
                      <w:color w:val="auto"/>
                      <w:kern w:val="2"/>
                      <w:sz w:val="21"/>
                      <w:szCs w:val="21"/>
                      <w:vertAlign w:val="subscript"/>
                      <w:lang w:val="en-US" w:eastAsia="zh-CN" w:bidi="ar-SA"/>
                    </w:rPr>
                    <w:t>5</w:t>
                  </w:r>
                </w:p>
              </w:tc>
              <w:tc>
                <w:tcPr>
                  <w:tcW w:w="155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120</w:t>
                  </w:r>
                </w:p>
              </w:tc>
              <w:tc>
                <w:tcPr>
                  <w:tcW w:w="1560" w:type="dxa"/>
                  <w:vAlign w:val="bottom"/>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 xml:space="preserve">0.00014 </w:t>
                  </w:r>
                </w:p>
              </w:tc>
              <w:tc>
                <w:tcPr>
                  <w:tcW w:w="1475" w:type="dxa"/>
                  <w:vAlign w:val="center"/>
                </w:tcPr>
                <w:p>
                  <w:pPr>
                    <w:widowControl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bCs/>
                      <w:color w:val="auto"/>
                      <w:kern w:val="0"/>
                      <w:sz w:val="21"/>
                      <w:szCs w:val="21"/>
                      <w:lang w:val="en-US" w:eastAsia="zh-CN"/>
                    </w:rPr>
                    <w:t xml:space="preserve">0.041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88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76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76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SS</w:t>
                  </w:r>
                </w:p>
              </w:tc>
              <w:tc>
                <w:tcPr>
                  <w:tcW w:w="155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120</w:t>
                  </w:r>
                </w:p>
              </w:tc>
              <w:tc>
                <w:tcPr>
                  <w:tcW w:w="1560" w:type="dxa"/>
                  <w:vAlign w:val="bottom"/>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 xml:space="preserve">0.00014 </w:t>
                  </w:r>
                </w:p>
              </w:tc>
              <w:tc>
                <w:tcPr>
                  <w:tcW w:w="1475" w:type="dxa"/>
                  <w:vAlign w:val="center"/>
                </w:tcPr>
                <w:p>
                  <w:pPr>
                    <w:widowControl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bCs/>
                      <w:color w:val="auto"/>
                      <w:kern w:val="0"/>
                      <w:sz w:val="21"/>
                      <w:szCs w:val="21"/>
                      <w:lang w:val="en-US" w:eastAsia="zh-CN"/>
                    </w:rPr>
                    <w:t xml:space="preserve">0.041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769" w:type="dxa"/>
                  <w:vMerge w:val="continue"/>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p>
              </w:tc>
              <w:tc>
                <w:tcPr>
                  <w:tcW w:w="1769"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氨氮</w:t>
                  </w:r>
                </w:p>
              </w:tc>
              <w:tc>
                <w:tcPr>
                  <w:tcW w:w="1554" w:type="dxa"/>
                  <w:vAlign w:val="center"/>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20</w:t>
                  </w:r>
                </w:p>
              </w:tc>
              <w:tc>
                <w:tcPr>
                  <w:tcW w:w="1560" w:type="dxa"/>
                  <w:vAlign w:val="bottom"/>
                </w:tcPr>
                <w:p>
                  <w:pPr>
                    <w:widowControl w:val="0"/>
                    <w:spacing w:after="0" w:line="276" w:lineRule="auto"/>
                    <w:ind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 xml:space="preserve">0.00002 </w:t>
                  </w:r>
                </w:p>
              </w:tc>
              <w:tc>
                <w:tcPr>
                  <w:tcW w:w="1475" w:type="dxa"/>
                  <w:vAlign w:val="center"/>
                </w:tcPr>
                <w:p>
                  <w:pPr>
                    <w:widowControl w:val="0"/>
                    <w:spacing w:after="0" w:line="240" w:lineRule="auto"/>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bCs/>
                      <w:color w:val="auto"/>
                      <w:kern w:val="0"/>
                      <w:sz w:val="21"/>
                      <w:szCs w:val="21"/>
                      <w:lang w:val="en-US" w:eastAsia="zh-CN"/>
                    </w:rPr>
                    <w:t>0.007</w:t>
                  </w:r>
                </w:p>
              </w:tc>
            </w:tr>
          </w:tbl>
          <w:p>
            <w:pPr>
              <w:pStyle w:val="33"/>
              <w:spacing w:after="0" w:line="360" w:lineRule="auto"/>
              <w:ind w:firstLine="501" w:firstLineChars="208"/>
              <w:rPr>
                <w:rFonts w:ascii="Times New Roman" w:hAnsi="Times New Roman" w:eastAsia="宋体" w:cs="Times New Roman"/>
                <w:b/>
                <w:color w:val="auto"/>
                <w:highlight w:val="none"/>
              </w:rPr>
            </w:pPr>
            <w:r>
              <w:rPr>
                <w:rFonts w:hint="eastAsia" w:ascii="Times New Roman" w:hAnsi="Times New Roman" w:eastAsia="宋体" w:cs="Times New Roman"/>
                <w:b/>
                <w:color w:val="auto"/>
                <w:kern w:val="2"/>
                <w:sz w:val="24"/>
                <w:lang w:eastAsia="zh-CN"/>
              </w:rPr>
              <w:t>二</w:t>
            </w:r>
            <w:r>
              <w:rPr>
                <w:rFonts w:hint="default" w:ascii="Times New Roman" w:hAnsi="Times New Roman" w:eastAsia="宋体" w:cs="Times New Roman"/>
                <w:b/>
                <w:color w:val="auto"/>
                <w:kern w:val="2"/>
                <w:sz w:val="24"/>
              </w:rPr>
              <w:t>、</w:t>
            </w:r>
            <w:r>
              <w:rPr>
                <w:rFonts w:hint="eastAsia" w:ascii="Times New Roman" w:hAnsi="Times New Roman" w:eastAsia="宋体" w:cs="Times New Roman"/>
                <w:b/>
                <w:color w:val="auto"/>
                <w:kern w:val="2"/>
                <w:highlight w:val="none"/>
              </w:rPr>
              <w:t>环境空气影响分析</w:t>
            </w:r>
          </w:p>
          <w:p>
            <w:pPr>
              <w:spacing w:after="0" w:line="360" w:lineRule="auto"/>
              <w:ind w:firstLine="480"/>
              <w:rPr>
                <w:rFonts w:hint="eastAsia" w:ascii="Times New Roman" w:hAnsi="Times New Roman" w:eastAsia="宋体" w:cs="Times New Roman"/>
                <w:b/>
                <w:color w:val="auto"/>
                <w:kern w:val="2"/>
                <w:sz w:val="24"/>
                <w:szCs w:val="24"/>
                <w:lang w:eastAsia="zh-CN"/>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kern w:val="2"/>
                <w:sz w:val="24"/>
                <w:szCs w:val="24"/>
                <w:lang w:eastAsia="zh-CN"/>
              </w:rPr>
              <w:t>开料</w:t>
            </w:r>
            <w:r>
              <w:rPr>
                <w:rFonts w:hint="default" w:ascii="Times New Roman" w:hAnsi="Times New Roman" w:eastAsia="宋体" w:cs="Times New Roman"/>
                <w:b/>
                <w:color w:val="auto"/>
                <w:kern w:val="2"/>
                <w:sz w:val="24"/>
                <w:szCs w:val="24"/>
              </w:rPr>
              <w:t>、机加工</w:t>
            </w:r>
            <w:r>
              <w:rPr>
                <w:rFonts w:hint="eastAsia" w:ascii="Times New Roman" w:hAnsi="Times New Roman" w:eastAsia="宋体" w:cs="Times New Roman"/>
                <w:b/>
                <w:color w:val="auto"/>
                <w:kern w:val="2"/>
                <w:sz w:val="24"/>
                <w:szCs w:val="24"/>
                <w:lang w:eastAsia="zh-CN"/>
              </w:rPr>
              <w:t>工序</w:t>
            </w:r>
          </w:p>
          <w:p>
            <w:pPr>
              <w:widowControl w:val="0"/>
              <w:spacing w:after="0" w:line="360" w:lineRule="auto"/>
              <w:ind w:firstLine="480" w:firstLineChars="200"/>
              <w:jc w:val="both"/>
              <w:rPr>
                <w:rFonts w:hint="default" w:ascii="Times New Roman" w:hAnsi="Times New Roman" w:eastAsia="宋体" w:cs="Times New Roman"/>
                <w:color w:val="auto"/>
                <w:spacing w:val="-2"/>
                <w:kern w:val="2"/>
                <w:sz w:val="24"/>
                <w:szCs w:val="24"/>
              </w:rPr>
            </w:pPr>
            <w:r>
              <w:rPr>
                <w:rFonts w:hint="default" w:ascii="Times New Roman" w:hAnsi="Times New Roman" w:eastAsia="宋体" w:cs="Times New Roman"/>
                <w:color w:val="auto"/>
                <w:sz w:val="24"/>
                <w:szCs w:val="24"/>
              </w:rPr>
              <w:t>项目运营期</w:t>
            </w:r>
            <w:r>
              <w:rPr>
                <w:rFonts w:hint="eastAsia" w:ascii="Times New Roman" w:hAnsi="Times New Roman" w:eastAsia="宋体" w:cs="Times New Roman"/>
                <w:color w:val="auto"/>
                <w:sz w:val="24"/>
                <w:szCs w:val="24"/>
                <w:lang w:eastAsia="zh-CN"/>
              </w:rPr>
              <w:t>开料</w:t>
            </w:r>
            <w:r>
              <w:rPr>
                <w:rFonts w:hint="default" w:ascii="Times New Roman" w:hAnsi="Times New Roman" w:eastAsia="宋体" w:cs="Times New Roman"/>
                <w:color w:val="auto"/>
                <w:sz w:val="24"/>
                <w:szCs w:val="24"/>
              </w:rPr>
              <w:t>和机加工工序会产生少量的金属粉尘，主要污染因子为颗粒物。根据</w:t>
            </w:r>
            <w:r>
              <w:rPr>
                <w:rFonts w:hint="eastAsia" w:ascii="Times New Roman" w:hAnsi="Times New Roman" w:eastAsia="宋体" w:cs="Times New Roman"/>
                <w:color w:val="auto"/>
                <w:sz w:val="24"/>
                <w:szCs w:val="24"/>
                <w:lang w:eastAsia="zh-CN"/>
              </w:rPr>
              <w:t>工程分析，粉尘</w:t>
            </w:r>
            <w:r>
              <w:rPr>
                <w:rFonts w:hint="default" w:ascii="Times New Roman" w:hAnsi="Times New Roman" w:eastAsia="宋体" w:cs="Times New Roman"/>
                <w:color w:val="auto"/>
                <w:sz w:val="24"/>
                <w:szCs w:val="24"/>
              </w:rPr>
              <w:t>无组织排放量约为0.025t/a，排放速率为0.01kg/h。</w:t>
            </w:r>
            <w:r>
              <w:rPr>
                <w:rFonts w:hint="default" w:ascii="Times New Roman" w:hAnsi="Times New Roman" w:eastAsia="宋体" w:cs="Times New Roman"/>
                <w:color w:val="auto"/>
                <w:kern w:val="2"/>
                <w:sz w:val="24"/>
                <w:szCs w:val="24"/>
                <w:shd w:val="clear" w:color="auto" w:fill="auto"/>
              </w:rPr>
              <w:t>根据估算</w:t>
            </w:r>
            <w:r>
              <w:rPr>
                <w:rFonts w:hint="eastAsia" w:ascii="Times New Roman" w:hAnsi="Times New Roman" w:eastAsia="宋体" w:cs="Times New Roman"/>
                <w:color w:val="auto"/>
                <w:kern w:val="2"/>
                <w:sz w:val="24"/>
                <w:szCs w:val="24"/>
                <w:shd w:val="clear" w:color="auto" w:fill="auto"/>
                <w:lang w:eastAsia="zh-CN"/>
              </w:rPr>
              <w:t>模式计算</w:t>
            </w:r>
            <w:r>
              <w:rPr>
                <w:rFonts w:hint="default" w:ascii="Times New Roman" w:hAnsi="Times New Roman" w:eastAsia="宋体" w:cs="Times New Roman"/>
                <w:color w:val="auto"/>
                <w:kern w:val="2"/>
                <w:sz w:val="24"/>
                <w:szCs w:val="24"/>
                <w:shd w:val="clear" w:color="auto" w:fill="auto"/>
              </w:rPr>
              <w:t>，</w:t>
            </w:r>
            <w:r>
              <w:rPr>
                <w:rFonts w:hint="eastAsia" w:ascii="Times New Roman" w:hAnsi="Times New Roman" w:eastAsia="宋体" w:cs="Times New Roman"/>
                <w:color w:val="auto"/>
                <w:sz w:val="24"/>
                <w:szCs w:val="24"/>
                <w:lang w:eastAsia="zh-CN"/>
              </w:rPr>
              <w:t>开料、</w:t>
            </w:r>
            <w:r>
              <w:rPr>
                <w:rFonts w:hint="default" w:ascii="Times New Roman" w:hAnsi="Times New Roman" w:eastAsia="宋体" w:cs="Times New Roman"/>
                <w:color w:val="auto"/>
                <w:sz w:val="24"/>
                <w:szCs w:val="24"/>
              </w:rPr>
              <w:t>机加工工序</w:t>
            </w:r>
            <w:r>
              <w:rPr>
                <w:rFonts w:hint="eastAsia" w:ascii="Times New Roman" w:hAnsi="Times New Roman" w:eastAsia="宋体" w:cs="Times New Roman"/>
                <w:color w:val="auto"/>
                <w:sz w:val="24"/>
                <w:szCs w:val="24"/>
                <w:lang w:eastAsia="zh-CN"/>
              </w:rPr>
              <w:t>和抛光工序</w:t>
            </w:r>
            <w:r>
              <w:rPr>
                <w:rFonts w:hint="eastAsia" w:ascii="Times New Roman" w:hAnsi="Times New Roman" w:eastAsia="宋体" w:cs="Times New Roman"/>
                <w:color w:val="auto"/>
                <w:kern w:val="2"/>
                <w:sz w:val="24"/>
                <w:szCs w:val="24"/>
                <w:shd w:val="clear" w:color="auto" w:fill="auto"/>
                <w:lang w:eastAsia="zh-CN"/>
              </w:rPr>
              <w:t>无组织排放的粉尘</w:t>
            </w:r>
            <w:r>
              <w:rPr>
                <w:rFonts w:hint="eastAsia" w:ascii="Times New Roman" w:hAnsi="Times New Roman" w:eastAsia="宋体" w:cs="Times New Roman"/>
                <w:color w:val="auto"/>
                <w:kern w:val="0"/>
                <w:sz w:val="24"/>
                <w:szCs w:val="24"/>
                <w:shd w:val="clear" w:color="auto" w:fill="auto"/>
                <w:lang w:eastAsia="zh-CN"/>
              </w:rPr>
              <w:t>最大地面浓度为</w:t>
            </w:r>
            <w:r>
              <w:rPr>
                <w:rFonts w:hint="eastAsia" w:ascii="Times New Roman" w:hAnsi="Times New Roman" w:eastAsia="宋体" w:cs="Times New Roman"/>
                <w:bCs/>
                <w:color w:val="auto"/>
                <w:kern w:val="2"/>
                <w:sz w:val="24"/>
                <w:szCs w:val="24"/>
                <w:shd w:val="clear" w:color="auto" w:fill="auto"/>
                <w:lang w:val="en-US" w:eastAsia="zh-CN"/>
              </w:rPr>
              <w:t>0.03</w:t>
            </w:r>
            <w:r>
              <w:rPr>
                <w:rFonts w:hint="eastAsia" w:ascii="Times New Roman" w:hAnsi="Times New Roman" w:eastAsia="宋体" w:cs="Times New Roman"/>
                <w:bCs/>
                <w:color w:val="auto"/>
                <w:kern w:val="2"/>
                <w:sz w:val="24"/>
                <w:szCs w:val="24"/>
                <w:shd w:val="clear" w:color="auto" w:fill="auto"/>
                <w:lang w:eastAsia="zh-CN"/>
              </w:rPr>
              <w:t>mg/m</w:t>
            </w:r>
            <w:r>
              <w:rPr>
                <w:rFonts w:hint="eastAsia" w:ascii="Times New Roman" w:hAnsi="Times New Roman" w:eastAsia="宋体" w:cs="Times New Roman"/>
                <w:bCs/>
                <w:color w:val="auto"/>
                <w:kern w:val="2"/>
                <w:sz w:val="24"/>
                <w:szCs w:val="24"/>
                <w:shd w:val="clear" w:color="auto" w:fill="auto"/>
                <w:vertAlign w:val="superscript"/>
                <w:lang w:eastAsia="zh-CN"/>
              </w:rPr>
              <w:t>3</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shd w:val="clear" w:color="auto" w:fill="auto"/>
              </w:rPr>
              <w:t>可达到</w:t>
            </w:r>
            <w:r>
              <w:rPr>
                <w:rFonts w:ascii="Times New Roman" w:hAnsi="Times New Roman" w:eastAsia="宋体" w:cs="Times New Roman"/>
                <w:color w:val="auto"/>
                <w:kern w:val="2"/>
                <w:sz w:val="24"/>
                <w:szCs w:val="24"/>
                <w:highlight w:val="none"/>
              </w:rPr>
              <w:t>广东省地方标准《大气污染物排放限值》（DB44/27-2001）中第二时段二级标准和第二时段无组织排放监控浓度限值</w:t>
            </w:r>
            <w:r>
              <w:rPr>
                <w:rFonts w:hint="default"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lang w:val="en-US" w:eastAsia="zh-CN"/>
              </w:rPr>
              <w:t>1</w:t>
            </w:r>
            <w:r>
              <w:rPr>
                <w:rFonts w:hint="default" w:ascii="Times New Roman" w:hAnsi="Times New Roman" w:eastAsia="宋体" w:cs="Times New Roman"/>
                <w:color w:val="auto"/>
                <w:kern w:val="2"/>
                <w:sz w:val="24"/>
                <w:szCs w:val="24"/>
              </w:rPr>
              <w:t>mg/m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），对项目周围</w:t>
            </w:r>
            <w:r>
              <w:rPr>
                <w:rFonts w:hint="default" w:ascii="Times New Roman" w:hAnsi="Times New Roman" w:eastAsia="宋体" w:cs="Times New Roman"/>
                <w:color w:val="auto"/>
                <w:kern w:val="0"/>
                <w:sz w:val="24"/>
                <w:szCs w:val="24"/>
              </w:rPr>
              <w:t>的</w:t>
            </w:r>
            <w:r>
              <w:rPr>
                <w:rFonts w:hint="default" w:ascii="Times New Roman" w:hAnsi="Times New Roman" w:eastAsia="宋体" w:cs="Times New Roman"/>
                <w:color w:val="auto"/>
                <w:kern w:val="2"/>
                <w:sz w:val="24"/>
                <w:szCs w:val="24"/>
              </w:rPr>
              <w:t>空气环境影响甚微。同时加强车间机械通风措施，使生产车间符合《工业企业设计卫生标准》（TJ36-79）（GBZ1-2010）要求，</w:t>
            </w:r>
            <w:r>
              <w:rPr>
                <w:rFonts w:hint="default" w:ascii="Times New Roman" w:hAnsi="Times New Roman" w:eastAsia="宋体" w:cs="Times New Roman"/>
                <w:color w:val="auto"/>
                <w:spacing w:val="-2"/>
                <w:kern w:val="2"/>
                <w:sz w:val="24"/>
                <w:szCs w:val="24"/>
              </w:rPr>
              <w:t>另外，建设单位必须做好员工的防护措施（如配带口罩）</w:t>
            </w:r>
            <w:r>
              <w:rPr>
                <w:rFonts w:hint="default" w:ascii="Times New Roman" w:hAnsi="Times New Roman" w:eastAsia="宋体" w:cs="Times New Roman"/>
                <w:color w:val="auto"/>
                <w:kern w:val="2"/>
                <w:sz w:val="24"/>
                <w:szCs w:val="24"/>
              </w:rPr>
              <w:t>，以确保员工身体健康不受到影响，</w:t>
            </w:r>
            <w:r>
              <w:rPr>
                <w:rFonts w:hint="default" w:ascii="Times New Roman" w:hAnsi="Times New Roman" w:eastAsia="宋体" w:cs="Times New Roman"/>
                <w:color w:val="auto"/>
                <w:kern w:val="0"/>
                <w:sz w:val="24"/>
                <w:szCs w:val="24"/>
              </w:rPr>
              <w:t>则不会对周围空气环境造成明显影响</w:t>
            </w:r>
            <w:r>
              <w:rPr>
                <w:rFonts w:hint="default" w:ascii="Times New Roman" w:hAnsi="Times New Roman" w:eastAsia="宋体" w:cs="Times New Roman"/>
                <w:color w:val="auto"/>
                <w:spacing w:val="-2"/>
                <w:kern w:val="2"/>
                <w:sz w:val="24"/>
                <w:szCs w:val="24"/>
              </w:rPr>
              <w:t>。</w:t>
            </w:r>
          </w:p>
          <w:p>
            <w:pPr>
              <w:spacing w:after="0" w:line="360" w:lineRule="auto"/>
              <w:ind w:firstLine="480"/>
              <w:rPr>
                <w:rFonts w:hint="eastAsia"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eastAsia="zh-CN"/>
              </w:rPr>
              <w:t>红冲工序</w:t>
            </w:r>
          </w:p>
          <w:p>
            <w:pPr>
              <w:widowControl w:val="0"/>
              <w:spacing w:after="0" w:line="360" w:lineRule="auto"/>
              <w:ind w:firstLine="480" w:firstLineChars="200"/>
              <w:jc w:val="both"/>
              <w:rPr>
                <w:rFonts w:ascii="Times New Roman" w:hAnsi="宋体" w:eastAsia="宋体" w:cs="Times New Roman"/>
                <w:color w:val="FF0000"/>
                <w:kern w:val="2"/>
                <w:sz w:val="24"/>
                <w:szCs w:val="24"/>
                <w:highlight w:val="none"/>
              </w:rPr>
            </w:pPr>
            <w:r>
              <w:rPr>
                <w:rFonts w:hint="eastAsia" w:ascii="Times New Roman" w:hAnsi="宋体" w:eastAsia="宋体" w:cs="Times New Roman"/>
                <w:color w:val="auto"/>
                <w:kern w:val="2"/>
                <w:sz w:val="24"/>
                <w:szCs w:val="24"/>
                <w:highlight w:val="none"/>
                <w:lang w:val="en-US" w:eastAsia="zh-CN" w:bidi="ar-SA"/>
              </w:rPr>
              <w:t>项目红冲工序</w:t>
            </w:r>
            <w:r>
              <w:rPr>
                <w:rFonts w:hint="eastAsia" w:ascii="Times New Roman" w:hAnsi="宋体" w:eastAsia="宋体" w:cs="Times New Roman"/>
                <w:bCs/>
                <w:color w:val="auto"/>
                <w:kern w:val="2"/>
                <w:sz w:val="24"/>
                <w:szCs w:val="24"/>
                <w:highlight w:val="none"/>
              </w:rPr>
              <w:t>使用润滑油进行润滑，</w:t>
            </w:r>
            <w:r>
              <w:rPr>
                <w:rFonts w:hint="eastAsia" w:ascii="Times New Roman" w:hAnsi="宋体" w:eastAsia="宋体" w:cs="Times New Roman"/>
                <w:color w:val="auto"/>
                <w:kern w:val="2"/>
                <w:sz w:val="24"/>
                <w:szCs w:val="24"/>
                <w:highlight w:val="none"/>
              </w:rPr>
              <w:t>润滑油受热分解产生油雾，主要污染物为非甲烷总烃，产生量为</w:t>
            </w:r>
            <w:r>
              <w:rPr>
                <w:rFonts w:hint="eastAsia" w:ascii="Times New Roman" w:hAnsi="Times New Roman" w:eastAsia="宋体" w:cs="Times New Roman"/>
                <w:color w:val="auto"/>
                <w:kern w:val="2"/>
                <w:sz w:val="24"/>
                <w:szCs w:val="24"/>
                <w:highlight w:val="none"/>
              </w:rPr>
              <w:t>0.02t</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a</w:t>
            </w:r>
            <w:r>
              <w:rPr>
                <w:rFonts w:hint="eastAsia" w:ascii="Times New Roman" w:hAnsi="宋体" w:eastAsia="宋体" w:cs="Times New Roman"/>
                <w:color w:val="auto"/>
                <w:kern w:val="2"/>
                <w:sz w:val="24"/>
                <w:szCs w:val="24"/>
                <w:highlight w:val="none"/>
              </w:rPr>
              <w:t>。项目设有</w:t>
            </w:r>
            <w:r>
              <w:rPr>
                <w:rFonts w:hint="eastAsia" w:ascii="Times New Roman" w:hAnsi="宋体" w:eastAsia="宋体" w:cs="Times New Roman"/>
                <w:color w:val="auto"/>
                <w:kern w:val="2"/>
                <w:sz w:val="24"/>
                <w:szCs w:val="24"/>
                <w:highlight w:val="none"/>
                <w:lang w:eastAsia="zh-CN"/>
              </w:rPr>
              <w:t>热冲床</w:t>
            </w:r>
            <w:r>
              <w:rPr>
                <w:rFonts w:hint="eastAsia" w:ascii="Times New Roman" w:hAnsi="宋体" w:eastAsia="宋体" w:cs="Times New Roman"/>
                <w:color w:val="auto"/>
                <w:kern w:val="2"/>
                <w:sz w:val="24"/>
                <w:szCs w:val="24"/>
                <w:highlight w:val="none"/>
                <w:lang w:val="en-US" w:eastAsia="zh-CN"/>
              </w:rPr>
              <w:t>7</w:t>
            </w:r>
            <w:r>
              <w:rPr>
                <w:rFonts w:hint="eastAsia" w:ascii="Times New Roman" w:hAnsi="宋体" w:eastAsia="宋体" w:cs="Times New Roman"/>
                <w:color w:val="auto"/>
                <w:kern w:val="2"/>
                <w:sz w:val="24"/>
                <w:szCs w:val="24"/>
                <w:highlight w:val="none"/>
              </w:rPr>
              <w:t>台，拟在</w:t>
            </w:r>
            <w:r>
              <w:rPr>
                <w:rFonts w:hint="eastAsia" w:ascii="Times New Roman" w:hAnsi="宋体" w:eastAsia="宋体" w:cs="Times New Roman"/>
                <w:color w:val="auto"/>
                <w:kern w:val="2"/>
                <w:sz w:val="24"/>
                <w:szCs w:val="24"/>
                <w:highlight w:val="none"/>
                <w:lang w:eastAsia="zh-CN"/>
              </w:rPr>
              <w:t>红冲</w:t>
            </w:r>
            <w:r>
              <w:rPr>
                <w:rFonts w:hint="eastAsia" w:ascii="Times New Roman" w:hAnsi="宋体" w:eastAsia="宋体" w:cs="Times New Roman"/>
                <w:color w:val="auto"/>
                <w:kern w:val="2"/>
                <w:sz w:val="24"/>
                <w:szCs w:val="24"/>
                <w:highlight w:val="none"/>
              </w:rPr>
              <w:t>工序</w:t>
            </w:r>
            <w:r>
              <w:rPr>
                <w:rFonts w:hint="eastAsia" w:ascii="Times New Roman" w:hAnsi="宋体" w:eastAsia="宋体" w:cs="Times New Roman"/>
                <w:color w:val="auto"/>
                <w:kern w:val="2"/>
                <w:sz w:val="24"/>
                <w:szCs w:val="24"/>
                <w:highlight w:val="none"/>
                <w:lang w:eastAsia="zh-CN"/>
              </w:rPr>
              <w:t>侧方</w:t>
            </w:r>
            <w:r>
              <w:rPr>
                <w:rFonts w:hint="eastAsia" w:ascii="Times New Roman" w:hAnsi="宋体" w:eastAsia="宋体" w:cs="Times New Roman"/>
                <w:color w:val="auto"/>
                <w:kern w:val="2"/>
                <w:sz w:val="24"/>
                <w:szCs w:val="24"/>
                <w:highlight w:val="none"/>
              </w:rPr>
              <w:t>设置集气</w:t>
            </w:r>
            <w:r>
              <w:rPr>
                <w:rFonts w:hint="eastAsia" w:ascii="Times New Roman" w:hAnsi="宋体" w:eastAsia="宋体" w:cs="Times New Roman"/>
                <w:color w:val="auto"/>
                <w:kern w:val="2"/>
                <w:sz w:val="24"/>
                <w:szCs w:val="24"/>
                <w:highlight w:val="none"/>
                <w:lang w:eastAsia="zh-CN"/>
              </w:rPr>
              <w:t>罩（背面侧吸）</w:t>
            </w:r>
            <w:r>
              <w:rPr>
                <w:rFonts w:hint="eastAsia" w:ascii="Times New Roman" w:hAnsi="宋体" w:eastAsia="宋体" w:cs="Times New Roman"/>
                <w:color w:val="auto"/>
                <w:kern w:val="2"/>
                <w:sz w:val="24"/>
                <w:szCs w:val="24"/>
                <w:highlight w:val="none"/>
              </w:rPr>
              <w:t>，集气</w:t>
            </w:r>
            <w:r>
              <w:rPr>
                <w:rFonts w:hint="eastAsia" w:ascii="Times New Roman" w:hAnsi="宋体" w:eastAsia="宋体" w:cs="Times New Roman"/>
                <w:color w:val="auto"/>
                <w:kern w:val="2"/>
                <w:sz w:val="24"/>
                <w:szCs w:val="24"/>
                <w:highlight w:val="none"/>
                <w:lang w:eastAsia="zh-CN"/>
              </w:rPr>
              <w:t>罩</w:t>
            </w:r>
            <w:r>
              <w:rPr>
                <w:rFonts w:hint="eastAsia" w:ascii="Times New Roman" w:hAnsi="宋体" w:eastAsia="宋体" w:cs="Times New Roman"/>
                <w:color w:val="auto"/>
                <w:kern w:val="2"/>
                <w:sz w:val="24"/>
                <w:szCs w:val="24"/>
                <w:highlight w:val="none"/>
              </w:rPr>
              <w:t>的尺寸为</w:t>
            </w:r>
            <w:r>
              <w:rPr>
                <w:rFonts w:hint="eastAsia" w:ascii="Times New Roman" w:hAnsi="宋体" w:eastAsia="宋体" w:cs="Times New Roman"/>
                <w:color w:val="auto"/>
                <w:kern w:val="2"/>
                <w:sz w:val="24"/>
                <w:szCs w:val="24"/>
                <w:highlight w:val="none"/>
                <w:lang w:val="en-US" w:eastAsia="zh-CN"/>
              </w:rPr>
              <w:t>1</w:t>
            </w:r>
            <w:r>
              <w:rPr>
                <w:rFonts w:hint="eastAsia" w:ascii="Times New Roman" w:hAnsi="宋体" w:eastAsia="宋体" w:cs="Times New Roman"/>
                <w:color w:val="auto"/>
                <w:kern w:val="2"/>
                <w:sz w:val="24"/>
                <w:szCs w:val="24"/>
                <w:highlight w:val="none"/>
              </w:rPr>
              <w:t>m*0.</w:t>
            </w:r>
            <w:r>
              <w:rPr>
                <w:rFonts w:hint="eastAsia" w:ascii="Times New Roman" w:hAnsi="宋体" w:eastAsia="宋体" w:cs="Times New Roman"/>
                <w:color w:val="auto"/>
                <w:kern w:val="2"/>
                <w:sz w:val="24"/>
                <w:szCs w:val="24"/>
                <w:highlight w:val="none"/>
                <w:lang w:val="en-US" w:eastAsia="zh-CN"/>
              </w:rPr>
              <w:t>8</w:t>
            </w:r>
            <w:r>
              <w:rPr>
                <w:rFonts w:hint="eastAsia" w:ascii="Times New Roman" w:hAnsi="宋体" w:eastAsia="宋体" w:cs="Times New Roman"/>
                <w:color w:val="auto"/>
                <w:kern w:val="2"/>
                <w:sz w:val="24"/>
                <w:szCs w:val="24"/>
                <w:highlight w:val="none"/>
              </w:rPr>
              <w:t>m，</w:t>
            </w:r>
            <w:r>
              <w:rPr>
                <w:rFonts w:hint="eastAsia" w:ascii="Times New Roman" w:hAnsi="宋体" w:eastAsia="宋体" w:cs="Times New Roman"/>
                <w:color w:val="auto"/>
                <w:kern w:val="2"/>
                <w:sz w:val="24"/>
                <w:szCs w:val="24"/>
                <w:highlight w:val="none"/>
                <w:lang w:val="en-US" w:eastAsia="zh-CN"/>
              </w:rPr>
              <w:t>离源距离为0.3m，</w:t>
            </w:r>
            <w:r>
              <w:rPr>
                <w:rFonts w:hint="eastAsia" w:ascii="Times New Roman" w:hAnsi="宋体" w:eastAsia="宋体" w:cs="Times New Roman"/>
                <w:color w:val="auto"/>
                <w:kern w:val="2"/>
                <w:sz w:val="24"/>
                <w:szCs w:val="24"/>
                <w:highlight w:val="none"/>
              </w:rPr>
              <w:t>风速取</w:t>
            </w:r>
            <w:r>
              <w:rPr>
                <w:rFonts w:hint="eastAsia" w:ascii="Times New Roman" w:hAnsi="宋体" w:eastAsia="宋体" w:cs="Times New Roman"/>
                <w:color w:val="auto"/>
                <w:kern w:val="2"/>
                <w:sz w:val="24"/>
                <w:szCs w:val="24"/>
                <w:highlight w:val="none"/>
                <w:lang w:val="en-US" w:eastAsia="zh-CN"/>
              </w:rPr>
              <w:t>0.5</w:t>
            </w:r>
            <w:r>
              <w:rPr>
                <w:rFonts w:hint="eastAsia" w:ascii="Times New Roman" w:hAnsi="宋体" w:eastAsia="宋体" w:cs="Times New Roman"/>
                <w:color w:val="auto"/>
                <w:kern w:val="2"/>
                <w:sz w:val="24"/>
                <w:szCs w:val="24"/>
                <w:highlight w:val="none"/>
              </w:rPr>
              <w:t>m/s，</w:t>
            </w:r>
            <w:r>
              <w:rPr>
                <w:rFonts w:hint="eastAsia" w:ascii="Times New Roman" w:hAnsi="宋体" w:eastAsia="宋体" w:cs="Times New Roman"/>
                <w:color w:val="auto"/>
                <w:kern w:val="2"/>
                <w:sz w:val="24"/>
                <w:szCs w:val="24"/>
                <w:highlight w:val="none"/>
                <w:shd w:val="clear" w:color="auto" w:fill="auto"/>
                <w:lang w:val="en-US" w:eastAsia="zh-CN"/>
              </w:rPr>
              <w:t>则单个集气罩的风量为1.4*（1m*2+0.8m*2）*0.3m*0.5m/s*3600s≈2700</w:t>
            </w:r>
            <w:r>
              <w:rPr>
                <w:rFonts w:hint="eastAsia" w:ascii="Times New Roman" w:hAnsi="宋体" w:eastAsia="宋体" w:cs="Times New Roman"/>
                <w:color w:val="auto"/>
                <w:kern w:val="2"/>
                <w:sz w:val="24"/>
                <w:szCs w:val="24"/>
                <w:highlight w:val="none"/>
                <w:shd w:val="clear" w:color="auto" w:fill="auto"/>
              </w:rPr>
              <w:t>m</w:t>
            </w:r>
            <w:r>
              <w:rPr>
                <w:rFonts w:hint="eastAsia" w:ascii="Times New Roman" w:hAnsi="宋体" w:eastAsia="宋体" w:cs="Times New Roman"/>
                <w:color w:val="auto"/>
                <w:kern w:val="2"/>
                <w:sz w:val="24"/>
                <w:szCs w:val="24"/>
                <w:highlight w:val="none"/>
                <w:shd w:val="clear" w:color="auto" w:fill="auto"/>
                <w:vertAlign w:val="superscript"/>
              </w:rPr>
              <w:t>3</w:t>
            </w:r>
            <w:r>
              <w:rPr>
                <w:rFonts w:hint="eastAsia" w:ascii="Times New Roman" w:hAnsi="宋体" w:eastAsia="宋体" w:cs="Times New Roman"/>
                <w:color w:val="auto"/>
                <w:kern w:val="2"/>
                <w:sz w:val="24"/>
                <w:szCs w:val="24"/>
                <w:highlight w:val="none"/>
                <w:shd w:val="clear" w:color="auto" w:fill="auto"/>
              </w:rPr>
              <w:t>/h</w:t>
            </w:r>
            <w:r>
              <w:rPr>
                <w:rFonts w:hint="eastAsia" w:ascii="Times New Roman" w:hAnsi="宋体" w:eastAsia="宋体" w:cs="Times New Roman"/>
                <w:color w:val="auto"/>
                <w:kern w:val="2"/>
                <w:sz w:val="24"/>
                <w:szCs w:val="24"/>
                <w:highlight w:val="none"/>
                <w:shd w:val="clear" w:color="auto" w:fill="auto"/>
                <w:lang w:eastAsia="zh-CN"/>
              </w:rPr>
              <w:t>，即总风机风量约为</w:t>
            </w:r>
            <w:r>
              <w:rPr>
                <w:rFonts w:hint="eastAsia" w:ascii="Times New Roman" w:hAnsi="宋体" w:eastAsia="宋体" w:cs="Times New Roman"/>
                <w:color w:val="auto"/>
                <w:kern w:val="2"/>
                <w:sz w:val="24"/>
                <w:szCs w:val="24"/>
                <w:highlight w:val="none"/>
                <w:shd w:val="clear" w:color="auto" w:fill="auto"/>
                <w:lang w:val="en-US" w:eastAsia="zh-CN"/>
              </w:rPr>
              <w:t>19000</w:t>
            </w:r>
            <w:r>
              <w:rPr>
                <w:rFonts w:hint="eastAsia" w:ascii="Times New Roman" w:hAnsi="宋体" w:eastAsia="宋体" w:cs="Times New Roman"/>
                <w:color w:val="auto"/>
                <w:kern w:val="2"/>
                <w:sz w:val="24"/>
                <w:szCs w:val="24"/>
                <w:highlight w:val="none"/>
                <w:shd w:val="clear" w:color="auto" w:fill="auto"/>
              </w:rPr>
              <w:t>m</w:t>
            </w:r>
            <w:r>
              <w:rPr>
                <w:rFonts w:hint="eastAsia" w:ascii="Times New Roman" w:hAnsi="宋体" w:eastAsia="宋体" w:cs="Times New Roman"/>
                <w:color w:val="auto"/>
                <w:kern w:val="2"/>
                <w:sz w:val="24"/>
                <w:szCs w:val="24"/>
                <w:highlight w:val="none"/>
                <w:shd w:val="clear" w:color="auto" w:fill="auto"/>
                <w:vertAlign w:val="superscript"/>
              </w:rPr>
              <w:t>3</w:t>
            </w:r>
            <w:r>
              <w:rPr>
                <w:rFonts w:hint="eastAsia" w:ascii="Times New Roman" w:hAnsi="宋体" w:eastAsia="宋体" w:cs="Times New Roman"/>
                <w:color w:val="auto"/>
                <w:kern w:val="2"/>
                <w:sz w:val="24"/>
                <w:szCs w:val="24"/>
                <w:highlight w:val="none"/>
                <w:shd w:val="clear" w:color="auto" w:fill="auto"/>
              </w:rPr>
              <w:t>/h，</w:t>
            </w:r>
            <w:r>
              <w:rPr>
                <w:rFonts w:hint="eastAsia" w:ascii="Times New Roman" w:hAnsi="宋体" w:eastAsia="宋体" w:cs="Times New Roman"/>
                <w:color w:val="auto"/>
                <w:kern w:val="2"/>
                <w:sz w:val="24"/>
                <w:szCs w:val="24"/>
                <w:highlight w:val="none"/>
              </w:rPr>
              <w:t>收集效率可达</w:t>
            </w:r>
            <w:r>
              <w:rPr>
                <w:rFonts w:hint="eastAsia" w:ascii="Times New Roman" w:hAnsi="宋体" w:eastAsia="宋体" w:cs="Times New Roman"/>
                <w:color w:val="auto"/>
                <w:kern w:val="2"/>
                <w:sz w:val="24"/>
                <w:szCs w:val="24"/>
                <w:highlight w:val="none"/>
                <w:lang w:val="en-US" w:eastAsia="zh-CN"/>
              </w:rPr>
              <w:t>80</w:t>
            </w:r>
            <w:r>
              <w:rPr>
                <w:rFonts w:hint="eastAsia" w:ascii="Times New Roman" w:hAnsi="宋体" w:eastAsia="宋体" w:cs="Times New Roman"/>
                <w:color w:val="auto"/>
                <w:kern w:val="2"/>
                <w:sz w:val="24"/>
                <w:szCs w:val="24"/>
                <w:highlight w:val="none"/>
              </w:rPr>
              <w:t>%，将有机废气统一收集至</w:t>
            </w:r>
            <w:r>
              <w:rPr>
                <w:rFonts w:hint="eastAsia" w:ascii="Times New Roman" w:hAnsi="宋体" w:eastAsia="宋体" w:cs="Times New Roman"/>
                <w:color w:val="auto"/>
                <w:kern w:val="2"/>
                <w:sz w:val="24"/>
                <w:szCs w:val="24"/>
                <w:highlight w:val="none"/>
                <w:lang w:eastAsia="zh-CN"/>
              </w:rPr>
              <w:t>水喷淋+活性炭吸附装置</w:t>
            </w:r>
            <w:r>
              <w:rPr>
                <w:rFonts w:hint="eastAsia" w:ascii="Times New Roman" w:hAnsi="宋体" w:eastAsia="宋体" w:cs="Times New Roman"/>
                <w:color w:val="auto"/>
                <w:kern w:val="2"/>
                <w:sz w:val="24"/>
                <w:szCs w:val="24"/>
                <w:highlight w:val="none"/>
              </w:rPr>
              <w:t>处理，处理效率可达</w:t>
            </w:r>
            <w:r>
              <w:rPr>
                <w:rFonts w:hint="eastAsia" w:ascii="Times New Roman" w:hAnsi="宋体" w:eastAsia="宋体" w:cs="Times New Roman"/>
                <w:color w:val="auto"/>
                <w:kern w:val="2"/>
                <w:sz w:val="24"/>
                <w:szCs w:val="24"/>
                <w:highlight w:val="none"/>
                <w:lang w:val="en-US" w:eastAsia="zh-CN"/>
              </w:rPr>
              <w:t>80</w:t>
            </w:r>
            <w:r>
              <w:rPr>
                <w:rFonts w:hint="eastAsia" w:ascii="Times New Roman" w:hAnsi="宋体" w:eastAsia="宋体" w:cs="Times New Roman"/>
                <w:color w:val="auto"/>
                <w:kern w:val="2"/>
                <w:sz w:val="24"/>
                <w:szCs w:val="24"/>
                <w:highlight w:val="none"/>
              </w:rPr>
              <w:t>%，处理达标后经排气筒引至楼顶高空排放</w:t>
            </w:r>
            <w:r>
              <w:rPr>
                <w:rFonts w:ascii="Times New Roman" w:hAnsi="Times New Roman" w:eastAsia="宋体" w:cs="Times New Roman"/>
                <w:color w:val="auto"/>
                <w:kern w:val="2"/>
                <w:sz w:val="24"/>
                <w:szCs w:val="24"/>
                <w:highlight w:val="none"/>
              </w:rPr>
              <w:t>（编号为G1）</w:t>
            </w:r>
            <w:r>
              <w:rPr>
                <w:rFonts w:hint="eastAsia" w:ascii="Times New Roman" w:hAnsi="宋体" w:eastAsia="宋体" w:cs="Times New Roman"/>
                <w:color w:val="auto"/>
                <w:kern w:val="2"/>
                <w:sz w:val="24"/>
                <w:szCs w:val="24"/>
                <w:highlight w:val="none"/>
              </w:rPr>
              <w:t>，排气筒高度不低于15米。项目</w:t>
            </w:r>
            <w:r>
              <w:rPr>
                <w:rFonts w:hint="eastAsia" w:ascii="Times New Roman" w:hAnsi="宋体" w:eastAsia="宋体" w:cs="Times New Roman"/>
                <w:color w:val="auto"/>
                <w:kern w:val="2"/>
                <w:sz w:val="24"/>
                <w:szCs w:val="24"/>
                <w:highlight w:val="none"/>
                <w:lang w:eastAsia="zh-CN"/>
              </w:rPr>
              <w:t>红冲</w:t>
            </w:r>
            <w:r>
              <w:rPr>
                <w:rFonts w:hint="eastAsia" w:ascii="Times New Roman" w:hAnsi="宋体" w:eastAsia="宋体" w:cs="Times New Roman"/>
                <w:color w:val="auto"/>
                <w:kern w:val="2"/>
                <w:sz w:val="24"/>
                <w:szCs w:val="24"/>
                <w:highlight w:val="none"/>
              </w:rPr>
              <w:t>废气产生和排放情况如下表所示。</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项目</w:t>
            </w:r>
            <w:r>
              <w:rPr>
                <w:rFonts w:hint="eastAsia" w:ascii="Times New Roman" w:hAnsi="Times New Roman" w:eastAsia="宋体" w:cs="Times New Roman"/>
                <w:b/>
                <w:color w:val="auto"/>
                <w:kern w:val="0"/>
                <w:sz w:val="21"/>
                <w:szCs w:val="21"/>
                <w:highlight w:val="none"/>
                <w:lang w:val="en-US" w:eastAsia="zh-CN" w:bidi="ar-SA"/>
              </w:rPr>
              <w:t>有机</w:t>
            </w:r>
            <w:r>
              <w:rPr>
                <w:rFonts w:ascii="Times New Roman" w:hAnsi="Times New Roman" w:eastAsia="宋体" w:cs="Times New Roman"/>
                <w:b/>
                <w:color w:val="auto"/>
                <w:kern w:val="0"/>
                <w:sz w:val="21"/>
                <w:szCs w:val="21"/>
                <w:highlight w:val="none"/>
                <w:lang w:val="en-US" w:eastAsia="zh-CN" w:bidi="ar-SA"/>
              </w:rPr>
              <w:t>废气</w:t>
            </w:r>
            <w:r>
              <w:rPr>
                <w:rFonts w:hint="eastAsia" w:ascii="Times New Roman" w:hAnsi="Times New Roman" w:eastAsia="宋体" w:cs="Times New Roman"/>
                <w:b/>
                <w:color w:val="auto"/>
                <w:kern w:val="0"/>
                <w:sz w:val="21"/>
                <w:szCs w:val="21"/>
                <w:highlight w:val="none"/>
                <w:lang w:val="en-US" w:eastAsia="zh-CN" w:bidi="ar-SA"/>
              </w:rPr>
              <w:t>产生和</w:t>
            </w:r>
            <w:r>
              <w:rPr>
                <w:rFonts w:ascii="Times New Roman" w:hAnsi="Times New Roman" w:eastAsia="宋体" w:cs="Times New Roman"/>
                <w:b/>
                <w:color w:val="auto"/>
                <w:kern w:val="0"/>
                <w:sz w:val="21"/>
                <w:szCs w:val="21"/>
                <w:highlight w:val="none"/>
                <w:lang w:val="en-US" w:eastAsia="zh-CN" w:bidi="ar-SA"/>
              </w:rPr>
              <w:t>排放情况一览表</w:t>
            </w:r>
          </w:p>
          <w:tbl>
            <w:tblPr>
              <w:tblStyle w:val="44"/>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245"/>
              <w:gridCol w:w="1251"/>
              <w:gridCol w:w="1185"/>
              <w:gridCol w:w="1050"/>
              <w:gridCol w:w="1365"/>
              <w:gridCol w:w="1185"/>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124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排放方式</w:t>
                  </w:r>
                </w:p>
              </w:tc>
              <w:tc>
                <w:tcPr>
                  <w:tcW w:w="1251"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产生浓度（mg/m³）</w:t>
                  </w:r>
                </w:p>
              </w:tc>
              <w:tc>
                <w:tcPr>
                  <w:tcW w:w="118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产生速率</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（kg/h）</w:t>
                  </w:r>
                </w:p>
              </w:tc>
              <w:tc>
                <w:tcPr>
                  <w:tcW w:w="1050"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产生量</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w:t>
                  </w:r>
                  <w:r>
                    <w:rPr>
                      <w:rFonts w:hint="eastAsia" w:ascii="Times New Roman" w:hAnsi="Times New Roman" w:eastAsia="宋体" w:cs="Times New Roman"/>
                      <w:b/>
                      <w:color w:val="auto"/>
                      <w:kern w:val="2"/>
                      <w:sz w:val="21"/>
                      <w:szCs w:val="21"/>
                      <w:highlight w:val="none"/>
                    </w:rPr>
                    <w:t>t</w:t>
                  </w:r>
                  <w:r>
                    <w:rPr>
                      <w:rFonts w:ascii="Times New Roman" w:hAnsi="Times New Roman" w:eastAsia="宋体" w:cs="Times New Roman"/>
                      <w:b/>
                      <w:color w:val="auto"/>
                      <w:kern w:val="2"/>
                      <w:sz w:val="21"/>
                      <w:szCs w:val="21"/>
                      <w:highlight w:val="none"/>
                    </w:rPr>
                    <w:t>/a）</w:t>
                  </w:r>
                </w:p>
              </w:tc>
              <w:tc>
                <w:tcPr>
                  <w:tcW w:w="136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排放浓度</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（mg/m³）</w:t>
                  </w:r>
                </w:p>
              </w:tc>
              <w:tc>
                <w:tcPr>
                  <w:tcW w:w="118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排放速率</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（kg/h）</w:t>
                  </w:r>
                </w:p>
              </w:tc>
              <w:tc>
                <w:tcPr>
                  <w:tcW w:w="1050"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排放量</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w:t>
                  </w:r>
                  <w:r>
                    <w:rPr>
                      <w:rFonts w:hint="eastAsia" w:ascii="Times New Roman" w:hAnsi="Times New Roman" w:eastAsia="宋体" w:cs="Times New Roman"/>
                      <w:b/>
                      <w:color w:val="auto"/>
                      <w:kern w:val="2"/>
                      <w:sz w:val="21"/>
                      <w:szCs w:val="21"/>
                      <w:highlight w:val="none"/>
                    </w:rPr>
                    <w:t>t</w:t>
                  </w:r>
                  <w:r>
                    <w:rPr>
                      <w:rFonts w:ascii="Times New Roman" w:hAnsi="Times New Roman" w:eastAsia="宋体" w:cs="Times New Roman"/>
                      <w:b/>
                      <w:color w:val="auto"/>
                      <w:kern w:val="2"/>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986" w:type="dxa"/>
                  <w:vMerge w:val="restart"/>
                  <w:tcBorders>
                    <w:tl2br w:val="nil"/>
                    <w:tr2bl w:val="nil"/>
                  </w:tcBorders>
                  <w:vAlign w:val="center"/>
                </w:tcPr>
                <w:p>
                  <w:pPr>
                    <w:widowControl w:val="0"/>
                    <w:tabs>
                      <w:tab w:val="left" w:pos="607"/>
                    </w:tabs>
                    <w:autoSpaceDE w:val="0"/>
                    <w:autoSpaceDN w:val="0"/>
                    <w:adjustRightInd w:val="0"/>
                    <w:snapToGrid w:val="0"/>
                    <w:jc w:val="center"/>
                    <w:rPr>
                      <w:rFonts w:ascii="Times New Roman" w:hAnsi="Times New Roman" w:eastAsia="宋体" w:cs="Times New Roman"/>
                      <w:bCs/>
                      <w:color w:val="auto"/>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bidi="ar-SA"/>
                    </w:rPr>
                    <w:t>非甲烷总烃</w:t>
                  </w:r>
                </w:p>
              </w:tc>
              <w:tc>
                <w:tcPr>
                  <w:tcW w:w="1245"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有组织</w:t>
                  </w:r>
                </w:p>
              </w:tc>
              <w:tc>
                <w:tcPr>
                  <w:tcW w:w="1251"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3.509</w:t>
                  </w:r>
                </w:p>
              </w:tc>
              <w:tc>
                <w:tcPr>
                  <w:tcW w:w="118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0.067</w:t>
                  </w:r>
                </w:p>
              </w:tc>
              <w:tc>
                <w:tcPr>
                  <w:tcW w:w="105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0.16</w:t>
                  </w:r>
                </w:p>
              </w:tc>
              <w:tc>
                <w:tcPr>
                  <w:tcW w:w="136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0.702</w:t>
                  </w:r>
                </w:p>
              </w:tc>
              <w:tc>
                <w:tcPr>
                  <w:tcW w:w="118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0.013</w:t>
                  </w:r>
                </w:p>
              </w:tc>
              <w:tc>
                <w:tcPr>
                  <w:tcW w:w="105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widowControl w:val="0"/>
                    <w:tabs>
                      <w:tab w:val="left" w:pos="607"/>
                    </w:tabs>
                    <w:autoSpaceDE w:val="0"/>
                    <w:autoSpaceDN w:val="0"/>
                    <w:adjustRightInd w:val="0"/>
                    <w:snapToGrid w:val="0"/>
                    <w:spacing w:line="360" w:lineRule="auto"/>
                    <w:jc w:val="center"/>
                    <w:rPr>
                      <w:rFonts w:ascii="Times New Roman" w:hAnsi="Times New Roman" w:eastAsia="宋体" w:cs="Times New Roman"/>
                      <w:bCs/>
                      <w:color w:val="auto"/>
                      <w:sz w:val="21"/>
                      <w:szCs w:val="21"/>
                      <w:highlight w:val="none"/>
                      <w:lang w:val="en-US" w:eastAsia="zh-CN" w:bidi="ar-SA"/>
                    </w:rPr>
                  </w:pPr>
                </w:p>
              </w:tc>
              <w:tc>
                <w:tcPr>
                  <w:tcW w:w="1245"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无组织</w:t>
                  </w:r>
                </w:p>
              </w:tc>
              <w:tc>
                <w:tcPr>
                  <w:tcW w:w="1251"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8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0.017</w:t>
                  </w:r>
                </w:p>
              </w:tc>
              <w:tc>
                <w:tcPr>
                  <w:tcW w:w="105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0.04</w:t>
                  </w:r>
                </w:p>
              </w:tc>
              <w:tc>
                <w:tcPr>
                  <w:tcW w:w="1365"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85"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0.017</w:t>
                  </w:r>
                </w:p>
              </w:tc>
              <w:tc>
                <w:tcPr>
                  <w:tcW w:w="1050"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0.04</w:t>
                  </w:r>
                </w:p>
              </w:tc>
            </w:tr>
          </w:tbl>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根据上表可知项目</w:t>
            </w:r>
            <w:r>
              <w:rPr>
                <w:rFonts w:hint="eastAsia" w:ascii="Times New Roman" w:hAnsi="Times New Roman" w:eastAsia="宋体" w:cs="Times New Roman"/>
                <w:color w:val="auto"/>
                <w:kern w:val="2"/>
                <w:sz w:val="24"/>
                <w:szCs w:val="24"/>
                <w:highlight w:val="none"/>
                <w:lang w:eastAsia="zh-CN"/>
              </w:rPr>
              <w:t>有机</w:t>
            </w:r>
            <w:r>
              <w:rPr>
                <w:rFonts w:hint="eastAsia" w:ascii="Times New Roman" w:hAnsi="Times New Roman" w:eastAsia="宋体" w:cs="Times New Roman"/>
                <w:color w:val="auto"/>
                <w:kern w:val="2"/>
                <w:sz w:val="24"/>
                <w:szCs w:val="24"/>
                <w:highlight w:val="none"/>
              </w:rPr>
              <w:t>废气有组织</w:t>
            </w:r>
            <w:r>
              <w:rPr>
                <w:rFonts w:ascii="Times New Roman" w:hAnsi="Times New Roman" w:eastAsia="宋体" w:cs="Times New Roman"/>
                <w:color w:val="auto"/>
                <w:kern w:val="2"/>
                <w:sz w:val="24"/>
                <w:szCs w:val="24"/>
                <w:highlight w:val="none"/>
              </w:rPr>
              <w:t>排放浓度和排放速率可以达到广东省地方标准《大气污染物排放限值》（DB44/27-2001）中第二时段二级标准，</w:t>
            </w:r>
            <w:r>
              <w:rPr>
                <w:rFonts w:hint="eastAsia" w:ascii="Times New Roman" w:hAnsi="Times New Roman" w:eastAsia="宋体" w:cs="Times New Roman"/>
                <w:color w:val="auto"/>
                <w:kern w:val="2"/>
                <w:sz w:val="24"/>
                <w:szCs w:val="24"/>
                <w:highlight w:val="none"/>
                <w:shd w:val="clear" w:color="auto" w:fill="FFFFFF"/>
              </w:rPr>
              <w:t>无组织排放量较少，</w:t>
            </w:r>
            <w:r>
              <w:rPr>
                <w:rFonts w:ascii="Times New Roman" w:hAnsi="Times New Roman" w:eastAsia="宋体" w:cs="Times New Roman"/>
                <w:color w:val="auto"/>
                <w:kern w:val="2"/>
                <w:sz w:val="24"/>
                <w:szCs w:val="24"/>
                <w:highlight w:val="none"/>
                <w:shd w:val="clear" w:color="auto" w:fill="FFFFFF"/>
              </w:rPr>
              <w:t>根据估算，</w:t>
            </w:r>
            <w:r>
              <w:rPr>
                <w:rFonts w:ascii="Times New Roman" w:hAnsi="Times New Roman" w:eastAsia="宋体" w:cs="Times New Roman"/>
                <w:color w:val="auto"/>
                <w:kern w:val="2"/>
                <w:sz w:val="24"/>
                <w:szCs w:val="24"/>
                <w:highlight w:val="none"/>
              </w:rPr>
              <w:t>周界外非甲烷总烃</w:t>
            </w:r>
            <w:r>
              <w:rPr>
                <w:rFonts w:hint="eastAsia" w:ascii="Times New Roman" w:hAnsi="Times New Roman" w:eastAsia="宋体" w:cs="Times New Roman"/>
                <w:color w:val="auto"/>
                <w:kern w:val="0"/>
                <w:sz w:val="24"/>
                <w:szCs w:val="24"/>
                <w:highlight w:val="none"/>
                <w:lang w:eastAsia="zh-CN"/>
              </w:rPr>
              <w:t>最大地面浓度</w:t>
            </w:r>
            <w:r>
              <w:rPr>
                <w:rFonts w:ascii="Times New Roman" w:hAnsi="Times New Roman" w:eastAsia="宋体" w:cs="Times New Roman"/>
                <w:color w:val="auto"/>
                <w:kern w:val="0"/>
                <w:sz w:val="24"/>
                <w:szCs w:val="24"/>
                <w:highlight w:val="none"/>
              </w:rPr>
              <w:t>未超过</w:t>
            </w:r>
            <w:r>
              <w:rPr>
                <w:rFonts w:ascii="Times New Roman" w:hAnsi="Times New Roman" w:eastAsia="宋体" w:cs="Times New Roman"/>
                <w:color w:val="auto"/>
                <w:kern w:val="2"/>
                <w:sz w:val="24"/>
                <w:szCs w:val="24"/>
                <w:highlight w:val="none"/>
              </w:rPr>
              <w:t>广东省地方标准《大气污染物排放限值》（DB44/ 27-2001）第二时段无组织排放监控浓度限值</w:t>
            </w:r>
            <w:r>
              <w:rPr>
                <w:rFonts w:hint="eastAsia" w:ascii="Times New Roman" w:hAnsi="Times New Roman" w:eastAsia="宋体" w:cs="Times New Roman"/>
                <w:color w:val="auto"/>
                <w:kern w:val="2"/>
                <w:sz w:val="24"/>
                <w:szCs w:val="24"/>
                <w:highlight w:val="none"/>
              </w:rPr>
              <w:t>，对周围环境影响较小。</w:t>
            </w:r>
          </w:p>
          <w:p>
            <w:pPr>
              <w:widowControl w:val="0"/>
              <w:spacing w:after="0" w:line="360" w:lineRule="auto"/>
              <w:ind w:firstLine="482" w:firstLineChars="200"/>
              <w:jc w:val="both"/>
              <w:rPr>
                <w:rFonts w:hint="eastAsia" w:ascii="Times New Roman" w:hAnsi="Times New Roman" w:eastAsia="宋体" w:cs="Times New Roman"/>
                <w:b/>
                <w:bCs w:val="0"/>
                <w:color w:val="auto"/>
                <w:kern w:val="2"/>
                <w:sz w:val="24"/>
                <w:szCs w:val="24"/>
                <w:highlight w:val="none"/>
                <w:lang w:val="en-US" w:eastAsia="zh-CN"/>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bCs w:val="0"/>
                <w:color w:val="auto"/>
                <w:kern w:val="2"/>
                <w:sz w:val="24"/>
                <w:szCs w:val="24"/>
                <w:highlight w:val="none"/>
                <w:lang w:val="en-US" w:eastAsia="zh-CN"/>
              </w:rPr>
              <w:t>燃料废气</w:t>
            </w:r>
          </w:p>
          <w:p>
            <w:pPr>
              <w:widowControl w:val="0"/>
              <w:spacing w:after="0" w:line="360" w:lineRule="auto"/>
              <w:ind w:firstLine="480" w:firstLineChars="200"/>
              <w:jc w:val="both"/>
              <w:rPr>
                <w:rFonts w:ascii="宋体" w:hAnsi="宋体"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rPr>
              <w:t>项目红冲工序加热以天然气为燃料，其</w:t>
            </w:r>
            <w:r>
              <w:rPr>
                <w:rFonts w:ascii="Times New Roman" w:hAnsi="Times New Roman" w:eastAsia="宋体" w:cs="Times New Roman"/>
                <w:color w:val="auto"/>
                <w:kern w:val="2"/>
                <w:sz w:val="24"/>
                <w:szCs w:val="24"/>
                <w:highlight w:val="none"/>
                <w:lang w:val="en-US" w:eastAsia="zh-CN"/>
              </w:rPr>
              <w:t>主要污染</w:t>
            </w:r>
            <w:r>
              <w:rPr>
                <w:rFonts w:ascii="Times New Roman" w:hAnsi="Times New Roman" w:eastAsia="宋体" w:cs="Times New Roman"/>
                <w:color w:val="auto"/>
                <w:kern w:val="2"/>
                <w:sz w:val="24"/>
                <w:szCs w:val="24"/>
                <w:highlight w:val="none"/>
                <w:lang w:val="en-US" w:eastAsia="zh-CN" w:bidi="ar-SA"/>
              </w:rPr>
              <w:t>因子为SO</w:t>
            </w:r>
            <w:r>
              <w:rPr>
                <w:rFonts w:ascii="Times New Roman" w:hAnsi="Times New Roman" w:eastAsia="宋体" w:cs="Times New Roman"/>
                <w:color w:val="auto"/>
                <w:kern w:val="2"/>
                <w:sz w:val="24"/>
                <w:szCs w:val="24"/>
                <w:highlight w:val="none"/>
                <w:vertAlign w:val="subscript"/>
                <w:lang w:val="en-US" w:eastAsia="zh-CN" w:bidi="ar-SA"/>
              </w:rPr>
              <w:t>2</w:t>
            </w:r>
            <w:r>
              <w:rPr>
                <w:rFonts w:ascii="Times New Roman" w:hAnsi="Times New Roman" w:eastAsia="宋体" w:cs="Times New Roman"/>
                <w:color w:val="auto"/>
                <w:kern w:val="2"/>
                <w:sz w:val="24"/>
                <w:szCs w:val="24"/>
                <w:highlight w:val="none"/>
                <w:lang w:val="en-US" w:eastAsia="zh-CN" w:bidi="ar-SA"/>
              </w:rPr>
              <w:t>、NOx、烟尘</w:t>
            </w:r>
            <w:r>
              <w:rPr>
                <w:rFonts w:hint="eastAsia" w:ascii="宋体" w:hAnsi="Times New Roman" w:eastAsia="宋体" w:cs="Times New Roman"/>
                <w:color w:val="auto"/>
                <w:kern w:val="2"/>
                <w:sz w:val="24"/>
                <w:szCs w:val="24"/>
                <w:highlight w:val="none"/>
                <w:lang w:val="en-US" w:eastAsia="zh-CN" w:bidi="ar-SA"/>
              </w:rPr>
              <w:t>。</w:t>
            </w:r>
            <w:r>
              <w:rPr>
                <w:rFonts w:hint="eastAsia" w:ascii="宋体" w:hAnsi="宋体" w:eastAsia="宋体" w:cs="Times New Roman"/>
                <w:color w:val="auto"/>
                <w:kern w:val="2"/>
                <w:sz w:val="24"/>
                <w:szCs w:val="24"/>
                <w:highlight w:val="none"/>
                <w:lang w:val="en-US" w:eastAsia="zh-CN" w:bidi="ar-SA"/>
              </w:rPr>
              <w:t>项目</w:t>
            </w:r>
            <w:r>
              <w:rPr>
                <w:rFonts w:hint="eastAsia" w:ascii="宋体" w:hAnsi="Times New Roman" w:eastAsia="宋体" w:cs="Times New Roman"/>
                <w:color w:val="auto"/>
                <w:kern w:val="2"/>
                <w:sz w:val="24"/>
                <w:szCs w:val="24"/>
                <w:highlight w:val="none"/>
                <w:lang w:val="en-US" w:eastAsia="zh-CN" w:bidi="ar-SA"/>
              </w:rPr>
              <w:t>热冲床</w:t>
            </w:r>
            <w:r>
              <w:rPr>
                <w:rFonts w:hint="eastAsia" w:ascii="宋体" w:hAnsi="宋体" w:eastAsia="宋体" w:cs="Times New Roman"/>
                <w:color w:val="auto"/>
                <w:kern w:val="2"/>
                <w:sz w:val="24"/>
                <w:szCs w:val="24"/>
                <w:highlight w:val="none"/>
                <w:lang w:val="en-US" w:eastAsia="zh-CN" w:bidi="ar-SA"/>
              </w:rPr>
              <w:t>所用</w:t>
            </w:r>
            <w:r>
              <w:rPr>
                <w:rFonts w:hint="eastAsia" w:ascii="宋体" w:hAnsi="Times New Roman" w:eastAsia="宋体" w:cs="Times New Roman"/>
                <w:color w:val="auto"/>
                <w:kern w:val="2"/>
                <w:sz w:val="24"/>
                <w:szCs w:val="24"/>
                <w:highlight w:val="none"/>
                <w:lang w:val="en-US" w:eastAsia="zh-CN" w:bidi="ar-SA"/>
              </w:rPr>
              <w:t>天然气</w:t>
            </w:r>
            <w:r>
              <w:rPr>
                <w:rFonts w:hint="eastAsia" w:ascii="宋体" w:hAnsi="宋体" w:eastAsia="宋体" w:cs="Times New Roman"/>
                <w:color w:val="auto"/>
                <w:kern w:val="2"/>
                <w:sz w:val="24"/>
                <w:szCs w:val="24"/>
                <w:highlight w:val="none"/>
                <w:lang w:val="en-US" w:eastAsia="zh-CN" w:bidi="ar-SA"/>
              </w:rPr>
              <w:t>属于清洁能源，</w:t>
            </w:r>
            <w:r>
              <w:rPr>
                <w:rFonts w:ascii="宋体" w:hAnsi="宋体" w:eastAsia="宋体" w:cs="Times New Roman"/>
                <w:color w:val="auto"/>
                <w:kern w:val="2"/>
                <w:sz w:val="24"/>
                <w:szCs w:val="24"/>
                <w:highlight w:val="none"/>
                <w:lang w:val="en-US" w:eastAsia="zh-CN" w:bidi="ar-SA"/>
              </w:rPr>
              <w:t>其燃烧产生的大气污染物排放量较低，</w:t>
            </w:r>
            <w:r>
              <w:rPr>
                <w:rFonts w:hint="eastAsia" w:ascii="宋体" w:hAnsi="宋体" w:eastAsia="宋体" w:cs="Times New Roman"/>
                <w:color w:val="auto"/>
                <w:kern w:val="2"/>
                <w:sz w:val="24"/>
                <w:szCs w:val="24"/>
                <w:highlight w:val="none"/>
                <w:lang w:val="en-US" w:eastAsia="zh-CN" w:bidi="ar-SA"/>
              </w:rPr>
              <w:t>拟设</w:t>
            </w:r>
            <w:r>
              <w:rPr>
                <w:rFonts w:ascii="宋体" w:hAnsi="宋体" w:eastAsia="宋体" w:cs="Times New Roman"/>
                <w:color w:val="auto"/>
                <w:kern w:val="2"/>
                <w:sz w:val="24"/>
                <w:szCs w:val="24"/>
                <w:highlight w:val="none"/>
                <w:lang w:val="en-US" w:eastAsia="zh-CN" w:bidi="ar-SA"/>
              </w:rPr>
              <w:t>集气装置收集后引至楼顶高空排放</w:t>
            </w:r>
            <w:r>
              <w:rPr>
                <w:rFonts w:ascii="Times New Roman" w:hAnsi="Times New Roman" w:eastAsia="宋体" w:cs="Times New Roman"/>
                <w:color w:val="auto"/>
                <w:kern w:val="2"/>
                <w:sz w:val="24"/>
                <w:szCs w:val="24"/>
                <w:highlight w:val="none"/>
                <w:lang w:val="en-US" w:eastAsia="zh-CN" w:bidi="ar-SA"/>
              </w:rPr>
              <w:t>（编号为G2）</w:t>
            </w:r>
            <w:r>
              <w:rPr>
                <w:rFonts w:ascii="宋体" w:hAnsi="宋体" w:eastAsia="宋体" w:cs="Times New Roman"/>
                <w:color w:val="auto"/>
                <w:kern w:val="2"/>
                <w:sz w:val="24"/>
                <w:szCs w:val="24"/>
                <w:highlight w:val="none"/>
                <w:lang w:val="en-US" w:eastAsia="zh-CN" w:bidi="ar-SA"/>
              </w:rPr>
              <w:t>，</w:t>
            </w:r>
            <w:r>
              <w:rPr>
                <w:rFonts w:hint="eastAsia" w:ascii="宋体" w:hAnsi="宋体" w:eastAsia="宋体" w:cs="Times New Roman"/>
                <w:color w:val="auto"/>
                <w:kern w:val="2"/>
                <w:sz w:val="24"/>
                <w:szCs w:val="24"/>
                <w:highlight w:val="none"/>
                <w:lang w:val="en-US" w:eastAsia="zh-CN" w:bidi="ar-SA"/>
              </w:rPr>
              <w:t>项目燃料废气产生和排放情况如下表所示。</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项目</w:t>
            </w:r>
            <w:r>
              <w:rPr>
                <w:rFonts w:hint="eastAsia" w:ascii="Times New Roman" w:hAnsi="Times New Roman" w:eastAsia="宋体" w:cs="Times New Roman"/>
                <w:b/>
                <w:color w:val="auto"/>
                <w:kern w:val="0"/>
                <w:sz w:val="21"/>
                <w:szCs w:val="21"/>
                <w:highlight w:val="none"/>
                <w:lang w:val="en-US" w:eastAsia="zh-CN" w:bidi="ar-SA"/>
              </w:rPr>
              <w:t>燃料</w:t>
            </w:r>
            <w:r>
              <w:rPr>
                <w:rFonts w:ascii="Times New Roman" w:hAnsi="Times New Roman" w:eastAsia="宋体" w:cs="Times New Roman"/>
                <w:b/>
                <w:color w:val="auto"/>
                <w:kern w:val="0"/>
                <w:sz w:val="21"/>
                <w:szCs w:val="21"/>
                <w:highlight w:val="none"/>
                <w:lang w:val="en-US" w:eastAsia="zh-CN" w:bidi="ar-SA"/>
              </w:rPr>
              <w:t>废气</w:t>
            </w:r>
            <w:r>
              <w:rPr>
                <w:rFonts w:hint="eastAsia" w:ascii="Times New Roman" w:hAnsi="Times New Roman" w:eastAsia="宋体" w:cs="Times New Roman"/>
                <w:b/>
                <w:color w:val="auto"/>
                <w:kern w:val="0"/>
                <w:sz w:val="21"/>
                <w:szCs w:val="21"/>
                <w:highlight w:val="none"/>
                <w:lang w:val="en-US" w:eastAsia="zh-CN" w:bidi="ar-SA"/>
              </w:rPr>
              <w:t>产生和</w:t>
            </w:r>
            <w:r>
              <w:rPr>
                <w:rFonts w:ascii="Times New Roman" w:hAnsi="Times New Roman" w:eastAsia="宋体" w:cs="Times New Roman"/>
                <w:b/>
                <w:color w:val="auto"/>
                <w:kern w:val="0"/>
                <w:sz w:val="21"/>
                <w:szCs w:val="21"/>
                <w:highlight w:val="none"/>
                <w:lang w:val="en-US" w:eastAsia="zh-CN" w:bidi="ar-SA"/>
              </w:rPr>
              <w:t>排放情况一览表</w:t>
            </w:r>
          </w:p>
          <w:tbl>
            <w:tblPr>
              <w:tblStyle w:val="44"/>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154"/>
              <w:gridCol w:w="1154"/>
              <w:gridCol w:w="1230"/>
              <w:gridCol w:w="1102"/>
              <w:gridCol w:w="1178"/>
              <w:gridCol w:w="1275"/>
              <w:gridCol w:w="1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1154" w:type="dxa"/>
                  <w:tcBorders>
                    <w:tl2br w:val="nil"/>
                    <w:tr2bl w:val="nil"/>
                  </w:tcBorders>
                  <w:vAlign w:val="center"/>
                </w:tcPr>
                <w:p>
                  <w:pPr>
                    <w:widowControl w:val="0"/>
                    <w:kinsoku w:val="0"/>
                    <w:snapToGrid w:val="0"/>
                    <w:spacing w:after="0" w:line="240" w:lineRule="auto"/>
                    <w:jc w:val="center"/>
                    <w:outlineLvl w:val="0"/>
                    <w:rPr>
                      <w:rFonts w:hint="eastAsia" w:ascii="Times New Roman" w:hAnsi="Times New Roman" w:eastAsia="宋体" w:cs="Times New Roman"/>
                      <w:b/>
                      <w:color w:val="auto"/>
                      <w:kern w:val="2"/>
                      <w:sz w:val="21"/>
                      <w:szCs w:val="21"/>
                      <w:highlight w:val="none"/>
                      <w:lang w:eastAsia="zh-CN"/>
                    </w:rPr>
                  </w:pPr>
                  <w:r>
                    <w:rPr>
                      <w:rFonts w:hint="eastAsia" w:ascii="Times New Roman" w:hAnsi="Times New Roman" w:eastAsia="宋体" w:cs="Times New Roman"/>
                      <w:b/>
                      <w:color w:val="auto"/>
                      <w:kern w:val="2"/>
                      <w:sz w:val="21"/>
                      <w:szCs w:val="21"/>
                      <w:highlight w:val="none"/>
                      <w:lang w:eastAsia="zh-CN"/>
                    </w:rPr>
                    <w:t>废气量</w:t>
                  </w:r>
                </w:p>
              </w:tc>
              <w:tc>
                <w:tcPr>
                  <w:tcW w:w="1154"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产生浓度（mg/m³）</w:t>
                  </w:r>
                </w:p>
              </w:tc>
              <w:tc>
                <w:tcPr>
                  <w:tcW w:w="1230"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产生速率</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（kg/h）</w:t>
                  </w:r>
                </w:p>
              </w:tc>
              <w:tc>
                <w:tcPr>
                  <w:tcW w:w="1102"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产生量</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w:t>
                  </w:r>
                  <w:r>
                    <w:rPr>
                      <w:rFonts w:hint="eastAsia" w:ascii="Times New Roman" w:hAnsi="Times New Roman" w:eastAsia="宋体" w:cs="Times New Roman"/>
                      <w:b/>
                      <w:color w:val="auto"/>
                      <w:kern w:val="2"/>
                      <w:sz w:val="21"/>
                      <w:szCs w:val="21"/>
                      <w:highlight w:val="none"/>
                    </w:rPr>
                    <w:t>t</w:t>
                  </w:r>
                  <w:r>
                    <w:rPr>
                      <w:rFonts w:ascii="Times New Roman" w:hAnsi="Times New Roman" w:eastAsia="宋体" w:cs="Times New Roman"/>
                      <w:b/>
                      <w:color w:val="auto"/>
                      <w:kern w:val="2"/>
                      <w:sz w:val="21"/>
                      <w:szCs w:val="21"/>
                      <w:highlight w:val="none"/>
                    </w:rPr>
                    <w:t>/a）</w:t>
                  </w:r>
                </w:p>
              </w:tc>
              <w:tc>
                <w:tcPr>
                  <w:tcW w:w="1178"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排放浓度</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（mg/m³）</w:t>
                  </w:r>
                </w:p>
              </w:tc>
              <w:tc>
                <w:tcPr>
                  <w:tcW w:w="127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排放速率</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（kg/h）</w:t>
                  </w:r>
                </w:p>
              </w:tc>
              <w:tc>
                <w:tcPr>
                  <w:tcW w:w="1147"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排放量</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w:t>
                  </w:r>
                  <w:r>
                    <w:rPr>
                      <w:rFonts w:hint="eastAsia" w:ascii="Times New Roman" w:hAnsi="Times New Roman" w:eastAsia="宋体" w:cs="Times New Roman"/>
                      <w:b/>
                      <w:color w:val="auto"/>
                      <w:kern w:val="2"/>
                      <w:sz w:val="21"/>
                      <w:szCs w:val="21"/>
                      <w:highlight w:val="none"/>
                    </w:rPr>
                    <w:t>t</w:t>
                  </w:r>
                  <w:r>
                    <w:rPr>
                      <w:rFonts w:ascii="Times New Roman" w:hAnsi="Times New Roman" w:eastAsia="宋体" w:cs="Times New Roman"/>
                      <w:b/>
                      <w:color w:val="auto"/>
                      <w:kern w:val="2"/>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1154" w:type="dxa"/>
                  <w:vMerge w:val="restart"/>
                  <w:tcBorders>
                    <w:tl2br w:val="nil"/>
                    <w:tr2bl w:val="nil"/>
                  </w:tcBorders>
                  <w:vAlign w:val="center"/>
                </w:tcPr>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FF0000"/>
                      <w:kern w:val="24"/>
                      <w:sz w:val="21"/>
                      <w:szCs w:val="21"/>
                      <w:highlight w:val="none"/>
                    </w:rPr>
                  </w:pPr>
                  <w:r>
                    <w:rPr>
                      <w:rFonts w:hint="default" w:ascii="Times New Roman" w:hAnsi="Times New Roman" w:eastAsia="宋体" w:cs="Times New Roman"/>
                      <w:color w:val="auto"/>
                      <w:kern w:val="2"/>
                      <w:sz w:val="21"/>
                      <w:szCs w:val="21"/>
                      <w:lang w:val="en-US" w:eastAsia="zh-CN"/>
                    </w:rPr>
                    <w:t>68.13</w:t>
                  </w:r>
                  <w:r>
                    <w:rPr>
                      <w:rFonts w:ascii="Times New Roman" w:hAnsi="Times New Roman" w:eastAsia="宋体" w:cs="Times New Roman"/>
                      <w:color w:val="auto"/>
                      <w:kern w:val="2"/>
                      <w:sz w:val="21"/>
                      <w:szCs w:val="21"/>
                      <w:highlight w:val="none"/>
                      <w:lang w:val="en-US" w:eastAsia="zh-CN" w:bidi="ar-SA"/>
                    </w:rPr>
                    <w:t>×10</w:t>
                  </w:r>
                  <w:r>
                    <w:rPr>
                      <w:rFonts w:ascii="Times New Roman" w:hAnsi="Times New Roman" w:eastAsia="宋体" w:cs="Times New Roman"/>
                      <w:color w:val="auto"/>
                      <w:kern w:val="2"/>
                      <w:sz w:val="21"/>
                      <w:szCs w:val="21"/>
                      <w:highlight w:val="none"/>
                      <w:vertAlign w:val="superscript"/>
                      <w:lang w:val="en-US" w:eastAsia="zh-CN" w:bidi="ar-SA"/>
                    </w:rPr>
                    <w:t>4</w:t>
                  </w:r>
                  <w:r>
                    <w:rPr>
                      <w:rFonts w:ascii="Times New Roman" w:hAnsi="Times New Roman" w:eastAsia="宋体" w:cs="Times New Roman"/>
                      <w:color w:val="auto"/>
                      <w:kern w:val="2"/>
                      <w:sz w:val="21"/>
                      <w:szCs w:val="21"/>
                      <w:highlight w:val="none"/>
                      <w:lang w:val="en-US" w:eastAsia="zh-CN" w:bidi="ar-SA"/>
                    </w:rPr>
                    <w:t>m</w:t>
                  </w:r>
                  <w:r>
                    <w:rPr>
                      <w:rFonts w:ascii="Times New Roman" w:hAnsi="Times New Roman" w:eastAsia="宋体" w:cs="Times New Roman"/>
                      <w:color w:val="auto"/>
                      <w:kern w:val="2"/>
                      <w:sz w:val="21"/>
                      <w:szCs w:val="21"/>
                      <w:highlight w:val="none"/>
                      <w:vertAlign w:val="superscript"/>
                      <w:lang w:val="en-US" w:eastAsia="zh-CN" w:bidi="ar-SA"/>
                    </w:rPr>
                    <w:t>3</w:t>
                  </w:r>
                  <w:r>
                    <w:rPr>
                      <w:rFonts w:ascii="Times New Roman" w:hAnsi="Times New Roman" w:eastAsia="宋体" w:cs="Times New Roman"/>
                      <w:color w:val="auto"/>
                      <w:kern w:val="2"/>
                      <w:sz w:val="21"/>
                      <w:szCs w:val="21"/>
                      <w:highlight w:val="none"/>
                      <w:lang w:val="en-US" w:eastAsia="zh-CN" w:bidi="ar-SA"/>
                    </w:rPr>
                    <w:t>/a</w:t>
                  </w:r>
                  <w:r>
                    <w:rPr>
                      <w:rFonts w:hint="default" w:ascii="Times New Roman" w:hAnsi="Times New Roman" w:eastAsia="宋体" w:cs="Times New Roman"/>
                      <w:color w:val="auto"/>
                      <w:kern w:val="2"/>
                      <w:sz w:val="21"/>
                      <w:szCs w:val="21"/>
                      <w:lang w:val="en-US" w:eastAsia="zh-CN"/>
                    </w:rPr>
                    <w:t xml:space="preserve"> </w:t>
                  </w:r>
                </w:p>
              </w:tc>
              <w:tc>
                <w:tcPr>
                  <w:tcW w:w="1154"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 xml:space="preserve">29.356 </w:t>
                  </w:r>
                </w:p>
              </w:tc>
              <w:tc>
                <w:tcPr>
                  <w:tcW w:w="1230"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 xml:space="preserve">0.008 </w:t>
                  </w:r>
                </w:p>
              </w:tc>
              <w:tc>
                <w:tcPr>
                  <w:tcW w:w="1102"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0.020 </w:t>
                  </w:r>
                </w:p>
              </w:tc>
              <w:tc>
                <w:tcPr>
                  <w:tcW w:w="1178"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29.356 </w:t>
                  </w:r>
                </w:p>
              </w:tc>
              <w:tc>
                <w:tcPr>
                  <w:tcW w:w="127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0.008 </w:t>
                  </w:r>
                </w:p>
              </w:tc>
              <w:tc>
                <w:tcPr>
                  <w:tcW w:w="1147"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1154" w:type="dxa"/>
                  <w:vMerge w:val="continue"/>
                  <w:tcBorders>
                    <w:tl2br w:val="nil"/>
                    <w:tr2bl w:val="nil"/>
                  </w:tcBorders>
                  <w:vAlign w:val="center"/>
                </w:tcPr>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FF0000"/>
                      <w:kern w:val="24"/>
                      <w:sz w:val="21"/>
                      <w:szCs w:val="21"/>
                      <w:highlight w:val="none"/>
                    </w:rPr>
                  </w:pPr>
                </w:p>
              </w:tc>
              <w:tc>
                <w:tcPr>
                  <w:tcW w:w="1154"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 xml:space="preserve">46.235 </w:t>
                  </w:r>
                </w:p>
              </w:tc>
              <w:tc>
                <w:tcPr>
                  <w:tcW w:w="1230"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 xml:space="preserve">0.013 </w:t>
                  </w:r>
                </w:p>
              </w:tc>
              <w:tc>
                <w:tcPr>
                  <w:tcW w:w="1102"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lang w:val="en-US" w:eastAsia="zh-CN"/>
                    </w:rPr>
                    <w:t>0.032</w:t>
                  </w:r>
                </w:p>
              </w:tc>
              <w:tc>
                <w:tcPr>
                  <w:tcW w:w="1178"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46.235 </w:t>
                  </w:r>
                </w:p>
              </w:tc>
              <w:tc>
                <w:tcPr>
                  <w:tcW w:w="127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0.013 </w:t>
                  </w:r>
                </w:p>
              </w:tc>
              <w:tc>
                <w:tcPr>
                  <w:tcW w:w="1147"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烟尘</w:t>
                  </w:r>
                </w:p>
              </w:tc>
              <w:tc>
                <w:tcPr>
                  <w:tcW w:w="1154" w:type="dxa"/>
                  <w:vMerge w:val="continue"/>
                  <w:tcBorders>
                    <w:tl2br w:val="nil"/>
                    <w:tr2bl w:val="nil"/>
                  </w:tcBorders>
                  <w:vAlign w:val="center"/>
                </w:tcPr>
                <w:p>
                  <w:pPr>
                    <w:widowControl/>
                    <w:topLinePunct/>
                    <w:autoSpaceDE w:val="0"/>
                    <w:autoSpaceDN w:val="0"/>
                    <w:adjustRightInd w:val="0"/>
                    <w:spacing w:after="0" w:line="240" w:lineRule="auto"/>
                    <w:jc w:val="center"/>
                    <w:textAlignment w:val="baseline"/>
                    <w:rPr>
                      <w:rFonts w:hint="eastAsia" w:ascii="Times New Roman" w:hAnsi="Impact" w:eastAsia="宋体" w:cs="Times New Roman"/>
                      <w:color w:val="FF0000"/>
                      <w:kern w:val="24"/>
                      <w:sz w:val="21"/>
                      <w:szCs w:val="21"/>
                      <w:highlight w:val="none"/>
                    </w:rPr>
                  </w:pPr>
                </w:p>
              </w:tc>
              <w:tc>
                <w:tcPr>
                  <w:tcW w:w="1154"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 xml:space="preserve">17.613 </w:t>
                  </w:r>
                </w:p>
              </w:tc>
              <w:tc>
                <w:tcPr>
                  <w:tcW w:w="1230"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 xml:space="preserve">0.005 </w:t>
                  </w:r>
                </w:p>
              </w:tc>
              <w:tc>
                <w:tcPr>
                  <w:tcW w:w="1102"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0.012</w:t>
                  </w:r>
                </w:p>
              </w:tc>
              <w:tc>
                <w:tcPr>
                  <w:tcW w:w="1178"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17.613 </w:t>
                  </w:r>
                </w:p>
              </w:tc>
              <w:tc>
                <w:tcPr>
                  <w:tcW w:w="127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0.005 </w:t>
                  </w:r>
                </w:p>
              </w:tc>
              <w:tc>
                <w:tcPr>
                  <w:tcW w:w="1147"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0.012</w:t>
                  </w:r>
                </w:p>
              </w:tc>
            </w:tr>
          </w:tbl>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根据上表可知项目SO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、烟尘有组织</w:t>
            </w:r>
            <w:r>
              <w:rPr>
                <w:rFonts w:ascii="Times New Roman" w:hAnsi="宋体" w:eastAsia="宋体" w:cs="Times New Roman"/>
                <w:color w:val="auto"/>
                <w:kern w:val="2"/>
                <w:sz w:val="24"/>
                <w:szCs w:val="24"/>
                <w:highlight w:val="none"/>
              </w:rPr>
              <w:t>排放浓度</w:t>
            </w:r>
            <w:r>
              <w:rPr>
                <w:rFonts w:hint="eastAsia" w:ascii="Times New Roman" w:hAnsi="宋体" w:eastAsia="宋体" w:cs="Times New Roman"/>
                <w:color w:val="auto"/>
                <w:kern w:val="2"/>
                <w:sz w:val="24"/>
                <w:szCs w:val="24"/>
                <w:highlight w:val="none"/>
              </w:rPr>
              <w:t>和排放速率可以达到广东省《大气污染物排放限值》（DB44/27－2001）第二时段二级标准</w:t>
            </w:r>
            <w:r>
              <w:rPr>
                <w:rFonts w:hint="eastAsia" w:ascii="宋体" w:hAnsi="宋体"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shd w:val="clear" w:color="auto" w:fill="FFFFFF"/>
              </w:rPr>
              <w:t>无组织排放量较少，</w:t>
            </w:r>
            <w:r>
              <w:rPr>
                <w:rFonts w:ascii="Times New Roman" w:hAnsi="Times New Roman" w:eastAsia="宋体" w:cs="Times New Roman"/>
                <w:color w:val="auto"/>
                <w:kern w:val="2"/>
                <w:sz w:val="24"/>
                <w:szCs w:val="24"/>
                <w:highlight w:val="none"/>
                <w:shd w:val="clear" w:color="auto" w:fill="FFFFFF"/>
              </w:rPr>
              <w:t>根据估算，</w:t>
            </w:r>
            <w:r>
              <w:rPr>
                <w:rFonts w:ascii="Times New Roman" w:hAnsi="Times New Roman" w:eastAsia="宋体" w:cs="Times New Roman"/>
                <w:color w:val="auto"/>
                <w:kern w:val="2"/>
                <w:sz w:val="24"/>
                <w:szCs w:val="24"/>
                <w:highlight w:val="none"/>
              </w:rPr>
              <w:t>周界外SO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、烟尘</w:t>
            </w:r>
            <w:r>
              <w:rPr>
                <w:rFonts w:hint="eastAsia" w:ascii="Times New Roman" w:hAnsi="Times New Roman" w:eastAsia="宋体" w:cs="Times New Roman"/>
                <w:color w:val="auto"/>
                <w:kern w:val="0"/>
                <w:sz w:val="24"/>
                <w:szCs w:val="24"/>
                <w:highlight w:val="none"/>
                <w:lang w:eastAsia="zh-CN"/>
              </w:rPr>
              <w:t>最大地面浓度</w:t>
            </w:r>
            <w:r>
              <w:rPr>
                <w:rFonts w:hint="eastAsia" w:ascii="Times New Roman" w:hAnsi="Times New Roman" w:eastAsia="宋体" w:cs="Times New Roman"/>
                <w:color w:val="auto"/>
                <w:kern w:val="0"/>
                <w:sz w:val="24"/>
                <w:szCs w:val="24"/>
                <w:highlight w:val="none"/>
              </w:rPr>
              <w:t>未超过</w:t>
            </w:r>
            <w:r>
              <w:rPr>
                <w:rFonts w:ascii="Times New Roman" w:hAnsi="Times New Roman" w:eastAsia="宋体" w:cs="Times New Roman"/>
                <w:color w:val="auto"/>
                <w:kern w:val="2"/>
                <w:sz w:val="24"/>
                <w:szCs w:val="24"/>
                <w:highlight w:val="none"/>
              </w:rPr>
              <w:t>广东省地方标准《大气污染物排放限值》（DB44/ 27-2001）第二时段无组织排放监控浓度限值</w:t>
            </w:r>
            <w:r>
              <w:rPr>
                <w:rFonts w:hint="eastAsia" w:ascii="Times New Roman" w:hAnsi="Times New Roman" w:eastAsia="宋体" w:cs="Times New Roman"/>
                <w:color w:val="auto"/>
                <w:kern w:val="2"/>
                <w:sz w:val="24"/>
                <w:szCs w:val="24"/>
                <w:highlight w:val="none"/>
              </w:rPr>
              <w:t>，对周围环境影响较小。</w:t>
            </w:r>
          </w:p>
          <w:p>
            <w:pPr>
              <w:widowControl w:val="0"/>
              <w:spacing w:after="0" w:line="360" w:lineRule="auto"/>
              <w:ind w:firstLine="482" w:firstLineChars="200"/>
              <w:jc w:val="both"/>
              <w:rPr>
                <w:rFonts w:hint="eastAsia" w:ascii="Times New Roman" w:hAnsi="Times New Roman" w:eastAsia="宋体" w:cs="Times New Roman"/>
                <w:b/>
                <w:color w:val="auto"/>
                <w:kern w:val="2"/>
                <w:sz w:val="24"/>
                <w:szCs w:val="24"/>
                <w:highlight w:val="none"/>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color w:val="auto"/>
                <w:kern w:val="2"/>
                <w:sz w:val="24"/>
                <w:szCs w:val="24"/>
                <w:highlight w:val="none"/>
              </w:rPr>
              <w:t>抛光工序</w:t>
            </w:r>
          </w:p>
          <w:p>
            <w:pPr>
              <w:widowControl w:val="0"/>
              <w:spacing w:after="0" w:line="360" w:lineRule="auto"/>
              <w:ind w:firstLine="480" w:firstLineChars="200"/>
              <w:jc w:val="both"/>
              <w:rPr>
                <w:rFonts w:ascii="Times New Roman" w:hAnsi="宋体" w:eastAsia="宋体" w:cs="Times New Roman"/>
                <w:color w:val="FF0000"/>
                <w:kern w:val="2"/>
                <w:sz w:val="24"/>
                <w:szCs w:val="24"/>
                <w:highlight w:val="none"/>
              </w:rPr>
            </w:pPr>
            <w:r>
              <w:rPr>
                <w:rFonts w:hint="eastAsia" w:ascii="Times New Roman" w:hAnsi="Times New Roman" w:eastAsia="宋体" w:cs="Times New Roman"/>
                <w:color w:val="auto"/>
                <w:kern w:val="2"/>
                <w:sz w:val="24"/>
                <w:szCs w:val="24"/>
                <w:highlight w:val="none"/>
              </w:rPr>
              <w:t>项目在</w:t>
            </w:r>
            <w:r>
              <w:rPr>
                <w:rFonts w:hint="eastAsia" w:ascii="Times New Roman" w:hAnsi="Times New Roman" w:eastAsia="宋体" w:cs="Times New Roman"/>
                <w:color w:val="auto"/>
                <w:kern w:val="2"/>
                <w:sz w:val="24"/>
                <w:szCs w:val="24"/>
                <w:highlight w:val="none"/>
                <w:lang w:eastAsia="zh-CN"/>
              </w:rPr>
              <w:t>抛光</w:t>
            </w:r>
            <w:r>
              <w:rPr>
                <w:rFonts w:hint="eastAsia" w:ascii="Times New Roman" w:hAnsi="Times New Roman" w:eastAsia="宋体" w:cs="Times New Roman"/>
                <w:color w:val="auto"/>
                <w:kern w:val="2"/>
                <w:sz w:val="24"/>
                <w:szCs w:val="24"/>
                <w:highlight w:val="none"/>
              </w:rPr>
              <w:t>工序中会产生一定量的粉尘，</w:t>
            </w:r>
            <w:r>
              <w:rPr>
                <w:rFonts w:hint="eastAsia" w:ascii="Times New Roman" w:hAnsi="Times New Roman" w:eastAsia="宋体" w:cs="Times New Roman"/>
                <w:bCs/>
                <w:color w:val="auto"/>
                <w:kern w:val="2"/>
                <w:sz w:val="24"/>
                <w:szCs w:val="24"/>
                <w:highlight w:val="none"/>
                <w:lang w:eastAsia="zh-CN"/>
              </w:rPr>
              <w:t>根据工程分析，</w:t>
            </w:r>
            <w:r>
              <w:rPr>
                <w:rFonts w:hint="eastAsia" w:ascii="Times New Roman" w:hAnsi="Times New Roman" w:eastAsia="宋体" w:cs="Times New Roman"/>
                <w:color w:val="auto"/>
                <w:kern w:val="2"/>
                <w:sz w:val="24"/>
                <w:szCs w:val="24"/>
                <w:highlight w:val="none"/>
              </w:rPr>
              <w:t>产生粉尘量为</w:t>
            </w:r>
            <w:r>
              <w:rPr>
                <w:rFonts w:hint="eastAsia" w:ascii="Times New Roman" w:hAnsi="Times New Roman" w:eastAsia="宋体" w:cs="Times New Roman"/>
                <w:color w:val="auto"/>
                <w:kern w:val="2"/>
                <w:sz w:val="24"/>
                <w:szCs w:val="24"/>
                <w:highlight w:val="none"/>
                <w:lang w:val="en-US" w:eastAsia="zh-CN"/>
              </w:rPr>
              <w:t>0.38</w:t>
            </w:r>
            <w:r>
              <w:rPr>
                <w:rFonts w:hint="eastAsia" w:ascii="Times New Roman" w:hAnsi="Times New Roman" w:eastAsia="宋体" w:cs="Times New Roman"/>
                <w:color w:val="auto"/>
                <w:kern w:val="2"/>
                <w:sz w:val="24"/>
                <w:szCs w:val="24"/>
                <w:highlight w:val="none"/>
              </w:rPr>
              <w:t>t/a。</w:t>
            </w:r>
            <w:r>
              <w:rPr>
                <w:rFonts w:hint="eastAsia" w:ascii="Times New Roman" w:hAnsi="宋体" w:eastAsia="宋体" w:cs="Times New Roman"/>
                <w:color w:val="auto"/>
                <w:kern w:val="2"/>
                <w:sz w:val="24"/>
                <w:szCs w:val="24"/>
                <w:highlight w:val="none"/>
              </w:rPr>
              <w:t>项目设有抛光机</w:t>
            </w:r>
            <w:r>
              <w:rPr>
                <w:rFonts w:hint="eastAsia" w:ascii="Times New Roman" w:hAnsi="宋体" w:eastAsia="宋体" w:cs="Times New Roman"/>
                <w:color w:val="auto"/>
                <w:kern w:val="2"/>
                <w:sz w:val="24"/>
                <w:szCs w:val="24"/>
                <w:highlight w:val="none"/>
                <w:lang w:val="en-US" w:eastAsia="zh-CN"/>
              </w:rPr>
              <w:t>7</w:t>
            </w:r>
            <w:r>
              <w:rPr>
                <w:rFonts w:hint="eastAsia" w:ascii="Times New Roman" w:hAnsi="宋体" w:eastAsia="宋体" w:cs="Times New Roman"/>
                <w:color w:val="auto"/>
                <w:kern w:val="2"/>
                <w:sz w:val="24"/>
                <w:szCs w:val="24"/>
                <w:highlight w:val="none"/>
              </w:rPr>
              <w:t>台，</w:t>
            </w:r>
            <w:r>
              <w:rPr>
                <w:rFonts w:hint="eastAsia" w:ascii="Times New Roman" w:hAnsi="宋体" w:eastAsia="宋体" w:cs="Times New Roman"/>
                <w:color w:val="auto"/>
                <w:kern w:val="2"/>
                <w:sz w:val="24"/>
                <w:szCs w:val="24"/>
                <w:highlight w:val="none"/>
                <w:lang w:val="en-US" w:eastAsia="zh-CN"/>
              </w:rPr>
              <w:t>14</w:t>
            </w:r>
            <w:r>
              <w:rPr>
                <w:rFonts w:hint="eastAsia" w:ascii="Times New Roman" w:hAnsi="宋体" w:eastAsia="宋体" w:cs="Times New Roman"/>
                <w:color w:val="auto"/>
                <w:kern w:val="2"/>
                <w:sz w:val="24"/>
                <w:szCs w:val="24"/>
                <w:highlight w:val="none"/>
              </w:rPr>
              <w:t>个工位，拟将</w:t>
            </w:r>
            <w:r>
              <w:rPr>
                <w:rFonts w:hint="eastAsia" w:ascii="Times New Roman" w:hAnsi="宋体" w:eastAsia="宋体" w:cs="Times New Roman"/>
                <w:color w:val="auto"/>
                <w:kern w:val="2"/>
                <w:sz w:val="24"/>
                <w:szCs w:val="24"/>
                <w:highlight w:val="none"/>
                <w:lang w:eastAsia="zh-CN"/>
              </w:rPr>
              <w:t>抛光机</w:t>
            </w:r>
            <w:r>
              <w:rPr>
                <w:rFonts w:hint="eastAsia" w:ascii="Times New Roman" w:hAnsi="宋体" w:eastAsia="宋体" w:cs="Times New Roman"/>
                <w:color w:val="auto"/>
                <w:kern w:val="2"/>
                <w:sz w:val="24"/>
                <w:szCs w:val="24"/>
                <w:highlight w:val="none"/>
              </w:rPr>
              <w:t>三面围挡，在工位侧方设置集气罩（背面侧吸），</w:t>
            </w:r>
            <w:r>
              <w:rPr>
                <w:rFonts w:hint="eastAsia" w:ascii="Times New Roman" w:hAnsi="宋体" w:eastAsia="宋体" w:cs="Times New Roman"/>
                <w:color w:val="auto"/>
                <w:kern w:val="2"/>
                <w:sz w:val="24"/>
                <w:szCs w:val="24"/>
                <w:highlight w:val="none"/>
                <w:shd w:val="clear" w:color="auto" w:fill="auto"/>
                <w:lang w:eastAsia="zh-CN"/>
              </w:rPr>
              <w:t>集气罩的尺寸为</w:t>
            </w:r>
            <w:r>
              <w:rPr>
                <w:rFonts w:hint="eastAsia" w:ascii="Times New Roman" w:hAnsi="宋体" w:eastAsia="宋体" w:cs="Times New Roman"/>
                <w:color w:val="auto"/>
                <w:kern w:val="2"/>
                <w:sz w:val="24"/>
                <w:szCs w:val="24"/>
                <w:highlight w:val="none"/>
                <w:shd w:val="clear" w:color="auto" w:fill="auto"/>
                <w:lang w:val="en-US" w:eastAsia="zh-CN"/>
              </w:rPr>
              <w:t>0.7m*0.3m，离源距离为0.1m，风速取1m/s</w:t>
            </w:r>
            <w:r>
              <w:rPr>
                <w:rFonts w:hint="eastAsia" w:ascii="Times New Roman" w:hAnsi="宋体" w:eastAsia="宋体" w:cs="Times New Roman"/>
                <w:color w:val="auto"/>
                <w:kern w:val="2"/>
                <w:sz w:val="24"/>
                <w:szCs w:val="24"/>
                <w:highlight w:val="none"/>
              </w:rPr>
              <w:t>，</w:t>
            </w:r>
            <w:r>
              <w:rPr>
                <w:rFonts w:hint="eastAsia" w:ascii="Times New Roman" w:hAnsi="宋体" w:eastAsia="宋体" w:cs="Times New Roman"/>
                <w:color w:val="auto"/>
                <w:kern w:val="2"/>
                <w:sz w:val="24"/>
                <w:szCs w:val="24"/>
                <w:highlight w:val="none"/>
                <w:shd w:val="clear" w:color="auto" w:fill="auto"/>
                <w:lang w:val="en-US" w:eastAsia="zh-CN"/>
              </w:rPr>
              <w:t>则单个集气罩的风量为1.4*（0.7m*2+0.3m*2）*0.1m*1m/s*3600s≈1000</w:t>
            </w:r>
            <w:r>
              <w:rPr>
                <w:rFonts w:hint="eastAsia" w:ascii="Times New Roman" w:hAnsi="宋体" w:eastAsia="宋体" w:cs="Times New Roman"/>
                <w:color w:val="auto"/>
                <w:kern w:val="2"/>
                <w:sz w:val="24"/>
                <w:szCs w:val="24"/>
                <w:highlight w:val="none"/>
                <w:shd w:val="clear" w:color="auto" w:fill="auto"/>
              </w:rPr>
              <w:t>m</w:t>
            </w:r>
            <w:r>
              <w:rPr>
                <w:rFonts w:hint="eastAsia" w:ascii="Times New Roman" w:hAnsi="宋体" w:eastAsia="宋体" w:cs="Times New Roman"/>
                <w:color w:val="auto"/>
                <w:kern w:val="2"/>
                <w:sz w:val="24"/>
                <w:szCs w:val="24"/>
                <w:highlight w:val="none"/>
                <w:shd w:val="clear" w:color="auto" w:fill="auto"/>
                <w:vertAlign w:val="superscript"/>
              </w:rPr>
              <w:t>3</w:t>
            </w:r>
            <w:r>
              <w:rPr>
                <w:rFonts w:hint="eastAsia" w:ascii="Times New Roman" w:hAnsi="宋体" w:eastAsia="宋体" w:cs="Times New Roman"/>
                <w:color w:val="auto"/>
                <w:kern w:val="2"/>
                <w:sz w:val="24"/>
                <w:szCs w:val="24"/>
                <w:highlight w:val="none"/>
                <w:shd w:val="clear" w:color="auto" w:fill="auto"/>
              </w:rPr>
              <w:t>/h</w:t>
            </w:r>
            <w:r>
              <w:rPr>
                <w:rFonts w:hint="eastAsia" w:ascii="Times New Roman" w:hAnsi="宋体" w:eastAsia="宋体" w:cs="Times New Roman"/>
                <w:color w:val="auto"/>
                <w:kern w:val="2"/>
                <w:sz w:val="24"/>
                <w:szCs w:val="24"/>
                <w:highlight w:val="none"/>
                <w:shd w:val="clear" w:color="auto" w:fill="auto"/>
                <w:lang w:eastAsia="zh-CN"/>
              </w:rPr>
              <w:t>，即总风机风量约为</w:t>
            </w:r>
            <w:r>
              <w:rPr>
                <w:rFonts w:hint="eastAsia" w:ascii="Times New Roman" w:hAnsi="宋体" w:eastAsia="宋体" w:cs="Times New Roman"/>
                <w:color w:val="auto"/>
                <w:kern w:val="2"/>
                <w:sz w:val="24"/>
                <w:szCs w:val="24"/>
                <w:highlight w:val="none"/>
                <w:shd w:val="clear" w:color="auto" w:fill="auto"/>
                <w:lang w:val="en-US" w:eastAsia="zh-CN"/>
              </w:rPr>
              <w:t>14000</w:t>
            </w:r>
            <w:r>
              <w:rPr>
                <w:rFonts w:hint="eastAsia" w:ascii="Times New Roman" w:hAnsi="宋体" w:eastAsia="宋体" w:cs="Times New Roman"/>
                <w:color w:val="auto"/>
                <w:kern w:val="2"/>
                <w:sz w:val="24"/>
                <w:szCs w:val="24"/>
                <w:highlight w:val="none"/>
                <w:shd w:val="clear" w:color="auto" w:fill="auto"/>
              </w:rPr>
              <w:t>m</w:t>
            </w:r>
            <w:r>
              <w:rPr>
                <w:rFonts w:hint="eastAsia" w:ascii="Times New Roman" w:hAnsi="宋体" w:eastAsia="宋体" w:cs="Times New Roman"/>
                <w:color w:val="auto"/>
                <w:kern w:val="2"/>
                <w:sz w:val="24"/>
                <w:szCs w:val="24"/>
                <w:highlight w:val="none"/>
                <w:shd w:val="clear" w:color="auto" w:fill="auto"/>
                <w:vertAlign w:val="superscript"/>
              </w:rPr>
              <w:t>3</w:t>
            </w:r>
            <w:r>
              <w:rPr>
                <w:rFonts w:hint="eastAsia" w:ascii="Times New Roman" w:hAnsi="宋体" w:eastAsia="宋体" w:cs="Times New Roman"/>
                <w:color w:val="auto"/>
                <w:kern w:val="2"/>
                <w:sz w:val="24"/>
                <w:szCs w:val="24"/>
                <w:highlight w:val="none"/>
                <w:shd w:val="clear" w:color="auto" w:fill="auto"/>
              </w:rPr>
              <w:t>/h</w:t>
            </w:r>
            <w:r>
              <w:rPr>
                <w:rFonts w:hint="eastAsia" w:ascii="Times New Roman" w:hAnsi="宋体" w:eastAsia="宋体" w:cs="Times New Roman"/>
                <w:color w:val="auto"/>
                <w:kern w:val="2"/>
                <w:sz w:val="24"/>
                <w:szCs w:val="24"/>
                <w:highlight w:val="none"/>
              </w:rPr>
              <w:t>，收集效率可达80%，将粉尘统一收集至布袋除尘装置处理，处理效率可达99%，处理达标后经排气筒引至楼顶高空排放</w:t>
            </w:r>
            <w:r>
              <w:rPr>
                <w:rFonts w:ascii="Times New Roman" w:hAnsi="Times New Roman" w:eastAsia="宋体" w:cs="Times New Roman"/>
                <w:color w:val="auto"/>
                <w:kern w:val="2"/>
                <w:sz w:val="24"/>
                <w:szCs w:val="24"/>
                <w:highlight w:val="none"/>
              </w:rPr>
              <w:t>（编号为G</w:t>
            </w:r>
            <w:r>
              <w:rPr>
                <w:rFonts w:hint="eastAsia" w:ascii="Times New Roman" w:hAnsi="Times New Roman" w:eastAsia="宋体" w:cs="Times New Roman"/>
                <w:color w:val="auto"/>
                <w:kern w:val="2"/>
                <w:sz w:val="24"/>
                <w:szCs w:val="24"/>
                <w:highlight w:val="none"/>
              </w:rPr>
              <w:t>3</w:t>
            </w:r>
            <w:r>
              <w:rPr>
                <w:rFonts w:ascii="Times New Roman" w:hAnsi="Times New Roman" w:eastAsia="宋体" w:cs="Times New Roman"/>
                <w:color w:val="auto"/>
                <w:kern w:val="2"/>
                <w:sz w:val="24"/>
                <w:szCs w:val="24"/>
                <w:highlight w:val="none"/>
              </w:rPr>
              <w:t>）</w:t>
            </w:r>
            <w:r>
              <w:rPr>
                <w:rFonts w:hint="eastAsia" w:ascii="Times New Roman" w:hAnsi="宋体" w:eastAsia="宋体" w:cs="Times New Roman"/>
                <w:color w:val="auto"/>
                <w:kern w:val="2"/>
                <w:sz w:val="24"/>
                <w:szCs w:val="24"/>
                <w:highlight w:val="none"/>
              </w:rPr>
              <w:t>，排气筒高度不低于15米。项目</w:t>
            </w:r>
            <w:r>
              <w:rPr>
                <w:rFonts w:hint="eastAsia" w:ascii="Times New Roman" w:hAnsi="宋体" w:eastAsia="宋体" w:cs="Times New Roman"/>
                <w:color w:val="auto"/>
                <w:kern w:val="2"/>
                <w:sz w:val="24"/>
                <w:szCs w:val="24"/>
                <w:highlight w:val="none"/>
                <w:lang w:eastAsia="zh-CN"/>
              </w:rPr>
              <w:t>抛光</w:t>
            </w:r>
            <w:r>
              <w:rPr>
                <w:rFonts w:hint="eastAsia" w:ascii="Times New Roman" w:hAnsi="宋体" w:eastAsia="宋体" w:cs="Times New Roman"/>
                <w:color w:val="auto"/>
                <w:kern w:val="2"/>
                <w:sz w:val="24"/>
                <w:szCs w:val="24"/>
                <w:highlight w:val="none"/>
              </w:rPr>
              <w:t>粉尘产生和排放情况如下表所示。</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项目</w:t>
            </w:r>
            <w:r>
              <w:rPr>
                <w:rFonts w:hint="eastAsia" w:ascii="Times New Roman" w:hAnsi="Times New Roman" w:eastAsia="宋体" w:cs="Times New Roman"/>
                <w:b/>
                <w:color w:val="auto"/>
                <w:kern w:val="0"/>
                <w:sz w:val="21"/>
                <w:szCs w:val="21"/>
                <w:highlight w:val="none"/>
                <w:lang w:val="en-US" w:eastAsia="zh-CN" w:bidi="ar-SA"/>
              </w:rPr>
              <w:t>抛光粉尘产生和</w:t>
            </w:r>
            <w:r>
              <w:rPr>
                <w:rFonts w:ascii="Times New Roman" w:hAnsi="Times New Roman" w:eastAsia="宋体" w:cs="Times New Roman"/>
                <w:b/>
                <w:color w:val="auto"/>
                <w:kern w:val="0"/>
                <w:sz w:val="21"/>
                <w:szCs w:val="21"/>
                <w:highlight w:val="none"/>
                <w:lang w:val="en-US" w:eastAsia="zh-CN" w:bidi="ar-SA"/>
              </w:rPr>
              <w:t>排放情况一览表</w:t>
            </w:r>
          </w:p>
          <w:tbl>
            <w:tblPr>
              <w:tblStyle w:val="44"/>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245"/>
              <w:gridCol w:w="1251"/>
              <w:gridCol w:w="1185"/>
              <w:gridCol w:w="1050"/>
              <w:gridCol w:w="1365"/>
              <w:gridCol w:w="1185"/>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124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排放方式</w:t>
                  </w:r>
                </w:p>
              </w:tc>
              <w:tc>
                <w:tcPr>
                  <w:tcW w:w="1251"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产生浓度（mg/m³）</w:t>
                  </w:r>
                </w:p>
              </w:tc>
              <w:tc>
                <w:tcPr>
                  <w:tcW w:w="118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产生速率</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（kg/h）</w:t>
                  </w:r>
                </w:p>
              </w:tc>
              <w:tc>
                <w:tcPr>
                  <w:tcW w:w="1050"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产生量</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w:t>
                  </w:r>
                  <w:r>
                    <w:rPr>
                      <w:rFonts w:hint="eastAsia" w:ascii="Times New Roman" w:hAnsi="Times New Roman" w:eastAsia="宋体" w:cs="Times New Roman"/>
                      <w:b/>
                      <w:color w:val="auto"/>
                      <w:kern w:val="2"/>
                      <w:sz w:val="21"/>
                      <w:szCs w:val="21"/>
                      <w:highlight w:val="none"/>
                    </w:rPr>
                    <w:t>t</w:t>
                  </w:r>
                  <w:r>
                    <w:rPr>
                      <w:rFonts w:ascii="Times New Roman" w:hAnsi="Times New Roman" w:eastAsia="宋体" w:cs="Times New Roman"/>
                      <w:b/>
                      <w:color w:val="auto"/>
                      <w:kern w:val="2"/>
                      <w:sz w:val="21"/>
                      <w:szCs w:val="21"/>
                      <w:highlight w:val="none"/>
                    </w:rPr>
                    <w:t>/a）</w:t>
                  </w:r>
                </w:p>
              </w:tc>
              <w:tc>
                <w:tcPr>
                  <w:tcW w:w="136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排放浓度</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（mg/m³）</w:t>
                  </w:r>
                </w:p>
              </w:tc>
              <w:tc>
                <w:tcPr>
                  <w:tcW w:w="1185"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排放速率</w:t>
                  </w:r>
                </w:p>
                <w:p>
                  <w:pPr>
                    <w:widowControl w:val="0"/>
                    <w:kinsoku w:val="0"/>
                    <w:snapToGrid w:val="0"/>
                    <w:spacing w:after="0" w:line="240" w:lineRule="auto"/>
                    <w:jc w:val="center"/>
                    <w:outlineLvl w:val="0"/>
                    <w:rPr>
                      <w:rFonts w:ascii="Times New Roman" w:hAnsi="Times New Roman" w:eastAsia="宋体" w:cs="Times New Roman"/>
                      <w:bCs/>
                      <w:color w:val="auto"/>
                      <w:kern w:val="2"/>
                      <w:sz w:val="21"/>
                      <w:szCs w:val="21"/>
                      <w:highlight w:val="none"/>
                    </w:rPr>
                  </w:pPr>
                  <w:r>
                    <w:rPr>
                      <w:rFonts w:ascii="Times New Roman" w:hAnsi="Times New Roman" w:eastAsia="宋体" w:cs="Times New Roman"/>
                      <w:b/>
                      <w:color w:val="auto"/>
                      <w:kern w:val="2"/>
                      <w:sz w:val="21"/>
                      <w:szCs w:val="21"/>
                      <w:highlight w:val="none"/>
                    </w:rPr>
                    <w:t>（kg/h）</w:t>
                  </w:r>
                </w:p>
              </w:tc>
              <w:tc>
                <w:tcPr>
                  <w:tcW w:w="1050" w:type="dxa"/>
                  <w:tcBorders>
                    <w:tl2br w:val="nil"/>
                    <w:tr2bl w:val="nil"/>
                  </w:tcBorders>
                  <w:vAlign w:val="center"/>
                </w:tcPr>
                <w:p>
                  <w:pPr>
                    <w:widowControl w:val="0"/>
                    <w:kinsoku w:val="0"/>
                    <w:snapToGrid w:val="0"/>
                    <w:spacing w:after="0" w:line="240" w:lineRule="auto"/>
                    <w:jc w:val="center"/>
                    <w:outlineLvl w:val="0"/>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排放量</w:t>
                  </w:r>
                </w:p>
                <w:p>
                  <w:pPr>
                    <w:widowControl w:val="0"/>
                    <w:kinsoku w:val="0"/>
                    <w:snapToGrid w:val="0"/>
                    <w:spacing w:after="0" w:line="240" w:lineRule="auto"/>
                    <w:jc w:val="center"/>
                    <w:outlineLvl w:val="0"/>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w:t>
                  </w:r>
                  <w:r>
                    <w:rPr>
                      <w:rFonts w:hint="eastAsia" w:ascii="Times New Roman" w:hAnsi="Times New Roman" w:eastAsia="宋体" w:cs="Times New Roman"/>
                      <w:b/>
                      <w:color w:val="auto"/>
                      <w:kern w:val="2"/>
                      <w:sz w:val="21"/>
                      <w:szCs w:val="21"/>
                      <w:highlight w:val="none"/>
                    </w:rPr>
                    <w:t>t</w:t>
                  </w:r>
                  <w:r>
                    <w:rPr>
                      <w:rFonts w:ascii="Times New Roman" w:hAnsi="Times New Roman" w:eastAsia="宋体" w:cs="Times New Roman"/>
                      <w:b/>
                      <w:color w:val="auto"/>
                      <w:kern w:val="2"/>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restart"/>
                  <w:tcBorders>
                    <w:tl2br w:val="nil"/>
                    <w:tr2bl w:val="nil"/>
                  </w:tcBorders>
                  <w:vAlign w:val="center"/>
                </w:tcPr>
                <w:p>
                  <w:pPr>
                    <w:widowControl w:val="0"/>
                    <w:tabs>
                      <w:tab w:val="left" w:pos="607"/>
                    </w:tabs>
                    <w:autoSpaceDE w:val="0"/>
                    <w:autoSpaceDN w:val="0"/>
                    <w:adjustRightInd w:val="0"/>
                    <w:snapToGrid w:val="0"/>
                    <w:jc w:val="center"/>
                    <w:rPr>
                      <w:rFonts w:ascii="Times New Roman" w:hAnsi="Times New Roman" w:eastAsia="宋体" w:cs="Times New Roman"/>
                      <w:bCs/>
                      <w:color w:val="auto"/>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bidi="ar-SA"/>
                    </w:rPr>
                    <w:t>粉尘</w:t>
                  </w:r>
                </w:p>
              </w:tc>
              <w:tc>
                <w:tcPr>
                  <w:tcW w:w="1245" w:type="dxa"/>
                  <w:tcBorders>
                    <w:tl2br w:val="nil"/>
                    <w:tr2bl w:val="nil"/>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有组织</w:t>
                  </w:r>
                </w:p>
              </w:tc>
              <w:tc>
                <w:tcPr>
                  <w:tcW w:w="1251"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9.048</w:t>
                  </w:r>
                </w:p>
              </w:tc>
              <w:tc>
                <w:tcPr>
                  <w:tcW w:w="118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0.127</w:t>
                  </w:r>
                </w:p>
              </w:tc>
              <w:tc>
                <w:tcPr>
                  <w:tcW w:w="105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0.304</w:t>
                  </w:r>
                </w:p>
              </w:tc>
              <w:tc>
                <w:tcPr>
                  <w:tcW w:w="136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0.090</w:t>
                  </w:r>
                </w:p>
              </w:tc>
              <w:tc>
                <w:tcPr>
                  <w:tcW w:w="118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0.001</w:t>
                  </w:r>
                </w:p>
              </w:tc>
              <w:tc>
                <w:tcPr>
                  <w:tcW w:w="105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widowControl w:val="0"/>
                    <w:tabs>
                      <w:tab w:val="left" w:pos="607"/>
                    </w:tabs>
                    <w:autoSpaceDE w:val="0"/>
                    <w:autoSpaceDN w:val="0"/>
                    <w:adjustRightInd w:val="0"/>
                    <w:snapToGrid w:val="0"/>
                    <w:jc w:val="center"/>
                    <w:rPr>
                      <w:rFonts w:ascii="Times New Roman" w:hAnsi="Times New Roman" w:eastAsia="宋体" w:cs="Times New Roman"/>
                      <w:bCs/>
                      <w:color w:val="auto"/>
                      <w:sz w:val="21"/>
                      <w:szCs w:val="21"/>
                      <w:highlight w:val="none"/>
                      <w:lang w:val="en-US" w:eastAsia="zh-CN" w:bidi="ar-SA"/>
                    </w:rPr>
                  </w:pPr>
                </w:p>
              </w:tc>
              <w:tc>
                <w:tcPr>
                  <w:tcW w:w="1245" w:type="dxa"/>
                  <w:tcBorders>
                    <w:tl2br w:val="nil"/>
                    <w:tr2bl w:val="nil"/>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无组织</w:t>
                  </w:r>
                </w:p>
              </w:tc>
              <w:tc>
                <w:tcPr>
                  <w:tcW w:w="1251"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8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0.032</w:t>
                  </w:r>
                </w:p>
              </w:tc>
              <w:tc>
                <w:tcPr>
                  <w:tcW w:w="1050"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0.076</w:t>
                  </w:r>
                </w:p>
              </w:tc>
              <w:tc>
                <w:tcPr>
                  <w:tcW w:w="1365" w:type="dxa"/>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ascii="Times New Roman" w:hAnsi="Times New Roman" w:eastAsia="宋体" w:cs="Times New Roman"/>
                      <w:color w:val="auto"/>
                      <w:kern w:val="2"/>
                      <w:sz w:val="21"/>
                      <w:szCs w:val="21"/>
                      <w:highlight w:val="none"/>
                    </w:rPr>
                    <w:t>/</w:t>
                  </w:r>
                </w:p>
              </w:tc>
              <w:tc>
                <w:tcPr>
                  <w:tcW w:w="1185" w:type="dxa"/>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0.032</w:t>
                  </w:r>
                </w:p>
              </w:tc>
              <w:tc>
                <w:tcPr>
                  <w:tcW w:w="1050" w:type="dxa"/>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0.076</w:t>
                  </w:r>
                </w:p>
              </w:tc>
            </w:tr>
          </w:tbl>
          <w:p>
            <w:pPr>
              <w:widowControl w:val="0"/>
              <w:spacing w:after="0" w:line="360" w:lineRule="auto"/>
              <w:ind w:right="170" w:firstLine="470" w:firstLineChars="196"/>
              <w:jc w:val="both"/>
              <w:rPr>
                <w:rFonts w:hint="default" w:ascii="Times New Roman" w:hAnsi="Times New Roman" w:eastAsia="宋体" w:cs="Times New Roman"/>
                <w:b/>
                <w:color w:val="auto"/>
                <w:kern w:val="2"/>
                <w:sz w:val="24"/>
              </w:rPr>
            </w:pPr>
            <w:r>
              <w:rPr>
                <w:rFonts w:hint="eastAsia" w:ascii="Times New Roman" w:hAnsi="宋体" w:eastAsia="宋体" w:cs="Times New Roman"/>
                <w:color w:val="auto"/>
                <w:kern w:val="2"/>
                <w:sz w:val="24"/>
                <w:szCs w:val="24"/>
                <w:highlight w:val="none"/>
              </w:rPr>
              <w:t>根据上表可知项目粉尘排放浓度和排放速率可以达到</w:t>
            </w:r>
            <w:r>
              <w:rPr>
                <w:rFonts w:hint="eastAsia" w:ascii="Times New Roman" w:hAnsi="Times New Roman" w:eastAsia="宋体" w:cs="Times New Roman"/>
                <w:color w:val="auto"/>
                <w:kern w:val="2"/>
                <w:sz w:val="24"/>
                <w:szCs w:val="24"/>
                <w:highlight w:val="none"/>
              </w:rPr>
              <w:t>广东省地方标准《大气污染物排放限值》</w:t>
            </w:r>
            <w:r>
              <w:rPr>
                <w:rFonts w:ascii="Times New Roman" w:hAnsi="Times New Roman" w:eastAsia="宋体" w:cs="Times New Roman"/>
                <w:color w:val="auto"/>
                <w:kern w:val="2"/>
                <w:sz w:val="24"/>
                <w:szCs w:val="24"/>
                <w:highlight w:val="none"/>
              </w:rPr>
              <w:t>（DB44/27-2001）中第二时段二级标准</w:t>
            </w:r>
            <w:r>
              <w:rPr>
                <w:rFonts w:hint="eastAsia" w:ascii="Times New Roman" w:hAnsi="宋体"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shd w:val="clear" w:color="auto" w:fill="FFFFFF"/>
              </w:rPr>
              <w:t>无组织排放量较少，</w:t>
            </w:r>
            <w:r>
              <w:rPr>
                <w:rFonts w:ascii="Times New Roman" w:hAnsi="Times New Roman" w:eastAsia="宋体" w:cs="Times New Roman"/>
                <w:color w:val="auto"/>
                <w:kern w:val="2"/>
                <w:sz w:val="24"/>
                <w:szCs w:val="24"/>
                <w:highlight w:val="none"/>
                <w:shd w:val="clear" w:color="auto" w:fill="FFFFFF"/>
              </w:rPr>
              <w:t>根据估算，</w:t>
            </w:r>
            <w:r>
              <w:rPr>
                <w:rFonts w:ascii="Times New Roman" w:hAnsi="Times New Roman" w:eastAsia="宋体" w:cs="Times New Roman"/>
                <w:color w:val="auto"/>
                <w:kern w:val="2"/>
                <w:sz w:val="24"/>
                <w:szCs w:val="24"/>
                <w:highlight w:val="none"/>
              </w:rPr>
              <w:t>周界外</w:t>
            </w:r>
            <w:r>
              <w:rPr>
                <w:rFonts w:hint="eastAsia" w:ascii="Times New Roman" w:hAnsi="Times New Roman" w:eastAsia="宋体" w:cs="Times New Roman"/>
                <w:color w:val="auto"/>
                <w:kern w:val="2"/>
                <w:sz w:val="24"/>
                <w:szCs w:val="24"/>
                <w:highlight w:val="none"/>
              </w:rPr>
              <w:t>粉尘</w:t>
            </w:r>
            <w:r>
              <w:rPr>
                <w:rFonts w:hint="eastAsia" w:ascii="Times New Roman" w:hAnsi="Times New Roman" w:eastAsia="宋体" w:cs="Times New Roman"/>
                <w:color w:val="auto"/>
                <w:kern w:val="0"/>
                <w:sz w:val="24"/>
                <w:szCs w:val="24"/>
                <w:highlight w:val="none"/>
                <w:lang w:eastAsia="zh-CN"/>
              </w:rPr>
              <w:t>最大地面浓度</w:t>
            </w:r>
            <w:r>
              <w:rPr>
                <w:rFonts w:hint="eastAsia" w:ascii="Times New Roman" w:hAnsi="Times New Roman" w:eastAsia="宋体" w:cs="Times New Roman"/>
                <w:color w:val="auto"/>
                <w:kern w:val="0"/>
                <w:sz w:val="24"/>
                <w:szCs w:val="24"/>
                <w:highlight w:val="none"/>
              </w:rPr>
              <w:t>未超过</w:t>
            </w:r>
            <w:r>
              <w:rPr>
                <w:rFonts w:ascii="Times New Roman" w:hAnsi="Times New Roman" w:eastAsia="宋体" w:cs="Times New Roman"/>
                <w:color w:val="auto"/>
                <w:kern w:val="2"/>
                <w:sz w:val="24"/>
                <w:szCs w:val="24"/>
                <w:highlight w:val="none"/>
              </w:rPr>
              <w:t>广东省地方标准《大气污染物排放限值》（DB44/ 27-2001）第二时段无组织排放监控浓度限值</w:t>
            </w:r>
            <w:r>
              <w:rPr>
                <w:rFonts w:hint="eastAsia" w:ascii="Times New Roman" w:hAnsi="Times New Roman" w:eastAsia="宋体" w:cs="Times New Roman"/>
                <w:color w:val="auto"/>
                <w:kern w:val="2"/>
                <w:sz w:val="24"/>
                <w:szCs w:val="24"/>
                <w:highlight w:val="none"/>
              </w:rPr>
              <w:t>，对周围环境影响较小。</w:t>
            </w:r>
          </w:p>
          <w:p>
            <w:pPr>
              <w:widowControl w:val="0"/>
              <w:spacing w:after="0" w:line="360" w:lineRule="auto"/>
              <w:ind w:firstLine="482" w:firstLineChars="200"/>
              <w:jc w:val="left"/>
              <w:rPr>
                <w:rFonts w:ascii="Times New Roman" w:hAnsi="Times New Roman" w:eastAsia="宋体" w:cs="Times New Roman"/>
                <w:b/>
                <w:bCs/>
                <w:color w:val="auto"/>
                <w:kern w:val="2"/>
                <w:sz w:val="24"/>
                <w:szCs w:val="24"/>
                <w:highlight w:val="none"/>
              </w:rPr>
            </w:pPr>
            <w:r>
              <w:rPr>
                <w:rFonts w:ascii="Times New Roman" w:hAnsi="Times New Roman" w:eastAsia="宋体" w:cs="Times New Roman"/>
                <w:b/>
                <w:bCs/>
                <w:color w:val="auto"/>
                <w:kern w:val="2"/>
                <w:sz w:val="24"/>
                <w:szCs w:val="24"/>
                <w:highlight w:val="none"/>
              </w:rPr>
              <w:t>大气环境影响分析</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本项目建成后大气污染物主要为</w:t>
            </w:r>
            <w:r>
              <w:rPr>
                <w:rFonts w:hint="eastAsia" w:ascii="Times New Roman" w:hAnsi="Times New Roman" w:eastAsia="宋体" w:cs="Times New Roman"/>
                <w:color w:val="auto"/>
                <w:kern w:val="2"/>
                <w:sz w:val="24"/>
                <w:szCs w:val="24"/>
                <w:highlight w:val="none"/>
                <w:lang w:eastAsia="zh-CN"/>
              </w:rPr>
              <w:t>红冲</w:t>
            </w:r>
            <w:r>
              <w:rPr>
                <w:rFonts w:hint="eastAsia" w:ascii="Times New Roman" w:hAnsi="Times New Roman" w:eastAsia="宋体" w:cs="Times New Roman"/>
                <w:color w:val="auto"/>
                <w:kern w:val="2"/>
                <w:sz w:val="24"/>
                <w:szCs w:val="24"/>
                <w:highlight w:val="none"/>
              </w:rPr>
              <w:t>工序产生的</w:t>
            </w:r>
            <w:r>
              <w:rPr>
                <w:rFonts w:ascii="Times New Roman" w:hAnsi="Times New Roman" w:eastAsia="宋体" w:cs="Times New Roman"/>
                <w:color w:val="auto"/>
                <w:kern w:val="2"/>
                <w:sz w:val="24"/>
                <w:szCs w:val="24"/>
                <w:highlight w:val="none"/>
              </w:rPr>
              <w:t>非甲烷总烃</w:t>
            </w:r>
            <w:r>
              <w:rPr>
                <w:rFonts w:hint="eastAsia" w:ascii="Times New Roman" w:hAnsi="Times New Roman" w:eastAsia="宋体" w:cs="Times New Roman"/>
                <w:color w:val="auto"/>
                <w:kern w:val="2"/>
                <w:sz w:val="24"/>
                <w:szCs w:val="24"/>
                <w:highlight w:val="none"/>
              </w:rPr>
              <w:t>和燃料废气</w:t>
            </w:r>
            <w:r>
              <w:rPr>
                <w:rFonts w:ascii="Times New Roman" w:hAnsi="Times New Roman" w:eastAsia="宋体" w:cs="Times New Roman"/>
                <w:color w:val="auto"/>
                <w:kern w:val="2"/>
                <w:sz w:val="24"/>
                <w:szCs w:val="24"/>
                <w:highlight w:val="none"/>
              </w:rPr>
              <w:t>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、烟尘以及</w:t>
            </w:r>
            <w:r>
              <w:rPr>
                <w:rFonts w:hint="eastAsia" w:ascii="Times New Roman" w:hAnsi="Times New Roman" w:eastAsia="宋体" w:cs="Times New Roman"/>
                <w:color w:val="auto"/>
                <w:kern w:val="2"/>
                <w:sz w:val="24"/>
                <w:szCs w:val="24"/>
                <w:highlight w:val="none"/>
                <w:lang w:eastAsia="zh-CN"/>
              </w:rPr>
              <w:t>开料、机加工、</w:t>
            </w:r>
            <w:r>
              <w:rPr>
                <w:rFonts w:hint="eastAsia" w:ascii="Times New Roman" w:hAnsi="Times New Roman" w:eastAsia="宋体" w:cs="Times New Roman"/>
                <w:color w:val="auto"/>
                <w:kern w:val="2"/>
                <w:sz w:val="24"/>
                <w:szCs w:val="24"/>
                <w:highlight w:val="none"/>
              </w:rPr>
              <w:t>抛光工序产生的粉尘</w:t>
            </w:r>
            <w:r>
              <w:rPr>
                <w:rFonts w:ascii="Times New Roman" w:hAnsi="Times New Roman" w:eastAsia="宋体" w:cs="Times New Roman"/>
                <w:color w:val="auto"/>
                <w:kern w:val="2"/>
                <w:sz w:val="24"/>
                <w:szCs w:val="24"/>
                <w:highlight w:val="none"/>
              </w:rPr>
              <w:t>，根据</w:t>
            </w:r>
            <w:r>
              <w:rPr>
                <w:rFonts w:ascii="Times New Roman" w:hAnsi="Times New Roman" w:eastAsia="宋体" w:cs="Times New Roman"/>
                <w:bCs/>
                <w:color w:val="auto"/>
                <w:kern w:val="2"/>
                <w:sz w:val="24"/>
                <w:szCs w:val="22"/>
                <w:highlight w:val="none"/>
              </w:rPr>
              <w:t>《环境影响评价技术导则</w:t>
            </w:r>
            <w:r>
              <w:rPr>
                <w:rFonts w:hint="eastAsia" w:ascii="Times New Roman" w:hAnsi="Times New Roman" w:eastAsia="宋体" w:cs="Times New Roman"/>
                <w:bCs/>
                <w:color w:val="auto"/>
                <w:kern w:val="2"/>
                <w:sz w:val="24"/>
                <w:szCs w:val="22"/>
                <w:highlight w:val="none"/>
              </w:rPr>
              <w:t>—</w:t>
            </w:r>
            <w:r>
              <w:rPr>
                <w:rFonts w:ascii="Times New Roman" w:hAnsi="Times New Roman" w:eastAsia="宋体" w:cs="Times New Roman"/>
                <w:bCs/>
                <w:color w:val="auto"/>
                <w:kern w:val="2"/>
                <w:sz w:val="24"/>
                <w:szCs w:val="22"/>
                <w:highlight w:val="none"/>
              </w:rPr>
              <w:t>大气环境》（HJ2.2-2018）</w:t>
            </w:r>
            <w:r>
              <w:rPr>
                <w:rFonts w:ascii="Times New Roman" w:hAnsi="Times New Roman" w:eastAsia="宋体" w:cs="Times New Roman"/>
                <w:color w:val="auto"/>
                <w:kern w:val="2"/>
                <w:sz w:val="24"/>
                <w:szCs w:val="24"/>
                <w:highlight w:val="none"/>
              </w:rPr>
              <w:t>，计算其最大地面浓度占标率 Pi（第 i个污染物）。Pi定义为：</w:t>
            </w:r>
          </w:p>
          <w:p>
            <w:pPr>
              <w:widowControl w:val="0"/>
              <w:spacing w:after="0" w:line="360" w:lineRule="auto"/>
              <w:ind w:firstLine="480" w:firstLineChars="200"/>
              <w:jc w:val="center"/>
              <w:rPr>
                <w:rFonts w:ascii="Times New Roman" w:hAnsi="Times New Roman" w:eastAsia="宋体" w:cs="Times New Roman"/>
                <w:bCs/>
                <w:color w:val="auto"/>
                <w:kern w:val="2"/>
                <w:sz w:val="24"/>
                <w:szCs w:val="24"/>
                <w:highlight w:val="none"/>
                <w:lang w:val="it-IT"/>
              </w:rPr>
            </w:pPr>
            <w:r>
              <w:rPr>
                <w:rFonts w:ascii="Times New Roman" w:hAnsi="Times New Roman" w:eastAsia="宋体" w:cs="Times New Roman"/>
                <w:bCs/>
                <w:color w:val="auto"/>
                <w:kern w:val="2"/>
                <w:sz w:val="24"/>
                <w:szCs w:val="24"/>
                <w:highlight w:val="none"/>
                <w:lang w:val="it-IT"/>
              </w:rPr>
              <w:t>Pi＝（</w:t>
            </w:r>
            <w:r>
              <w:rPr>
                <w:rFonts w:ascii="Times New Roman" w:hAnsi="Times New Roman" w:eastAsia="宋体" w:cs="Times New Roman"/>
                <w:color w:val="auto"/>
                <w:kern w:val="2"/>
                <w:sz w:val="21"/>
                <w:szCs w:val="24"/>
                <w:highlight w:val="none"/>
              </w:rPr>
              <w:fldChar w:fldCharType="begin"/>
            </w:r>
            <w:r>
              <w:rPr>
                <w:rFonts w:ascii="Times New Roman" w:hAnsi="Times New Roman" w:eastAsia="宋体" w:cs="Times New Roman"/>
                <w:color w:val="auto"/>
                <w:kern w:val="2"/>
                <w:sz w:val="21"/>
                <w:szCs w:val="24"/>
                <w:highlight w:val="none"/>
              </w:rPr>
              <w:instrText xml:space="preserve"> HYPERLINK "https://baike.baidu.com/item/%CF%81" \t "https://baike.baidu.com/item/_blank" </w:instrText>
            </w:r>
            <w:r>
              <w:rPr>
                <w:rFonts w:ascii="Times New Roman" w:hAnsi="Times New Roman" w:eastAsia="宋体" w:cs="Times New Roman"/>
                <w:color w:val="auto"/>
                <w:kern w:val="2"/>
                <w:sz w:val="21"/>
                <w:szCs w:val="24"/>
                <w:highlight w:val="none"/>
              </w:rPr>
              <w:fldChar w:fldCharType="separate"/>
            </w:r>
            <w:r>
              <w:rPr>
                <w:rFonts w:ascii="Times New Roman" w:hAnsi="Times New Roman" w:eastAsia="宋体" w:cs="Times New Roman"/>
                <w:i/>
                <w:color w:val="auto"/>
                <w:kern w:val="2"/>
                <w:sz w:val="24"/>
                <w:szCs w:val="24"/>
                <w:highlight w:val="none"/>
                <w:shd w:val="clear" w:color="auto" w:fill="FFFFFF"/>
              </w:rPr>
              <w:t>ρ</w:t>
            </w:r>
            <w:r>
              <w:rPr>
                <w:rFonts w:ascii="Times New Roman" w:hAnsi="Times New Roman" w:eastAsia="宋体" w:cs="Times New Roman"/>
                <w:i/>
                <w:color w:val="auto"/>
                <w:kern w:val="2"/>
                <w:sz w:val="24"/>
                <w:szCs w:val="24"/>
                <w:highlight w:val="none"/>
                <w:shd w:val="clear" w:color="auto" w:fill="FFFFFF"/>
              </w:rPr>
              <w:fldChar w:fldCharType="end"/>
            </w:r>
            <w:r>
              <w:rPr>
                <w:rFonts w:ascii="Times New Roman" w:hAnsi="Times New Roman" w:eastAsia="宋体" w:cs="Times New Roman"/>
                <w:bCs/>
                <w:color w:val="auto"/>
                <w:kern w:val="2"/>
                <w:sz w:val="24"/>
                <w:szCs w:val="24"/>
                <w:highlight w:val="none"/>
                <w:lang w:val="it-IT"/>
              </w:rPr>
              <w:t>i/</w:t>
            </w:r>
            <w:r>
              <w:rPr>
                <w:rFonts w:ascii="Times New Roman" w:hAnsi="Times New Roman" w:eastAsia="宋体" w:cs="Times New Roman"/>
                <w:color w:val="auto"/>
                <w:kern w:val="2"/>
                <w:sz w:val="21"/>
                <w:szCs w:val="24"/>
                <w:highlight w:val="none"/>
              </w:rPr>
              <w:fldChar w:fldCharType="begin"/>
            </w:r>
            <w:r>
              <w:rPr>
                <w:rFonts w:ascii="Times New Roman" w:hAnsi="Times New Roman" w:eastAsia="宋体" w:cs="Times New Roman"/>
                <w:color w:val="auto"/>
                <w:kern w:val="2"/>
                <w:sz w:val="21"/>
                <w:szCs w:val="24"/>
                <w:highlight w:val="none"/>
              </w:rPr>
              <w:instrText xml:space="preserve"> HYPERLINK "https://baike.baidu.com/item/%CF%81" \t "https://baike.baidu.com/item/_blank" </w:instrText>
            </w:r>
            <w:r>
              <w:rPr>
                <w:rFonts w:ascii="Times New Roman" w:hAnsi="Times New Roman" w:eastAsia="宋体" w:cs="Times New Roman"/>
                <w:color w:val="auto"/>
                <w:kern w:val="2"/>
                <w:sz w:val="21"/>
                <w:szCs w:val="24"/>
                <w:highlight w:val="none"/>
              </w:rPr>
              <w:fldChar w:fldCharType="separate"/>
            </w:r>
            <w:r>
              <w:rPr>
                <w:rFonts w:ascii="Times New Roman" w:hAnsi="Times New Roman" w:eastAsia="宋体" w:cs="Times New Roman"/>
                <w:i/>
                <w:color w:val="auto"/>
                <w:kern w:val="2"/>
                <w:sz w:val="24"/>
                <w:szCs w:val="24"/>
                <w:highlight w:val="none"/>
                <w:shd w:val="clear" w:color="auto" w:fill="FFFFFF"/>
              </w:rPr>
              <w:t>ρ</w:t>
            </w:r>
            <w:r>
              <w:rPr>
                <w:rFonts w:ascii="Times New Roman" w:hAnsi="Times New Roman" w:eastAsia="宋体" w:cs="Times New Roman"/>
                <w:i/>
                <w:color w:val="auto"/>
                <w:kern w:val="2"/>
                <w:sz w:val="24"/>
                <w:szCs w:val="24"/>
                <w:highlight w:val="none"/>
                <w:shd w:val="clear" w:color="auto" w:fill="FFFFFF"/>
              </w:rPr>
              <w:fldChar w:fldCharType="end"/>
            </w:r>
            <w:r>
              <w:rPr>
                <w:rFonts w:ascii="Times New Roman" w:hAnsi="Times New Roman" w:eastAsia="宋体" w:cs="Times New Roman"/>
                <w:bCs/>
                <w:color w:val="auto"/>
                <w:kern w:val="2"/>
                <w:sz w:val="24"/>
                <w:szCs w:val="24"/>
                <w:highlight w:val="none"/>
                <w:lang w:val="it-IT"/>
              </w:rPr>
              <w:t>oi）×100%</w:t>
            </w:r>
          </w:p>
          <w:p>
            <w:pPr>
              <w:widowControl w:val="0"/>
              <w:spacing w:after="0" w:line="360" w:lineRule="auto"/>
              <w:ind w:firstLine="720" w:firstLineChars="300"/>
              <w:jc w:val="both"/>
              <w:rPr>
                <w:rFonts w:ascii="Times New Roman" w:hAnsi="Times New Roman" w:eastAsia="宋体" w:cs="Times New Roman"/>
                <w:bCs/>
                <w:color w:val="auto"/>
                <w:kern w:val="2"/>
                <w:sz w:val="24"/>
                <w:szCs w:val="22"/>
                <w:highlight w:val="none"/>
              </w:rPr>
            </w:pPr>
            <w:r>
              <w:rPr>
                <w:rFonts w:ascii="Times New Roman" w:hAnsi="Times New Roman" w:eastAsia="宋体" w:cs="Times New Roman"/>
                <w:bCs/>
                <w:color w:val="auto"/>
                <w:kern w:val="2"/>
                <w:sz w:val="24"/>
                <w:szCs w:val="22"/>
                <w:highlight w:val="none"/>
              </w:rPr>
              <w:t>式中：</w:t>
            </w:r>
            <w:r>
              <w:rPr>
                <w:rFonts w:ascii="Times New Roman" w:hAnsi="Times New Roman" w:eastAsia="宋体" w:cs="Times New Roman"/>
                <w:color w:val="auto"/>
                <w:kern w:val="2"/>
                <w:sz w:val="24"/>
                <w:szCs w:val="24"/>
                <w:highlight w:val="none"/>
              </w:rPr>
              <w:t>P</w:t>
            </w:r>
            <w:r>
              <w:rPr>
                <w:rFonts w:ascii="Times New Roman" w:hAnsi="Times New Roman" w:eastAsia="宋体" w:cs="Times New Roman"/>
                <w:bCs/>
                <w:color w:val="auto"/>
                <w:kern w:val="2"/>
                <w:sz w:val="24"/>
                <w:szCs w:val="22"/>
                <w:highlight w:val="none"/>
              </w:rPr>
              <w:t>i－第i个污染物的最大地面空气质量浓度占标率，%；</w:t>
            </w:r>
          </w:p>
          <w:p>
            <w:pPr>
              <w:widowControl w:val="0"/>
              <w:spacing w:after="0" w:line="360" w:lineRule="auto"/>
              <w:ind w:firstLine="420" w:firstLineChars="200"/>
              <w:jc w:val="both"/>
              <w:rPr>
                <w:rFonts w:ascii="Times New Roman" w:hAnsi="Times New Roman" w:eastAsia="宋体" w:cs="Times New Roman"/>
                <w:bCs/>
                <w:color w:val="auto"/>
                <w:kern w:val="2"/>
                <w:sz w:val="24"/>
                <w:szCs w:val="22"/>
                <w:highlight w:val="none"/>
              </w:rPr>
            </w:pPr>
            <w:r>
              <w:rPr>
                <w:rFonts w:ascii="Times New Roman" w:hAnsi="Times New Roman" w:eastAsia="宋体" w:cs="Times New Roman"/>
                <w:color w:val="auto"/>
                <w:kern w:val="2"/>
                <w:sz w:val="21"/>
                <w:szCs w:val="24"/>
                <w:highlight w:val="none"/>
              </w:rPr>
              <w:fldChar w:fldCharType="begin"/>
            </w:r>
            <w:r>
              <w:rPr>
                <w:rFonts w:ascii="Times New Roman" w:hAnsi="Times New Roman" w:eastAsia="宋体" w:cs="Times New Roman"/>
                <w:color w:val="auto"/>
                <w:kern w:val="2"/>
                <w:sz w:val="21"/>
                <w:szCs w:val="24"/>
                <w:highlight w:val="none"/>
              </w:rPr>
              <w:instrText xml:space="preserve"> HYPERLINK "https://baike.baidu.com/item/%CF%81" \t "https://baike.baidu.com/item/_blank" </w:instrText>
            </w:r>
            <w:r>
              <w:rPr>
                <w:rFonts w:ascii="Times New Roman" w:hAnsi="Times New Roman" w:eastAsia="宋体" w:cs="Times New Roman"/>
                <w:color w:val="auto"/>
                <w:kern w:val="2"/>
                <w:sz w:val="21"/>
                <w:szCs w:val="24"/>
                <w:highlight w:val="none"/>
              </w:rPr>
              <w:fldChar w:fldCharType="separate"/>
            </w:r>
            <w:r>
              <w:rPr>
                <w:rFonts w:ascii="Times New Roman" w:hAnsi="Times New Roman" w:eastAsia="宋体" w:cs="Times New Roman"/>
                <w:i/>
                <w:color w:val="auto"/>
                <w:kern w:val="2"/>
                <w:sz w:val="24"/>
                <w:szCs w:val="24"/>
                <w:highlight w:val="none"/>
                <w:shd w:val="clear" w:color="auto" w:fill="FFFFFF"/>
              </w:rPr>
              <w:t>ρ</w:t>
            </w:r>
            <w:r>
              <w:rPr>
                <w:rFonts w:ascii="Times New Roman" w:hAnsi="Times New Roman" w:eastAsia="宋体" w:cs="Times New Roman"/>
                <w:i/>
                <w:color w:val="auto"/>
                <w:kern w:val="2"/>
                <w:sz w:val="24"/>
                <w:szCs w:val="24"/>
                <w:highlight w:val="none"/>
                <w:shd w:val="clear" w:color="auto" w:fill="FFFFFF"/>
              </w:rPr>
              <w:fldChar w:fldCharType="end"/>
            </w:r>
            <w:r>
              <w:rPr>
                <w:rFonts w:ascii="Times New Roman" w:hAnsi="Times New Roman" w:eastAsia="宋体" w:cs="Times New Roman"/>
                <w:bCs/>
                <w:color w:val="auto"/>
                <w:kern w:val="2"/>
                <w:sz w:val="24"/>
                <w:szCs w:val="22"/>
                <w:highlight w:val="none"/>
              </w:rPr>
              <w:t>i－采用估算模式计算出的第i个污染物的最大1h地面空气质量浓度，μg/m</w:t>
            </w:r>
            <w:r>
              <w:rPr>
                <w:rFonts w:ascii="Times New Roman" w:hAnsi="Times New Roman" w:eastAsia="宋体" w:cs="Times New Roman"/>
                <w:bCs/>
                <w:color w:val="auto"/>
                <w:kern w:val="2"/>
                <w:sz w:val="24"/>
                <w:szCs w:val="22"/>
                <w:highlight w:val="none"/>
                <w:vertAlign w:val="superscript"/>
              </w:rPr>
              <w:t>3</w:t>
            </w:r>
            <w:r>
              <w:rPr>
                <w:rFonts w:ascii="Times New Roman" w:hAnsi="Times New Roman" w:eastAsia="宋体" w:cs="Times New Roman"/>
                <w:bCs/>
                <w:color w:val="auto"/>
                <w:kern w:val="2"/>
                <w:sz w:val="24"/>
                <w:szCs w:val="22"/>
                <w:highlight w:val="none"/>
              </w:rPr>
              <w:t>；</w:t>
            </w:r>
          </w:p>
          <w:p>
            <w:pPr>
              <w:widowControl w:val="0"/>
              <w:spacing w:after="0" w:line="360" w:lineRule="auto"/>
              <w:ind w:firstLine="420" w:firstLineChars="200"/>
              <w:jc w:val="both"/>
              <w:rPr>
                <w:rFonts w:ascii="Times New Roman" w:hAnsi="Times New Roman" w:eastAsia="宋体" w:cs="Times New Roman"/>
                <w:bCs/>
                <w:color w:val="auto"/>
                <w:kern w:val="2"/>
                <w:sz w:val="24"/>
                <w:szCs w:val="22"/>
                <w:highlight w:val="none"/>
              </w:rPr>
            </w:pPr>
            <w:r>
              <w:rPr>
                <w:rFonts w:ascii="Times New Roman" w:hAnsi="Times New Roman" w:eastAsia="宋体" w:cs="Times New Roman"/>
                <w:color w:val="auto"/>
                <w:kern w:val="2"/>
                <w:sz w:val="21"/>
                <w:szCs w:val="24"/>
                <w:highlight w:val="none"/>
              </w:rPr>
              <w:fldChar w:fldCharType="begin"/>
            </w:r>
            <w:r>
              <w:rPr>
                <w:rFonts w:ascii="Times New Roman" w:hAnsi="Times New Roman" w:eastAsia="宋体" w:cs="Times New Roman"/>
                <w:color w:val="auto"/>
                <w:kern w:val="2"/>
                <w:sz w:val="21"/>
                <w:szCs w:val="24"/>
                <w:highlight w:val="none"/>
              </w:rPr>
              <w:instrText xml:space="preserve"> HYPERLINK "https://baike.baidu.com/item/%CF%81" \t "https://baike.baidu.com/item/_blank" </w:instrText>
            </w:r>
            <w:r>
              <w:rPr>
                <w:rFonts w:ascii="Times New Roman" w:hAnsi="Times New Roman" w:eastAsia="宋体" w:cs="Times New Roman"/>
                <w:color w:val="auto"/>
                <w:kern w:val="2"/>
                <w:sz w:val="21"/>
                <w:szCs w:val="24"/>
                <w:highlight w:val="none"/>
              </w:rPr>
              <w:fldChar w:fldCharType="separate"/>
            </w:r>
            <w:r>
              <w:rPr>
                <w:rFonts w:ascii="Times New Roman" w:hAnsi="Times New Roman" w:eastAsia="宋体" w:cs="Times New Roman"/>
                <w:i/>
                <w:color w:val="auto"/>
                <w:kern w:val="2"/>
                <w:sz w:val="24"/>
                <w:szCs w:val="24"/>
                <w:highlight w:val="none"/>
                <w:shd w:val="clear" w:color="auto" w:fill="FFFFFF"/>
              </w:rPr>
              <w:t>ρ</w:t>
            </w:r>
            <w:r>
              <w:rPr>
                <w:rFonts w:ascii="Times New Roman" w:hAnsi="Times New Roman" w:eastAsia="宋体" w:cs="Times New Roman"/>
                <w:i/>
                <w:color w:val="auto"/>
                <w:kern w:val="2"/>
                <w:sz w:val="24"/>
                <w:szCs w:val="24"/>
                <w:highlight w:val="none"/>
                <w:shd w:val="clear" w:color="auto" w:fill="FFFFFF"/>
              </w:rPr>
              <w:fldChar w:fldCharType="end"/>
            </w:r>
            <w:r>
              <w:rPr>
                <w:rFonts w:ascii="Times New Roman" w:hAnsi="Times New Roman" w:eastAsia="宋体" w:cs="Times New Roman"/>
                <w:bCs/>
                <w:color w:val="auto"/>
                <w:kern w:val="2"/>
                <w:sz w:val="24"/>
                <w:szCs w:val="22"/>
                <w:highlight w:val="none"/>
              </w:rPr>
              <w:t>oi－第i个污染物的环境空气质量浓度标准，μg/m</w:t>
            </w:r>
            <w:r>
              <w:rPr>
                <w:rFonts w:ascii="Times New Roman" w:hAnsi="Times New Roman" w:eastAsia="宋体" w:cs="Times New Roman"/>
                <w:bCs/>
                <w:color w:val="auto"/>
                <w:kern w:val="2"/>
                <w:sz w:val="24"/>
                <w:szCs w:val="22"/>
                <w:highlight w:val="none"/>
                <w:vertAlign w:val="superscript"/>
              </w:rPr>
              <w:t>3</w:t>
            </w:r>
            <w:r>
              <w:rPr>
                <w:rFonts w:ascii="Times New Roman" w:hAnsi="Times New Roman" w:eastAsia="宋体" w:cs="Times New Roman"/>
                <w:bCs/>
                <w:color w:val="auto"/>
                <w:kern w:val="2"/>
                <w:sz w:val="24"/>
                <w:szCs w:val="22"/>
                <w:highlight w:val="none"/>
              </w:rPr>
              <w:t>。</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评价工作等级划分见下表：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zh-CN" w:eastAsia="zh-CN" w:bidi="ar-SA"/>
              </w:rPr>
            </w:pPr>
            <w:r>
              <w:rPr>
                <w:rFonts w:ascii="Times New Roman" w:hAnsi="Times New Roman" w:eastAsia="宋体" w:cs="Times New Roman"/>
                <w:b/>
                <w:color w:val="auto"/>
                <w:kern w:val="0"/>
                <w:sz w:val="21"/>
                <w:szCs w:val="21"/>
                <w:lang w:val="en-US" w:eastAsia="zh-CN" w:bidi="ar-SA"/>
              </w:rPr>
              <w:t>评价工作等级</w:t>
            </w:r>
          </w:p>
          <w:tbl>
            <w:tblPr>
              <w:tblStyle w:val="43"/>
              <w:tblpPr w:leftFromText="180" w:rightFromText="180" w:vertAnchor="text" w:horzAnchor="page" w:tblpXSpec="center" w:tblpY="141"/>
              <w:tblOverlap w:val="never"/>
              <w:tblW w:w="903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69"/>
              <w:gridCol w:w="58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 w:hRule="exact"/>
                <w:jc w:val="center"/>
              </w:trPr>
              <w:tc>
                <w:tcPr>
                  <w:tcW w:w="3169" w:type="dxa"/>
                  <w:tcBorders>
                    <w:tl2br w:val="nil"/>
                    <w:tr2bl w:val="nil"/>
                  </w:tcBorders>
                  <w:noWrap w:val="0"/>
                  <w:vAlign w:val="top"/>
                </w:tcPr>
                <w:p>
                  <w:pPr>
                    <w:pStyle w:val="232"/>
                    <w:spacing w:before="2" w:line="240" w:lineRule="auto"/>
                    <w:ind w:right="24"/>
                    <w:jc w:val="center"/>
                    <w:rPr>
                      <w:rFonts w:hint="default" w:ascii="Times New Roman" w:hAnsi="Times New Roman" w:eastAsia="Times New Roman" w:cs="Times New Roman"/>
                      <w:b/>
                      <w:bCs/>
                      <w:color w:val="auto"/>
                      <w:sz w:val="21"/>
                      <w:szCs w:val="21"/>
                    </w:rPr>
                  </w:pPr>
                  <w:r>
                    <w:rPr>
                      <w:rFonts w:hint="default" w:ascii="Times New Roman" w:hAnsi="Times New Roman" w:eastAsia="Times New Roman" w:cs="Times New Roman"/>
                      <w:b/>
                      <w:bCs/>
                      <w:color w:val="auto"/>
                      <w:sz w:val="21"/>
                      <w:szCs w:val="21"/>
                    </w:rPr>
                    <w:t>评价工作等级</w:t>
                  </w:r>
                </w:p>
              </w:tc>
              <w:tc>
                <w:tcPr>
                  <w:tcW w:w="5863" w:type="dxa"/>
                  <w:tcBorders>
                    <w:tl2br w:val="nil"/>
                    <w:tr2bl w:val="nil"/>
                  </w:tcBorders>
                  <w:noWrap w:val="0"/>
                  <w:vAlign w:val="top"/>
                </w:tcPr>
                <w:p>
                  <w:pPr>
                    <w:pStyle w:val="232"/>
                    <w:spacing w:before="2" w:line="240" w:lineRule="auto"/>
                    <w:ind w:right="25"/>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评价工作分级判据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exact"/>
                <w:jc w:val="center"/>
              </w:trPr>
              <w:tc>
                <w:tcPr>
                  <w:tcW w:w="3169" w:type="dxa"/>
                  <w:tcBorders>
                    <w:tl2br w:val="nil"/>
                    <w:tr2bl w:val="nil"/>
                  </w:tcBorders>
                  <w:noWrap w:val="0"/>
                  <w:vAlign w:val="top"/>
                </w:tcPr>
                <w:p>
                  <w:pPr>
                    <w:pStyle w:val="232"/>
                    <w:spacing w:before="2" w:line="240" w:lineRule="auto"/>
                    <w:ind w:right="24"/>
                    <w:jc w:val="center"/>
                    <w:rPr>
                      <w:rFonts w:hint="default" w:ascii="Times New Roman" w:hAnsi="Times New Roman" w:eastAsia="Times New Roman" w:cs="Times New Roman"/>
                      <w:color w:val="auto"/>
                      <w:sz w:val="21"/>
                      <w:szCs w:val="21"/>
                      <w:lang w:eastAsia="zh-CN"/>
                    </w:rPr>
                  </w:pPr>
                  <w:r>
                    <w:rPr>
                      <w:rFonts w:hint="default" w:ascii="Times New Roman" w:hAnsi="Times New Roman" w:eastAsia="Times New Roman" w:cs="Times New Roman"/>
                      <w:color w:val="auto"/>
                      <w:sz w:val="21"/>
                      <w:szCs w:val="21"/>
                      <w:lang w:eastAsia="zh-CN"/>
                    </w:rPr>
                    <w:t>一级</w:t>
                  </w:r>
                </w:p>
              </w:tc>
              <w:tc>
                <w:tcPr>
                  <w:tcW w:w="5863" w:type="dxa"/>
                  <w:tcBorders>
                    <w:tl2br w:val="nil"/>
                    <w:tr2bl w:val="nil"/>
                  </w:tcBorders>
                  <w:noWrap w:val="0"/>
                  <w:vAlign w:val="top"/>
                </w:tcPr>
                <w:p>
                  <w:pPr>
                    <w:pStyle w:val="232"/>
                    <w:spacing w:before="48" w:line="240" w:lineRule="auto"/>
                    <w:ind w:right="24"/>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exact"/>
                <w:jc w:val="center"/>
              </w:trPr>
              <w:tc>
                <w:tcPr>
                  <w:tcW w:w="3169" w:type="dxa"/>
                  <w:tcBorders>
                    <w:tl2br w:val="nil"/>
                    <w:tr2bl w:val="nil"/>
                  </w:tcBorders>
                  <w:noWrap w:val="0"/>
                  <w:vAlign w:val="top"/>
                </w:tcPr>
                <w:p>
                  <w:pPr>
                    <w:pStyle w:val="232"/>
                    <w:spacing w:before="2" w:line="240" w:lineRule="auto"/>
                    <w:ind w:right="24"/>
                    <w:jc w:val="center"/>
                    <w:rPr>
                      <w:rFonts w:hint="default" w:ascii="Times New Roman" w:hAnsi="Times New Roman" w:eastAsia="Times New Roman" w:cs="Times New Roman"/>
                      <w:color w:val="auto"/>
                      <w:sz w:val="21"/>
                      <w:szCs w:val="21"/>
                      <w:lang w:eastAsia="zh-CN"/>
                    </w:rPr>
                  </w:pPr>
                  <w:r>
                    <w:rPr>
                      <w:rFonts w:hint="default" w:ascii="Times New Roman" w:hAnsi="Times New Roman" w:eastAsia="Times New Roman" w:cs="Times New Roman"/>
                      <w:color w:val="auto"/>
                      <w:sz w:val="21"/>
                      <w:szCs w:val="21"/>
                      <w:lang w:eastAsia="zh-CN"/>
                    </w:rPr>
                    <w:t>二级</w:t>
                  </w:r>
                </w:p>
              </w:tc>
              <w:tc>
                <w:tcPr>
                  <w:tcW w:w="5863" w:type="dxa"/>
                  <w:tcBorders>
                    <w:tl2br w:val="nil"/>
                    <w:tr2bl w:val="nil"/>
                  </w:tcBorders>
                  <w:noWrap w:val="0"/>
                  <w:vAlign w:val="top"/>
                </w:tcPr>
                <w:p>
                  <w:pPr>
                    <w:pStyle w:val="232"/>
                    <w:spacing w:before="52" w:line="240" w:lineRule="auto"/>
                    <w:ind w:right="22"/>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exact"/>
                <w:jc w:val="center"/>
              </w:trPr>
              <w:tc>
                <w:tcPr>
                  <w:tcW w:w="3169" w:type="dxa"/>
                  <w:tcBorders>
                    <w:tl2br w:val="nil"/>
                    <w:tr2bl w:val="nil"/>
                  </w:tcBorders>
                  <w:noWrap w:val="0"/>
                  <w:vAlign w:val="top"/>
                </w:tcPr>
                <w:p>
                  <w:pPr>
                    <w:pStyle w:val="232"/>
                    <w:spacing w:before="2" w:line="240" w:lineRule="auto"/>
                    <w:ind w:right="24"/>
                    <w:jc w:val="center"/>
                    <w:rPr>
                      <w:rFonts w:hint="default" w:ascii="Times New Roman" w:hAnsi="Times New Roman" w:eastAsia="Times New Roman" w:cs="Times New Roman"/>
                      <w:color w:val="auto"/>
                      <w:sz w:val="21"/>
                      <w:szCs w:val="21"/>
                      <w:lang w:eastAsia="zh-CN"/>
                    </w:rPr>
                  </w:pPr>
                  <w:r>
                    <w:rPr>
                      <w:rFonts w:hint="default" w:ascii="Times New Roman" w:hAnsi="Times New Roman" w:eastAsia="Times New Roman" w:cs="Times New Roman"/>
                      <w:color w:val="auto"/>
                      <w:sz w:val="21"/>
                      <w:szCs w:val="21"/>
                      <w:lang w:eastAsia="zh-CN"/>
                    </w:rPr>
                    <w:t>三级</w:t>
                  </w:r>
                </w:p>
              </w:tc>
              <w:tc>
                <w:tcPr>
                  <w:tcW w:w="5863" w:type="dxa"/>
                  <w:tcBorders>
                    <w:tl2br w:val="nil"/>
                    <w:tr2bl w:val="nil"/>
                  </w:tcBorders>
                  <w:noWrap w:val="0"/>
                  <w:vAlign w:val="top"/>
                </w:tcPr>
                <w:p>
                  <w:pPr>
                    <w:pStyle w:val="232"/>
                    <w:spacing w:before="2" w:line="240" w:lineRule="auto"/>
                    <w:ind w:right="24"/>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Pmax</w:t>
                  </w:r>
                  <w:r>
                    <w:rPr>
                      <w:rFonts w:hint="default" w:ascii="Times New Roman" w:hAnsi="Times New Roman" w:eastAsia="宋体" w:cs="Times New Roman"/>
                      <w:color w:val="auto"/>
                      <w:sz w:val="21"/>
                      <w:szCs w:val="21"/>
                    </w:rPr>
                    <w:t>＜</w:t>
                  </w:r>
                  <w:r>
                    <w:rPr>
                      <w:rFonts w:hint="default" w:ascii="Times New Roman" w:hAnsi="Times New Roman" w:eastAsia="Times New Roman" w:cs="Times New Roman"/>
                      <w:color w:val="auto"/>
                      <w:sz w:val="21"/>
                      <w:szCs w:val="21"/>
                    </w:rPr>
                    <w:t>1%</w:t>
                  </w:r>
                </w:p>
              </w:tc>
            </w:tr>
          </w:tbl>
          <w:p>
            <w:pPr>
              <w:widowControl w:val="0"/>
              <w:spacing w:after="0" w:line="360" w:lineRule="auto"/>
              <w:ind w:firstLine="480" w:firstLineChars="200"/>
              <w:jc w:val="both"/>
              <w:rPr>
                <w:rFonts w:ascii="Times New Roman" w:hAnsi="Times New Roman" w:eastAsia="宋体" w:cs="Times New Roman"/>
                <w:bCs/>
                <w:color w:val="auto"/>
                <w:kern w:val="2"/>
                <w:sz w:val="24"/>
                <w:szCs w:val="22"/>
                <w:highlight w:val="none"/>
              </w:rPr>
            </w:pPr>
            <w:r>
              <w:rPr>
                <w:rFonts w:ascii="Times New Roman" w:hAnsi="Times New Roman" w:eastAsia="宋体" w:cs="Times New Roman"/>
                <w:bCs/>
                <w:color w:val="auto"/>
                <w:kern w:val="2"/>
                <w:sz w:val="24"/>
                <w:szCs w:val="22"/>
                <w:highlight w:val="none"/>
              </w:rPr>
              <w:t>按照估算模式AERSCREEN模式，依据上述公式进行评价等级确定，其中污染物计算参数如下：</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评价因子和评价标准</w:t>
            </w:r>
          </w:p>
          <w:tbl>
            <w:tblPr>
              <w:tblStyle w:val="44"/>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1110"/>
              <w:gridCol w:w="1230"/>
              <w:gridCol w:w="1080"/>
              <w:gridCol w:w="1155"/>
              <w:gridCol w:w="3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416" w:type="dxa"/>
                  <w:vAlign w:val="center"/>
                </w:tcPr>
                <w:p>
                  <w:pPr>
                    <w:widowControl w:val="0"/>
                    <w:autoSpaceDE w:val="0"/>
                    <w:autoSpaceDN w:val="0"/>
                    <w:adjustRightInd w:val="0"/>
                    <w:spacing w:line="240" w:lineRule="auto"/>
                    <w:jc w:val="center"/>
                    <w:rPr>
                      <w:rFonts w:ascii="Times New Roman" w:hAnsi="Times New Roman" w:eastAsia="宋体" w:cs="Times New Roman"/>
                      <w:b/>
                      <w:bCs/>
                      <w:color w:val="auto"/>
                      <w:sz w:val="21"/>
                      <w:szCs w:val="16"/>
                      <w:highlight w:val="none"/>
                      <w:lang w:val="en-US" w:eastAsia="zh-CN" w:bidi="ar-SA"/>
                    </w:rPr>
                  </w:pPr>
                  <w:r>
                    <w:rPr>
                      <w:rFonts w:ascii="Times New Roman" w:hAnsi="Times New Roman" w:eastAsia="宋体" w:cs="Times New Roman"/>
                      <w:b/>
                      <w:bCs/>
                      <w:color w:val="auto"/>
                      <w:sz w:val="21"/>
                      <w:szCs w:val="16"/>
                      <w:highlight w:val="none"/>
                      <w:lang w:val="en-US" w:eastAsia="zh-CN" w:bidi="ar-SA"/>
                    </w:rPr>
                    <w:t>评价因子</w:t>
                  </w:r>
                </w:p>
              </w:tc>
              <w:tc>
                <w:tcPr>
                  <w:tcW w:w="1110" w:type="dxa"/>
                  <w:vAlign w:val="center"/>
                </w:tcPr>
                <w:p>
                  <w:pPr>
                    <w:widowControl w:val="0"/>
                    <w:autoSpaceDE w:val="0"/>
                    <w:autoSpaceDN w:val="0"/>
                    <w:adjustRightInd w:val="0"/>
                    <w:spacing w:line="240" w:lineRule="auto"/>
                    <w:jc w:val="center"/>
                    <w:rPr>
                      <w:rFonts w:ascii="Times New Roman" w:hAnsi="Times New Roman" w:eastAsia="宋体" w:cs="Times New Roman"/>
                      <w:b/>
                      <w:bCs/>
                      <w:color w:val="auto"/>
                      <w:sz w:val="21"/>
                      <w:szCs w:val="16"/>
                      <w:highlight w:val="none"/>
                      <w:lang w:val="en-US" w:eastAsia="zh-CN" w:bidi="ar-SA"/>
                    </w:rPr>
                  </w:pPr>
                  <w:r>
                    <w:rPr>
                      <w:rFonts w:ascii="Times New Roman" w:hAnsi="Times New Roman" w:eastAsia="宋体" w:cs="Times New Roman"/>
                      <w:b/>
                      <w:bCs/>
                      <w:color w:val="auto"/>
                      <w:sz w:val="21"/>
                      <w:szCs w:val="16"/>
                      <w:highlight w:val="none"/>
                      <w:lang w:val="en-US" w:eastAsia="zh-CN" w:bidi="ar-SA"/>
                    </w:rPr>
                    <w:t>平均时段</w:t>
                  </w:r>
                </w:p>
              </w:tc>
              <w:tc>
                <w:tcPr>
                  <w:tcW w:w="1230" w:type="dxa"/>
                  <w:vAlign w:val="center"/>
                </w:tcPr>
                <w:p>
                  <w:pPr>
                    <w:widowControl w:val="0"/>
                    <w:autoSpaceDE w:val="0"/>
                    <w:autoSpaceDN w:val="0"/>
                    <w:adjustRightInd w:val="0"/>
                    <w:spacing w:line="240" w:lineRule="auto"/>
                    <w:jc w:val="center"/>
                    <w:rPr>
                      <w:rFonts w:ascii="Times New Roman" w:hAnsi="Times New Roman" w:eastAsia="宋体" w:cs="Times New Roman"/>
                      <w:b/>
                      <w:bCs/>
                      <w:color w:val="auto"/>
                      <w:sz w:val="21"/>
                      <w:szCs w:val="16"/>
                      <w:highlight w:val="none"/>
                      <w:lang w:val="en-US" w:eastAsia="zh-CN" w:bidi="ar-SA"/>
                    </w:rPr>
                  </w:pPr>
                  <w:r>
                    <w:rPr>
                      <w:rFonts w:ascii="Times New Roman" w:hAnsi="Times New Roman" w:eastAsia="宋体" w:cs="Times New Roman"/>
                      <w:b/>
                      <w:bCs/>
                      <w:color w:val="auto"/>
                      <w:sz w:val="21"/>
                      <w:szCs w:val="16"/>
                      <w:highlight w:val="none"/>
                      <w:lang w:val="en-US" w:eastAsia="zh-CN" w:bidi="ar-SA"/>
                    </w:rPr>
                    <w:t>质量标准</w:t>
                  </w:r>
                </w:p>
              </w:tc>
              <w:tc>
                <w:tcPr>
                  <w:tcW w:w="1080" w:type="dxa"/>
                  <w:vAlign w:val="center"/>
                </w:tcPr>
                <w:p>
                  <w:pPr>
                    <w:widowControl w:val="0"/>
                    <w:autoSpaceDE w:val="0"/>
                    <w:autoSpaceDN w:val="0"/>
                    <w:adjustRightInd w:val="0"/>
                    <w:spacing w:line="240" w:lineRule="auto"/>
                    <w:jc w:val="center"/>
                    <w:rPr>
                      <w:rFonts w:ascii="Times New Roman" w:hAnsi="Times New Roman" w:eastAsia="宋体" w:cs="Times New Roman"/>
                      <w:b/>
                      <w:bCs/>
                      <w:color w:val="auto"/>
                      <w:sz w:val="21"/>
                      <w:szCs w:val="16"/>
                      <w:highlight w:val="none"/>
                      <w:lang w:val="en-US" w:eastAsia="zh-CN" w:bidi="ar-SA"/>
                    </w:rPr>
                  </w:pPr>
                  <w:r>
                    <w:rPr>
                      <w:rFonts w:ascii="Times New Roman" w:hAnsi="Times New Roman" w:eastAsia="宋体" w:cs="Times New Roman"/>
                      <w:b/>
                      <w:bCs/>
                      <w:color w:val="auto"/>
                      <w:sz w:val="21"/>
                      <w:szCs w:val="16"/>
                      <w:highlight w:val="none"/>
                      <w:lang w:val="en-US" w:eastAsia="zh-CN" w:bidi="ar-SA"/>
                    </w:rPr>
                    <w:t>折算倍数</w:t>
                  </w:r>
                </w:p>
              </w:tc>
              <w:tc>
                <w:tcPr>
                  <w:tcW w:w="1155" w:type="dxa"/>
                  <w:vAlign w:val="center"/>
                </w:tcPr>
                <w:p>
                  <w:pPr>
                    <w:widowControl w:val="0"/>
                    <w:autoSpaceDE w:val="0"/>
                    <w:autoSpaceDN w:val="0"/>
                    <w:adjustRightInd w:val="0"/>
                    <w:spacing w:line="240" w:lineRule="auto"/>
                    <w:jc w:val="center"/>
                    <w:rPr>
                      <w:rFonts w:ascii="Times New Roman" w:hAnsi="Times New Roman" w:eastAsia="宋体" w:cs="Times New Roman"/>
                      <w:b/>
                      <w:bCs/>
                      <w:color w:val="auto"/>
                      <w:sz w:val="21"/>
                      <w:szCs w:val="16"/>
                      <w:highlight w:val="none"/>
                      <w:lang w:val="en-US" w:eastAsia="zh-CN" w:bidi="ar-SA"/>
                    </w:rPr>
                  </w:pPr>
                  <w:r>
                    <w:rPr>
                      <w:rFonts w:ascii="Times New Roman" w:hAnsi="Times New Roman" w:eastAsia="宋体" w:cs="Times New Roman"/>
                      <w:b/>
                      <w:bCs/>
                      <w:color w:val="auto"/>
                      <w:sz w:val="21"/>
                      <w:szCs w:val="16"/>
                      <w:highlight w:val="none"/>
                      <w:lang w:val="en-US" w:eastAsia="zh-CN" w:bidi="ar-SA"/>
                    </w:rPr>
                    <w:t>评价标准</w:t>
                  </w:r>
                </w:p>
              </w:tc>
              <w:tc>
                <w:tcPr>
                  <w:tcW w:w="3289" w:type="dxa"/>
                  <w:vAlign w:val="center"/>
                </w:tcPr>
                <w:p>
                  <w:pPr>
                    <w:widowControl w:val="0"/>
                    <w:autoSpaceDE w:val="0"/>
                    <w:autoSpaceDN w:val="0"/>
                    <w:adjustRightInd w:val="0"/>
                    <w:spacing w:line="240" w:lineRule="auto"/>
                    <w:jc w:val="center"/>
                    <w:rPr>
                      <w:rFonts w:ascii="Times New Roman" w:hAnsi="Times New Roman" w:eastAsia="宋体" w:cs="Times New Roman"/>
                      <w:b/>
                      <w:bCs/>
                      <w:color w:val="auto"/>
                      <w:sz w:val="21"/>
                      <w:szCs w:val="16"/>
                      <w:highlight w:val="none"/>
                      <w:lang w:val="en-US" w:eastAsia="zh-CN" w:bidi="ar-SA"/>
                    </w:rPr>
                  </w:pPr>
                  <w:r>
                    <w:rPr>
                      <w:rFonts w:ascii="Times New Roman" w:hAnsi="Times New Roman" w:eastAsia="宋体" w:cs="Times New Roman"/>
                      <w:b/>
                      <w:bCs/>
                      <w:color w:val="auto"/>
                      <w:sz w:val="21"/>
                      <w:szCs w:val="16"/>
                      <w:highlight w:val="none"/>
                      <w:lang w:val="en-US" w:eastAsia="zh-CN" w:bidi="ar-SA"/>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rPr>
              <w:tc>
                <w:tcPr>
                  <w:tcW w:w="141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非甲烷总烃</w:t>
                  </w:r>
                </w:p>
              </w:tc>
              <w:tc>
                <w:tcPr>
                  <w:tcW w:w="111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w:t>
                  </w:r>
                </w:p>
              </w:tc>
              <w:tc>
                <w:tcPr>
                  <w:tcW w:w="123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2</w:t>
                  </w:r>
                </w:p>
              </w:tc>
              <w:tc>
                <w:tcPr>
                  <w:tcW w:w="108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w:t>
                  </w:r>
                </w:p>
              </w:tc>
              <w:tc>
                <w:tcPr>
                  <w:tcW w:w="1155"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2</w:t>
                  </w:r>
                </w:p>
              </w:tc>
              <w:tc>
                <w:tcPr>
                  <w:tcW w:w="3289" w:type="dxa"/>
                  <w:vAlign w:val="center"/>
                </w:tcPr>
                <w:p>
                  <w:pPr>
                    <w:widowControl w:val="0"/>
                    <w:autoSpaceDE w:val="0"/>
                    <w:autoSpaceDN w:val="0"/>
                    <w:adjustRightInd w:val="0"/>
                    <w:spacing w:line="240" w:lineRule="auto"/>
                    <w:jc w:val="center"/>
                    <w:rPr>
                      <w:rFonts w:ascii="Times New Roman" w:hAnsi="Times New Roman" w:eastAsia="宋体" w:cs="Times New Roman"/>
                      <w:color w:val="auto"/>
                      <w:sz w:val="21"/>
                      <w:szCs w:val="16"/>
                      <w:highlight w:val="none"/>
                      <w:lang w:val="en-US" w:eastAsia="zh-CN" w:bidi="ar-SA"/>
                    </w:rPr>
                  </w:pPr>
                  <w:r>
                    <w:rPr>
                      <w:rFonts w:ascii="Times New Roman" w:hAnsi="Times New Roman" w:eastAsia="宋体" w:cs="Times New Roman"/>
                      <w:color w:val="auto"/>
                      <w:sz w:val="21"/>
                      <w:szCs w:val="16"/>
                      <w:highlight w:val="none"/>
                      <w:lang w:val="en-US" w:eastAsia="zh-CN" w:bidi="ar-SA"/>
                    </w:rPr>
                    <w:t>《大气污染物综合排放标准详解》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41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SO</w:t>
                  </w:r>
                  <w:r>
                    <w:rPr>
                      <w:rFonts w:ascii="Times New Roman" w:hAnsi="Times New Roman" w:eastAsia="宋体" w:cs="Times New Roman"/>
                      <w:color w:val="auto"/>
                      <w:kern w:val="2"/>
                      <w:sz w:val="21"/>
                      <w:szCs w:val="21"/>
                      <w:highlight w:val="none"/>
                      <w:vertAlign w:val="subscript"/>
                      <w:lang w:val="en-US" w:eastAsia="zh-CN"/>
                    </w:rPr>
                    <w:t>2</w:t>
                  </w:r>
                </w:p>
              </w:tc>
              <w:tc>
                <w:tcPr>
                  <w:tcW w:w="111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1小时</w:t>
                  </w:r>
                </w:p>
              </w:tc>
              <w:tc>
                <w:tcPr>
                  <w:tcW w:w="123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0.5</w:t>
                  </w:r>
                </w:p>
              </w:tc>
              <w:tc>
                <w:tcPr>
                  <w:tcW w:w="108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w:t>
                  </w:r>
                </w:p>
              </w:tc>
              <w:tc>
                <w:tcPr>
                  <w:tcW w:w="1155"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0.5</w:t>
                  </w:r>
                </w:p>
              </w:tc>
              <w:tc>
                <w:tcPr>
                  <w:tcW w:w="3289" w:type="dxa"/>
                  <w:vMerge w:val="restart"/>
                  <w:vAlign w:val="center"/>
                </w:tcPr>
                <w:p>
                  <w:pPr>
                    <w:widowControl w:val="0"/>
                    <w:autoSpaceDE w:val="0"/>
                    <w:autoSpaceDN w:val="0"/>
                    <w:adjustRightInd w:val="0"/>
                    <w:spacing w:line="240" w:lineRule="auto"/>
                    <w:jc w:val="center"/>
                    <w:rPr>
                      <w:rFonts w:ascii="Times New Roman" w:hAnsi="Times New Roman" w:eastAsia="宋体" w:cs="Times New Roman"/>
                      <w:color w:val="auto"/>
                      <w:sz w:val="21"/>
                      <w:szCs w:val="16"/>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《环境空气质量标准》（GB3095-2012）及其2018年修改单</w:t>
                  </w:r>
                  <w:r>
                    <w:rPr>
                      <w:rFonts w:ascii="Times New Roman" w:hAnsi="Times New Roman" w:eastAsia="宋体" w:cs="Times New Roman"/>
                      <w:color w:val="auto"/>
                      <w:sz w:val="21"/>
                      <w:szCs w:val="21"/>
                      <w:highlight w:val="none"/>
                      <w:lang w:val="en-US" w:eastAsia="zh-CN" w:bidi="ar-SA"/>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41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NO</w:t>
                  </w:r>
                  <w:r>
                    <w:rPr>
                      <w:rFonts w:ascii="Times New Roman" w:hAnsi="Times New Roman" w:eastAsia="宋体" w:cs="Times New Roman"/>
                      <w:color w:val="auto"/>
                      <w:kern w:val="2"/>
                      <w:sz w:val="21"/>
                      <w:szCs w:val="21"/>
                      <w:highlight w:val="none"/>
                      <w:vertAlign w:val="subscript"/>
                      <w:lang w:val="en-US" w:eastAsia="zh-CN"/>
                    </w:rPr>
                    <w:t>X</w:t>
                  </w:r>
                </w:p>
              </w:tc>
              <w:tc>
                <w:tcPr>
                  <w:tcW w:w="111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1小时</w:t>
                  </w:r>
                </w:p>
              </w:tc>
              <w:tc>
                <w:tcPr>
                  <w:tcW w:w="1230"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0.25</w:t>
                  </w:r>
                </w:p>
              </w:tc>
              <w:tc>
                <w:tcPr>
                  <w:tcW w:w="108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w:t>
                  </w:r>
                </w:p>
              </w:tc>
              <w:tc>
                <w:tcPr>
                  <w:tcW w:w="115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0.25</w:t>
                  </w:r>
                </w:p>
              </w:tc>
              <w:tc>
                <w:tcPr>
                  <w:tcW w:w="3289" w:type="dxa"/>
                  <w:vMerge w:val="continue"/>
                  <w:vAlign w:val="center"/>
                </w:tcPr>
                <w:p>
                  <w:pPr>
                    <w:widowControl w:val="0"/>
                    <w:autoSpaceDE w:val="0"/>
                    <w:autoSpaceDN w:val="0"/>
                    <w:adjustRightInd w:val="0"/>
                    <w:jc w:val="center"/>
                    <w:rPr>
                      <w:rFonts w:ascii="Times New Roman" w:hAnsi="Times New Roman" w:eastAsia="宋体" w:cs="Times New Roman"/>
                      <w:color w:val="FF0000"/>
                      <w:sz w:val="21"/>
                      <w:szCs w:val="16"/>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41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PM</w:t>
                  </w:r>
                  <w:r>
                    <w:rPr>
                      <w:rFonts w:hint="eastAsia" w:ascii="Times New Roman" w:hAnsi="Times New Roman" w:eastAsia="宋体" w:cs="Times New Roman"/>
                      <w:color w:val="auto"/>
                      <w:kern w:val="2"/>
                      <w:sz w:val="21"/>
                      <w:szCs w:val="21"/>
                      <w:highlight w:val="none"/>
                      <w:vertAlign w:val="subscript"/>
                      <w:lang w:val="en-US" w:eastAsia="zh-CN"/>
                    </w:rPr>
                    <w:t>10</w:t>
                  </w:r>
                </w:p>
              </w:tc>
              <w:tc>
                <w:tcPr>
                  <w:tcW w:w="111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24</w:t>
                  </w:r>
                  <w:r>
                    <w:rPr>
                      <w:rFonts w:ascii="Times New Roman" w:hAnsi="Times New Roman" w:eastAsia="宋体" w:cs="Times New Roman"/>
                      <w:color w:val="auto"/>
                      <w:kern w:val="2"/>
                      <w:sz w:val="21"/>
                      <w:szCs w:val="21"/>
                      <w:highlight w:val="none"/>
                      <w:lang w:val="en-US" w:eastAsia="zh-CN"/>
                    </w:rPr>
                    <w:t>小时</w:t>
                  </w:r>
                </w:p>
              </w:tc>
              <w:tc>
                <w:tcPr>
                  <w:tcW w:w="123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0.15</w:t>
                  </w:r>
                </w:p>
              </w:tc>
              <w:tc>
                <w:tcPr>
                  <w:tcW w:w="108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3</w:t>
                  </w:r>
                </w:p>
              </w:tc>
              <w:tc>
                <w:tcPr>
                  <w:tcW w:w="1155"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0.45</w:t>
                  </w:r>
                </w:p>
              </w:tc>
              <w:tc>
                <w:tcPr>
                  <w:tcW w:w="3289" w:type="dxa"/>
                  <w:vMerge w:val="continue"/>
                  <w:vAlign w:val="center"/>
                </w:tcPr>
                <w:p>
                  <w:pPr>
                    <w:widowControl w:val="0"/>
                    <w:autoSpaceDE w:val="0"/>
                    <w:autoSpaceDN w:val="0"/>
                    <w:adjustRightInd w:val="0"/>
                    <w:jc w:val="center"/>
                    <w:rPr>
                      <w:rFonts w:ascii="Times New Roman" w:hAnsi="Times New Roman" w:eastAsia="宋体" w:cs="Times New Roman"/>
                      <w:color w:val="FF0000"/>
                      <w:sz w:val="21"/>
                      <w:szCs w:val="16"/>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41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TSP</w:t>
                  </w:r>
                </w:p>
              </w:tc>
              <w:tc>
                <w:tcPr>
                  <w:tcW w:w="111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24小时</w:t>
                  </w:r>
                </w:p>
              </w:tc>
              <w:tc>
                <w:tcPr>
                  <w:tcW w:w="123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0.3</w:t>
                  </w:r>
                </w:p>
              </w:tc>
              <w:tc>
                <w:tcPr>
                  <w:tcW w:w="108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3</w:t>
                  </w:r>
                </w:p>
              </w:tc>
              <w:tc>
                <w:tcPr>
                  <w:tcW w:w="1155"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0.9</w:t>
                  </w:r>
                </w:p>
              </w:tc>
              <w:tc>
                <w:tcPr>
                  <w:tcW w:w="3289" w:type="dxa"/>
                  <w:vMerge w:val="continue"/>
                  <w:vAlign w:val="center"/>
                </w:tcPr>
                <w:p>
                  <w:pPr>
                    <w:widowControl w:val="0"/>
                    <w:autoSpaceDE w:val="0"/>
                    <w:autoSpaceDN w:val="0"/>
                    <w:adjustRightInd w:val="0"/>
                    <w:jc w:val="center"/>
                    <w:rPr>
                      <w:rFonts w:ascii="Times New Roman" w:hAnsi="Times New Roman" w:eastAsia="宋体" w:cs="Times New Roman"/>
                      <w:color w:val="FF0000"/>
                      <w:sz w:val="21"/>
                      <w:szCs w:val="16"/>
                      <w:highlight w:val="none"/>
                      <w:lang w:val="en-US" w:eastAsia="zh-CN" w:bidi="ar-SA"/>
                    </w:rPr>
                  </w:pPr>
                </w:p>
              </w:tc>
            </w:tr>
          </w:tbl>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zh-CN" w:eastAsia="zh-CN" w:bidi="ar-SA"/>
              </w:rPr>
              <w:t>估算模型参数表</w:t>
            </w:r>
          </w:p>
          <w:tbl>
            <w:tblPr>
              <w:tblStyle w:val="43"/>
              <w:tblW w:w="8784"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2627"/>
              <w:gridCol w:w="2370"/>
              <w:gridCol w:w="3787"/>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93" w:hRule="atLeast"/>
                <w:jc w:val="center"/>
              </w:trPr>
              <w:tc>
                <w:tcPr>
                  <w:tcW w:w="4997" w:type="dxa"/>
                  <w:gridSpan w:val="2"/>
                  <w:tcBorders>
                    <w:tl2br w:val="nil"/>
                    <w:tr2bl w:val="nil"/>
                  </w:tcBorders>
                  <w:vAlign w:val="center"/>
                </w:tcPr>
                <w:p>
                  <w:pPr>
                    <w:widowControl w:val="0"/>
                    <w:spacing w:after="0" w:line="360" w:lineRule="auto"/>
                    <w:jc w:val="center"/>
                    <w:rPr>
                      <w:rFonts w:ascii="Times New Roman" w:hAnsi="Times New Roman" w:eastAsia="宋体" w:cs="Times New Roman"/>
                      <w:b/>
                      <w:color w:val="auto"/>
                      <w:kern w:val="2"/>
                      <w:sz w:val="21"/>
                      <w:szCs w:val="21"/>
                      <w:highlight w:val="none"/>
                      <w:lang w:val="zh-CN"/>
                    </w:rPr>
                  </w:pPr>
                  <w:r>
                    <w:rPr>
                      <w:rFonts w:ascii="Times New Roman" w:hAnsi="Times New Roman" w:eastAsia="宋体" w:cs="Times New Roman"/>
                      <w:b/>
                      <w:color w:val="auto"/>
                      <w:kern w:val="2"/>
                      <w:sz w:val="21"/>
                      <w:szCs w:val="21"/>
                      <w:highlight w:val="none"/>
                      <w:lang w:val="zh-CN"/>
                    </w:rPr>
                    <w:t>参数</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b/>
                      <w:color w:val="auto"/>
                      <w:kern w:val="2"/>
                      <w:sz w:val="21"/>
                      <w:szCs w:val="21"/>
                      <w:highlight w:val="none"/>
                      <w:lang w:val="zh-CN"/>
                    </w:rPr>
                  </w:pPr>
                  <w:r>
                    <w:rPr>
                      <w:rFonts w:ascii="Times New Roman" w:hAnsi="Times New Roman" w:eastAsia="宋体" w:cs="Times New Roman"/>
                      <w:b/>
                      <w:color w:val="auto"/>
                      <w:kern w:val="2"/>
                      <w:sz w:val="21"/>
                      <w:szCs w:val="21"/>
                      <w:highlight w:val="none"/>
                      <w:lang w:val="zh-CN"/>
                    </w:rPr>
                    <w:t>取值</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lang w:val="zh-CN"/>
                    </w:rPr>
                    <w:t>城市</w:t>
                  </w:r>
                  <w:r>
                    <w:rPr>
                      <w:rFonts w:ascii="Times New Roman" w:hAnsi="Times New Roman" w:eastAsia="宋体" w:cs="Times New Roman"/>
                      <w:color w:val="auto"/>
                      <w:kern w:val="2"/>
                      <w:sz w:val="21"/>
                      <w:szCs w:val="21"/>
                      <w:highlight w:val="none"/>
                    </w:rPr>
                    <w:t>/农村选项</w:t>
                  </w: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lang w:val="zh-CN"/>
                    </w:rPr>
                    <w:t>城市</w:t>
                  </w:r>
                  <w:r>
                    <w:rPr>
                      <w:rFonts w:ascii="Times New Roman" w:hAnsi="Times New Roman" w:eastAsia="宋体" w:cs="Times New Roman"/>
                      <w:color w:val="auto"/>
                      <w:kern w:val="2"/>
                      <w:sz w:val="21"/>
                      <w:szCs w:val="21"/>
                      <w:highlight w:val="none"/>
                    </w:rPr>
                    <w:t>/农村</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hint="eastAsia" w:ascii="Times New Roman" w:hAnsi="Times New Roman" w:eastAsia="宋体" w:cs="Times New Roman"/>
                      <w:color w:val="auto"/>
                      <w:kern w:val="2"/>
                      <w:sz w:val="21"/>
                      <w:szCs w:val="21"/>
                      <w:highlight w:val="none"/>
                      <w:lang w:val="zh-CN"/>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widowControl w:val="0"/>
                    <w:spacing w:after="0" w:line="360" w:lineRule="auto"/>
                    <w:jc w:val="center"/>
                    <w:rPr>
                      <w:rFonts w:ascii="Times New Roman" w:hAnsi="Times New Roman" w:eastAsia="宋体" w:cs="Times New Roman"/>
                      <w:color w:val="FF0000"/>
                      <w:kern w:val="2"/>
                      <w:sz w:val="21"/>
                      <w:szCs w:val="21"/>
                      <w:highlight w:val="none"/>
                      <w:lang w:val="zh-CN"/>
                    </w:rPr>
                  </w:pP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人口数（城市选项时）</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70万</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最高环境温度</w:t>
                  </w:r>
                  <w:r>
                    <w:rPr>
                      <w:rFonts w:ascii="Times New Roman" w:hAnsi="Times New Roman" w:eastAsia="宋体" w:cs="Times New Roman"/>
                      <w:color w:val="auto"/>
                      <w:kern w:val="2"/>
                      <w:sz w:val="21"/>
                      <w:szCs w:val="21"/>
                      <w:highlight w:val="none"/>
                    </w:rPr>
                    <w:t>/℃</w:t>
                  </w:r>
                </w:p>
              </w:tc>
              <w:tc>
                <w:tcPr>
                  <w:tcW w:w="3787" w:type="dxa"/>
                  <w:tcBorders>
                    <w:tl2br w:val="nil"/>
                    <w:tr2bl w:val="nil"/>
                  </w:tcBorders>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4"/>
                      <w:highlight w:val="none"/>
                      <w:lang w:val="en-US" w:eastAsia="zh-CN"/>
                    </w:rPr>
                    <w:t>39.4</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最低环境温度</w:t>
                  </w:r>
                  <w:r>
                    <w:rPr>
                      <w:rFonts w:ascii="Times New Roman" w:hAnsi="Times New Roman" w:eastAsia="宋体" w:cs="Times New Roman"/>
                      <w:color w:val="auto"/>
                      <w:kern w:val="2"/>
                      <w:sz w:val="21"/>
                      <w:szCs w:val="21"/>
                      <w:highlight w:val="none"/>
                    </w:rPr>
                    <w:t>/℃</w:t>
                  </w:r>
                </w:p>
              </w:tc>
              <w:tc>
                <w:tcPr>
                  <w:tcW w:w="3787" w:type="dxa"/>
                  <w:tcBorders>
                    <w:tl2br w:val="nil"/>
                    <w:tr2bl w:val="nil"/>
                  </w:tcBorders>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4"/>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土地利用类型</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区域湿度条件</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潮湿</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是否考虑地形</w:t>
                  </w: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考虑地形</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sym w:font="Wingdings 2" w:char="00A3"/>
                  </w:r>
                  <w:r>
                    <w:rPr>
                      <w:rFonts w:ascii="Times New Roman" w:hAnsi="Times New Roman" w:eastAsia="宋体" w:cs="Times New Roman"/>
                      <w:color w:val="auto"/>
                      <w:kern w:val="2"/>
                      <w:sz w:val="21"/>
                      <w:szCs w:val="21"/>
                      <w:highlight w:val="none"/>
                      <w:lang w:val="zh-CN"/>
                    </w:rPr>
                    <w:t>是</w:t>
                  </w:r>
                  <w:r>
                    <w:rPr>
                      <w:rFonts w:ascii="Times New Roman" w:hAnsi="Times New Roman" w:eastAsia="宋体" w:cs="Times New Roman"/>
                      <w:color w:val="auto"/>
                      <w:kern w:val="2"/>
                      <w:sz w:val="21"/>
                      <w:szCs w:val="21"/>
                      <w:highlight w:val="none"/>
                      <w:lang w:val="zh-CN"/>
                    </w:rPr>
                    <w:sym w:font="Wingdings 2" w:char="0052"/>
                  </w:r>
                  <w:r>
                    <w:rPr>
                      <w:rFonts w:ascii="Times New Roman" w:hAnsi="Times New Roman" w:eastAsia="宋体" w:cs="Times New Roman"/>
                      <w:color w:val="auto"/>
                      <w:kern w:val="2"/>
                      <w:sz w:val="21"/>
                      <w:szCs w:val="21"/>
                      <w:highlight w:val="none"/>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lang w:val="zh-CN"/>
                    </w:rPr>
                    <w:t>地形数据分辨率</w:t>
                  </w:r>
                  <w:r>
                    <w:rPr>
                      <w:rFonts w:ascii="Times New Roman" w:hAnsi="Times New Roman" w:eastAsia="宋体" w:cs="Times New Roman"/>
                      <w:color w:val="auto"/>
                      <w:kern w:val="2"/>
                      <w:sz w:val="21"/>
                      <w:szCs w:val="21"/>
                      <w:highlight w:val="none"/>
                    </w:rPr>
                    <w:t>/m</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38" w:hRule="atLeast"/>
                <w:jc w:val="center"/>
              </w:trPr>
              <w:tc>
                <w:tcPr>
                  <w:tcW w:w="2627" w:type="dxa"/>
                  <w:vMerge w:val="restart"/>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是否考虑岸线熏烟</w:t>
                  </w: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t>考虑岸线熏烟</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r>
                    <w:rPr>
                      <w:rFonts w:ascii="Times New Roman" w:hAnsi="Times New Roman" w:eastAsia="宋体" w:cs="Times New Roman"/>
                      <w:color w:val="auto"/>
                      <w:kern w:val="2"/>
                      <w:sz w:val="21"/>
                      <w:szCs w:val="21"/>
                      <w:highlight w:val="none"/>
                      <w:lang w:val="zh-CN"/>
                    </w:rPr>
                    <w:sym w:font="Wingdings 2" w:char="00A3"/>
                  </w:r>
                  <w:r>
                    <w:rPr>
                      <w:rFonts w:ascii="Times New Roman" w:hAnsi="Times New Roman" w:eastAsia="宋体" w:cs="Times New Roman"/>
                      <w:color w:val="auto"/>
                      <w:kern w:val="2"/>
                      <w:sz w:val="21"/>
                      <w:szCs w:val="21"/>
                      <w:highlight w:val="none"/>
                      <w:lang w:val="zh-CN"/>
                    </w:rPr>
                    <w:t>是</w:t>
                  </w:r>
                  <w:r>
                    <w:rPr>
                      <w:rFonts w:ascii="Times New Roman" w:hAnsi="Times New Roman" w:eastAsia="宋体" w:cs="Times New Roman"/>
                      <w:color w:val="auto"/>
                      <w:kern w:val="2"/>
                      <w:sz w:val="21"/>
                      <w:szCs w:val="21"/>
                      <w:highlight w:val="none"/>
                      <w:lang w:val="zh-CN"/>
                    </w:rPr>
                    <w:sym w:font="Wingdings 2" w:char="0052"/>
                  </w:r>
                  <w:r>
                    <w:rPr>
                      <w:rFonts w:ascii="Times New Roman" w:hAnsi="Times New Roman" w:eastAsia="宋体" w:cs="Times New Roman"/>
                      <w:color w:val="auto"/>
                      <w:kern w:val="2"/>
                      <w:sz w:val="21"/>
                      <w:szCs w:val="21"/>
                      <w:highlight w:val="none"/>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613" w:hRule="atLeast"/>
                <w:jc w:val="center"/>
              </w:trPr>
              <w:tc>
                <w:tcPr>
                  <w:tcW w:w="2627" w:type="dxa"/>
                  <w:vMerge w:val="continue"/>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lang w:val="zh-CN"/>
                    </w:rPr>
                    <w:t>岸线距离</w:t>
                  </w:r>
                  <w:r>
                    <w:rPr>
                      <w:rFonts w:ascii="Times New Roman" w:hAnsi="Times New Roman" w:eastAsia="宋体" w:cs="Times New Roman"/>
                      <w:color w:val="auto"/>
                      <w:kern w:val="2"/>
                      <w:sz w:val="21"/>
                      <w:szCs w:val="21"/>
                      <w:highlight w:val="none"/>
                    </w:rPr>
                    <w:t>/km</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lang w:val="zh-CN"/>
                    </w:rPr>
                  </w:pPr>
                </w:p>
              </w:tc>
              <w:tc>
                <w:tcPr>
                  <w:tcW w:w="2370"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岸线方向/°</w:t>
                  </w:r>
                </w:p>
              </w:tc>
              <w:tc>
                <w:tcPr>
                  <w:tcW w:w="3787" w:type="dxa"/>
                  <w:tcBorders>
                    <w:tl2br w:val="nil"/>
                    <w:tr2bl w:val="nil"/>
                  </w:tcBorders>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r>
          </w:tbl>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本项目</w:t>
            </w:r>
            <w:r>
              <w:rPr>
                <w:rFonts w:hint="eastAsia" w:ascii="Times New Roman" w:hAnsi="Times New Roman" w:eastAsia="宋体" w:cs="Times New Roman"/>
                <w:b/>
                <w:color w:val="auto"/>
                <w:kern w:val="0"/>
                <w:sz w:val="21"/>
                <w:szCs w:val="21"/>
                <w:highlight w:val="none"/>
                <w:lang w:val="en-US" w:eastAsia="zh-CN" w:bidi="ar-SA"/>
              </w:rPr>
              <w:t>点源参数表</w:t>
            </w:r>
          </w:p>
          <w:tbl>
            <w:tblPr>
              <w:tblStyle w:val="43"/>
              <w:tblW w:w="93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765"/>
              <w:gridCol w:w="509"/>
              <w:gridCol w:w="572"/>
              <w:gridCol w:w="884"/>
              <w:gridCol w:w="856"/>
              <w:gridCol w:w="960"/>
              <w:gridCol w:w="900"/>
              <w:gridCol w:w="705"/>
              <w:gridCol w:w="840"/>
              <w:gridCol w:w="720"/>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blHeader/>
                <w:jc w:val="center"/>
              </w:trPr>
              <w:tc>
                <w:tcPr>
                  <w:tcW w:w="646"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排气筒编号</w:t>
                  </w:r>
                </w:p>
              </w:tc>
              <w:tc>
                <w:tcPr>
                  <w:tcW w:w="765"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1081" w:type="dxa"/>
                  <w:gridSpan w:val="2"/>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排气筒底部中心坐标/m</w:t>
                  </w:r>
                </w:p>
              </w:tc>
              <w:tc>
                <w:tcPr>
                  <w:tcW w:w="884"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b/>
                      <w:bCs/>
                      <w:color w:val="auto"/>
                      <w:kern w:val="2"/>
                      <w:sz w:val="21"/>
                      <w:szCs w:val="21"/>
                      <w:highlight w:val="none"/>
                    </w:rPr>
                    <w:t>排气筒</w:t>
                  </w:r>
                  <w:r>
                    <w:rPr>
                      <w:rFonts w:hint="eastAsia" w:ascii="Times New Roman" w:hAnsi="Times New Roman" w:eastAsia="宋体" w:cs="Times New Roman"/>
                      <w:b/>
                      <w:bCs/>
                      <w:color w:val="auto"/>
                      <w:kern w:val="2"/>
                      <w:sz w:val="21"/>
                      <w:szCs w:val="21"/>
                      <w:highlight w:val="none"/>
                    </w:rPr>
                    <w:t>底部海拔高度/m</w:t>
                  </w:r>
                </w:p>
              </w:tc>
              <w:tc>
                <w:tcPr>
                  <w:tcW w:w="85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b/>
                      <w:bCs/>
                      <w:color w:val="auto"/>
                      <w:kern w:val="2"/>
                      <w:sz w:val="21"/>
                      <w:szCs w:val="21"/>
                      <w:highlight w:val="none"/>
                    </w:rPr>
                    <w:t>排气筒高度</w:t>
                  </w:r>
                  <w:r>
                    <w:rPr>
                      <w:rFonts w:hint="eastAsia" w:ascii="Times New Roman" w:hAnsi="Times New Roman" w:eastAsia="宋体" w:cs="Times New Roman"/>
                      <w:b/>
                      <w:bCs/>
                      <w:color w:val="auto"/>
                      <w:kern w:val="2"/>
                      <w:sz w:val="21"/>
                      <w:szCs w:val="21"/>
                      <w:highlight w:val="none"/>
                    </w:rPr>
                    <w:t>/</w:t>
                  </w:r>
                  <w:r>
                    <w:rPr>
                      <w:rFonts w:ascii="Times New Roman" w:hAnsi="Times New Roman" w:eastAsia="宋体" w:cs="Times New Roman"/>
                      <w:b/>
                      <w:bCs/>
                      <w:color w:val="auto"/>
                      <w:kern w:val="2"/>
                      <w:sz w:val="21"/>
                      <w:szCs w:val="21"/>
                      <w:highlight w:val="none"/>
                    </w:rPr>
                    <w:t>m</w:t>
                  </w:r>
                </w:p>
              </w:tc>
              <w:tc>
                <w:tcPr>
                  <w:tcW w:w="96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b/>
                      <w:bCs/>
                      <w:color w:val="auto"/>
                      <w:kern w:val="2"/>
                      <w:sz w:val="21"/>
                      <w:szCs w:val="21"/>
                      <w:highlight w:val="none"/>
                    </w:rPr>
                    <w:t>排气筒</w:t>
                  </w:r>
                  <w:r>
                    <w:rPr>
                      <w:rFonts w:hint="eastAsia" w:ascii="Times New Roman" w:hAnsi="Times New Roman" w:eastAsia="宋体" w:cs="Times New Roman"/>
                      <w:b/>
                      <w:bCs/>
                      <w:color w:val="auto"/>
                      <w:kern w:val="2"/>
                      <w:sz w:val="21"/>
                      <w:szCs w:val="21"/>
                      <w:highlight w:val="none"/>
                    </w:rPr>
                    <w:t>出口</w:t>
                  </w:r>
                  <w:r>
                    <w:rPr>
                      <w:rFonts w:ascii="Times New Roman" w:hAnsi="Times New Roman" w:eastAsia="宋体" w:cs="Times New Roman"/>
                      <w:b/>
                      <w:bCs/>
                      <w:color w:val="auto"/>
                      <w:kern w:val="2"/>
                      <w:sz w:val="21"/>
                      <w:szCs w:val="21"/>
                      <w:highlight w:val="none"/>
                    </w:rPr>
                    <w:t>内径</w:t>
                  </w:r>
                  <w:r>
                    <w:rPr>
                      <w:rFonts w:hint="eastAsia" w:ascii="Times New Roman" w:hAnsi="Times New Roman" w:eastAsia="宋体" w:cs="Times New Roman"/>
                      <w:b/>
                      <w:bCs/>
                      <w:color w:val="auto"/>
                      <w:kern w:val="2"/>
                      <w:sz w:val="21"/>
                      <w:szCs w:val="21"/>
                      <w:highlight w:val="none"/>
                    </w:rPr>
                    <w:t>/</w:t>
                  </w:r>
                  <w:r>
                    <w:rPr>
                      <w:rFonts w:ascii="Times New Roman" w:hAnsi="Times New Roman" w:eastAsia="宋体" w:cs="Times New Roman"/>
                      <w:b/>
                      <w:bCs/>
                      <w:color w:val="auto"/>
                      <w:kern w:val="2"/>
                      <w:sz w:val="21"/>
                      <w:szCs w:val="21"/>
                      <w:highlight w:val="none"/>
                    </w:rPr>
                    <w:t>m</w:t>
                  </w:r>
                </w:p>
              </w:tc>
              <w:tc>
                <w:tcPr>
                  <w:tcW w:w="90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烟气流速</w:t>
                  </w:r>
                </w:p>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/m/s</w:t>
                  </w:r>
                </w:p>
              </w:tc>
              <w:tc>
                <w:tcPr>
                  <w:tcW w:w="705"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烟气温度/</w:t>
                  </w:r>
                  <w:r>
                    <w:rPr>
                      <w:rFonts w:hint="eastAsia" w:ascii="宋体" w:hAnsi="宋体" w:eastAsia="宋体" w:cs="宋体"/>
                      <w:b/>
                      <w:color w:val="auto"/>
                      <w:kern w:val="2"/>
                      <w:sz w:val="21"/>
                      <w:szCs w:val="21"/>
                      <w:highlight w:val="none"/>
                    </w:rPr>
                    <w:t>℃</w:t>
                  </w:r>
                </w:p>
              </w:tc>
              <w:tc>
                <w:tcPr>
                  <w:tcW w:w="84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年排放小时数/h</w:t>
                  </w:r>
                </w:p>
              </w:tc>
              <w:tc>
                <w:tcPr>
                  <w:tcW w:w="72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排放工况</w:t>
                  </w:r>
                </w:p>
              </w:tc>
              <w:tc>
                <w:tcPr>
                  <w:tcW w:w="945"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排放速率</w:t>
                  </w:r>
                </w:p>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w:t>
                  </w:r>
                  <w:r>
                    <w:rPr>
                      <w:rFonts w:ascii="Times New Roman" w:hAnsi="Times New Roman" w:eastAsia="宋体" w:cs="Times New Roman"/>
                      <w:b/>
                      <w:color w:val="auto"/>
                      <w:kern w:val="2"/>
                      <w:sz w:val="21"/>
                      <w:szCs w:val="21"/>
                      <w:highlight w:val="none"/>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46"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765"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509"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X</w:t>
                  </w:r>
                </w:p>
              </w:tc>
              <w:tc>
                <w:tcPr>
                  <w:tcW w:w="572"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Y</w:t>
                  </w:r>
                </w:p>
              </w:tc>
              <w:tc>
                <w:tcPr>
                  <w:tcW w:w="884"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856"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96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90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705"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84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72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945"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646" w:type="dxa"/>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G1</w:t>
                  </w:r>
                </w:p>
              </w:tc>
              <w:tc>
                <w:tcPr>
                  <w:tcW w:w="76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509" w:type="dxa"/>
                  <w:tcBorders>
                    <w:tl2br w:val="nil"/>
                    <w:tr2bl w:val="nil"/>
                  </w:tcBorders>
                  <w:vAlign w:val="center"/>
                </w:tcPr>
                <w:p>
                  <w:pPr>
                    <w:widowControl/>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-27</w:t>
                  </w:r>
                </w:p>
              </w:tc>
              <w:tc>
                <w:tcPr>
                  <w:tcW w:w="572" w:type="dxa"/>
                  <w:tcBorders>
                    <w:tl2br w:val="nil"/>
                    <w:tr2bl w:val="nil"/>
                  </w:tcBorders>
                  <w:vAlign w:val="center"/>
                </w:tcPr>
                <w:p>
                  <w:pPr>
                    <w:widowControl/>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w:t>
                  </w:r>
                </w:p>
              </w:tc>
              <w:tc>
                <w:tcPr>
                  <w:tcW w:w="884"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仿宋_GB2312"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w:t>
                  </w:r>
                </w:p>
              </w:tc>
              <w:tc>
                <w:tcPr>
                  <w:tcW w:w="856" w:type="dxa"/>
                  <w:tcBorders>
                    <w:tl2br w:val="nil"/>
                    <w:tr2bl w:val="nil"/>
                  </w:tcBorders>
                  <w:vAlign w:val="center"/>
                </w:tcPr>
                <w:p>
                  <w:pPr>
                    <w:widowControl w:val="0"/>
                    <w:autoSpaceDE w:val="0"/>
                    <w:autoSpaceDN w:val="0"/>
                    <w:spacing w:after="0" w:line="240" w:lineRule="auto"/>
                    <w:jc w:val="center"/>
                    <w:rPr>
                      <w:rFonts w:ascii="Times New Roman" w:hAnsi="Times New Roman" w:eastAsia="仿宋_GB2312"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15</w:t>
                  </w:r>
                </w:p>
              </w:tc>
              <w:tc>
                <w:tcPr>
                  <w:tcW w:w="960"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仿宋_GB2312" w:cs="Times New Roman"/>
                      <w:color w:val="FF0000"/>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0.6</w:t>
                  </w:r>
                </w:p>
              </w:tc>
              <w:tc>
                <w:tcPr>
                  <w:tcW w:w="900"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18.7</w:t>
                  </w:r>
                </w:p>
              </w:tc>
              <w:tc>
                <w:tcPr>
                  <w:tcW w:w="705"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25</w:t>
                  </w:r>
                </w:p>
              </w:tc>
              <w:tc>
                <w:tcPr>
                  <w:tcW w:w="84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2400</w:t>
                  </w:r>
                </w:p>
              </w:tc>
              <w:tc>
                <w:tcPr>
                  <w:tcW w:w="72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正常</w:t>
                  </w:r>
                </w:p>
              </w:tc>
              <w:tc>
                <w:tcPr>
                  <w:tcW w:w="945"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46" w:type="dxa"/>
                  <w:vMerge w:val="restart"/>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eastAsia="宋体" w:cs="Times New Roman"/>
                      <w:color w:val="auto"/>
                      <w:kern w:val="2"/>
                      <w:sz w:val="21"/>
                      <w:szCs w:val="21"/>
                      <w:highlight w:val="none"/>
                    </w:rPr>
                    <w:t>2</w:t>
                  </w:r>
                </w:p>
              </w:tc>
              <w:tc>
                <w:tcPr>
                  <w:tcW w:w="765"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509" w:type="dxa"/>
                  <w:vMerge w:val="restart"/>
                  <w:tcBorders>
                    <w:tl2br w:val="nil"/>
                    <w:tr2bl w:val="nil"/>
                  </w:tcBorders>
                  <w:vAlign w:val="center"/>
                </w:tcPr>
                <w:p>
                  <w:pPr>
                    <w:widowControl/>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-35</w:t>
                  </w:r>
                </w:p>
              </w:tc>
              <w:tc>
                <w:tcPr>
                  <w:tcW w:w="572" w:type="dxa"/>
                  <w:vMerge w:val="restart"/>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5</w:t>
                  </w:r>
                </w:p>
              </w:tc>
              <w:tc>
                <w:tcPr>
                  <w:tcW w:w="884"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w:t>
                  </w:r>
                </w:p>
              </w:tc>
              <w:tc>
                <w:tcPr>
                  <w:tcW w:w="856"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15</w:t>
                  </w:r>
                </w:p>
              </w:tc>
              <w:tc>
                <w:tcPr>
                  <w:tcW w:w="960"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FF0000"/>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0.08</w:t>
                  </w:r>
                </w:p>
              </w:tc>
              <w:tc>
                <w:tcPr>
                  <w:tcW w:w="900"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15.7</w:t>
                  </w:r>
                </w:p>
              </w:tc>
              <w:tc>
                <w:tcPr>
                  <w:tcW w:w="705"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28</w:t>
                  </w:r>
                </w:p>
              </w:tc>
              <w:tc>
                <w:tcPr>
                  <w:tcW w:w="84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2400</w:t>
                  </w:r>
                </w:p>
              </w:tc>
              <w:tc>
                <w:tcPr>
                  <w:tcW w:w="72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正常</w:t>
                  </w:r>
                </w:p>
              </w:tc>
              <w:tc>
                <w:tcPr>
                  <w:tcW w:w="94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646"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p>
              </w:tc>
              <w:tc>
                <w:tcPr>
                  <w:tcW w:w="765"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509"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FF0000"/>
                      <w:kern w:val="2"/>
                      <w:sz w:val="21"/>
                      <w:szCs w:val="21"/>
                      <w:highlight w:val="none"/>
                    </w:rPr>
                  </w:pPr>
                </w:p>
              </w:tc>
              <w:tc>
                <w:tcPr>
                  <w:tcW w:w="572"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FF0000"/>
                      <w:kern w:val="2"/>
                      <w:sz w:val="21"/>
                      <w:szCs w:val="21"/>
                      <w:highlight w:val="none"/>
                    </w:rPr>
                  </w:pPr>
                </w:p>
              </w:tc>
              <w:tc>
                <w:tcPr>
                  <w:tcW w:w="884"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856"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96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90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705"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84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72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94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646"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p>
              </w:tc>
              <w:tc>
                <w:tcPr>
                  <w:tcW w:w="765"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TSP</w:t>
                  </w:r>
                </w:p>
              </w:tc>
              <w:tc>
                <w:tcPr>
                  <w:tcW w:w="509"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FF0000"/>
                      <w:kern w:val="2"/>
                      <w:sz w:val="21"/>
                      <w:szCs w:val="21"/>
                      <w:highlight w:val="none"/>
                    </w:rPr>
                  </w:pPr>
                </w:p>
              </w:tc>
              <w:tc>
                <w:tcPr>
                  <w:tcW w:w="572"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FF0000"/>
                      <w:kern w:val="2"/>
                      <w:sz w:val="21"/>
                      <w:szCs w:val="21"/>
                      <w:highlight w:val="none"/>
                    </w:rPr>
                  </w:pPr>
                </w:p>
              </w:tc>
              <w:tc>
                <w:tcPr>
                  <w:tcW w:w="884"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856"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96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FF0000"/>
                      <w:kern w:val="2"/>
                      <w:sz w:val="21"/>
                      <w:szCs w:val="21"/>
                      <w:highlight w:val="none"/>
                    </w:rPr>
                  </w:pPr>
                </w:p>
              </w:tc>
              <w:tc>
                <w:tcPr>
                  <w:tcW w:w="90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705"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84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72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94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46" w:type="dxa"/>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eastAsia="宋体" w:cs="Times New Roman"/>
                      <w:color w:val="auto"/>
                      <w:kern w:val="2"/>
                      <w:sz w:val="21"/>
                      <w:szCs w:val="21"/>
                      <w:highlight w:val="none"/>
                    </w:rPr>
                    <w:t>3</w:t>
                  </w:r>
                </w:p>
              </w:tc>
              <w:tc>
                <w:tcPr>
                  <w:tcW w:w="76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16"/>
                      <w:highlight w:val="none"/>
                    </w:rPr>
                    <w:t>PM</w:t>
                  </w:r>
                  <w:r>
                    <w:rPr>
                      <w:rFonts w:hint="eastAsia" w:ascii="Times New Roman" w:hAnsi="Times New Roman" w:eastAsia="宋体" w:cs="Times New Roman"/>
                      <w:color w:val="auto"/>
                      <w:kern w:val="2"/>
                      <w:sz w:val="21"/>
                      <w:szCs w:val="16"/>
                      <w:highlight w:val="none"/>
                      <w:vertAlign w:val="subscript"/>
                    </w:rPr>
                    <w:t>10</w:t>
                  </w:r>
                </w:p>
              </w:tc>
              <w:tc>
                <w:tcPr>
                  <w:tcW w:w="509" w:type="dxa"/>
                  <w:tcBorders>
                    <w:tl2br w:val="nil"/>
                    <w:tr2bl w:val="nil"/>
                  </w:tcBorders>
                  <w:vAlign w:val="center"/>
                </w:tcPr>
                <w:p>
                  <w:pPr>
                    <w:widowControl/>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-22</w:t>
                  </w:r>
                </w:p>
              </w:tc>
              <w:tc>
                <w:tcPr>
                  <w:tcW w:w="572" w:type="dxa"/>
                  <w:tcBorders>
                    <w:tl2br w:val="nil"/>
                    <w:tr2bl w:val="nil"/>
                  </w:tcBorders>
                  <w:vAlign w:val="center"/>
                </w:tcPr>
                <w:p>
                  <w:pPr>
                    <w:widowControl/>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-9</w:t>
                  </w:r>
                </w:p>
              </w:tc>
              <w:tc>
                <w:tcPr>
                  <w:tcW w:w="884"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w:t>
                  </w:r>
                </w:p>
              </w:tc>
              <w:tc>
                <w:tcPr>
                  <w:tcW w:w="856"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15</w:t>
                  </w:r>
                </w:p>
              </w:tc>
              <w:tc>
                <w:tcPr>
                  <w:tcW w:w="960"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FF0000"/>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0.6</w:t>
                  </w:r>
                </w:p>
              </w:tc>
              <w:tc>
                <w:tcPr>
                  <w:tcW w:w="900"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13.8</w:t>
                  </w:r>
                </w:p>
              </w:tc>
              <w:tc>
                <w:tcPr>
                  <w:tcW w:w="705"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25</w:t>
                  </w:r>
                </w:p>
              </w:tc>
              <w:tc>
                <w:tcPr>
                  <w:tcW w:w="84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2400</w:t>
                  </w:r>
                </w:p>
              </w:tc>
              <w:tc>
                <w:tcPr>
                  <w:tcW w:w="72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正常</w:t>
                  </w:r>
                </w:p>
              </w:tc>
              <w:tc>
                <w:tcPr>
                  <w:tcW w:w="945"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0.001</w:t>
                  </w:r>
                </w:p>
              </w:tc>
            </w:tr>
          </w:tbl>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本项目面源参数表</w:t>
            </w:r>
          </w:p>
          <w:tbl>
            <w:tblPr>
              <w:tblStyle w:val="43"/>
              <w:tblW w:w="92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915"/>
              <w:gridCol w:w="525"/>
              <w:gridCol w:w="466"/>
              <w:gridCol w:w="1061"/>
              <w:gridCol w:w="904"/>
              <w:gridCol w:w="860"/>
              <w:gridCol w:w="675"/>
              <w:gridCol w:w="865"/>
              <w:gridCol w:w="900"/>
              <w:gridCol w:w="76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blHeader/>
                <w:jc w:val="center"/>
              </w:trPr>
              <w:tc>
                <w:tcPr>
                  <w:tcW w:w="440"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污染源</w:t>
                  </w:r>
                </w:p>
              </w:tc>
              <w:tc>
                <w:tcPr>
                  <w:tcW w:w="91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991" w:type="dxa"/>
                  <w:gridSpan w:val="2"/>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面源起点坐标/m</w:t>
                  </w:r>
                </w:p>
              </w:tc>
              <w:tc>
                <w:tcPr>
                  <w:tcW w:w="1061"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面源海拔高度/m</w:t>
                  </w:r>
                </w:p>
              </w:tc>
              <w:tc>
                <w:tcPr>
                  <w:tcW w:w="904"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面源长度/m</w:t>
                  </w:r>
                </w:p>
              </w:tc>
              <w:tc>
                <w:tcPr>
                  <w:tcW w:w="860"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面源宽度/m</w:t>
                  </w:r>
                </w:p>
              </w:tc>
              <w:tc>
                <w:tcPr>
                  <w:tcW w:w="67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与正北向夹角/</w:t>
                  </w:r>
                  <w:r>
                    <w:rPr>
                      <w:rFonts w:ascii="Times New Roman" w:hAnsi="Times New Roman" w:eastAsia="宋体" w:cs="Times New Roman"/>
                      <w:b/>
                      <w:color w:val="auto"/>
                      <w:kern w:val="2"/>
                      <w:sz w:val="21"/>
                      <w:szCs w:val="21"/>
                      <w:highlight w:val="none"/>
                    </w:rPr>
                    <w:t>°</w:t>
                  </w:r>
                </w:p>
              </w:tc>
              <w:tc>
                <w:tcPr>
                  <w:tcW w:w="86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color w:val="auto"/>
                      <w:kern w:val="2"/>
                      <w:sz w:val="21"/>
                      <w:szCs w:val="21"/>
                      <w:highlight w:val="none"/>
                    </w:rPr>
                    <w:t>面源</w:t>
                  </w:r>
                  <w:r>
                    <w:rPr>
                      <w:rFonts w:hint="eastAsia" w:ascii="Times New Roman" w:hAnsi="Times New Roman" w:eastAsia="宋体" w:cs="Times New Roman"/>
                      <w:b/>
                      <w:color w:val="auto"/>
                      <w:kern w:val="2"/>
                      <w:sz w:val="21"/>
                      <w:szCs w:val="21"/>
                      <w:highlight w:val="none"/>
                    </w:rPr>
                    <w:t>有效排放</w:t>
                  </w:r>
                  <w:r>
                    <w:rPr>
                      <w:rFonts w:ascii="Times New Roman" w:hAnsi="Times New Roman" w:eastAsia="宋体" w:cs="Times New Roman"/>
                      <w:b/>
                      <w:color w:val="auto"/>
                      <w:kern w:val="2"/>
                      <w:sz w:val="21"/>
                      <w:szCs w:val="21"/>
                      <w:highlight w:val="none"/>
                    </w:rPr>
                    <w:t>高度/m</w:t>
                  </w:r>
                </w:p>
              </w:tc>
              <w:tc>
                <w:tcPr>
                  <w:tcW w:w="900"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年排放小时数/h</w:t>
                  </w:r>
                </w:p>
              </w:tc>
              <w:tc>
                <w:tcPr>
                  <w:tcW w:w="76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hint="eastAsia" w:ascii="Times New Roman" w:hAnsi="Times New Roman" w:eastAsia="宋体" w:cs="Times New Roman"/>
                      <w:b/>
                      <w:color w:val="auto"/>
                      <w:kern w:val="2"/>
                      <w:sz w:val="21"/>
                      <w:szCs w:val="21"/>
                      <w:highlight w:val="none"/>
                    </w:rPr>
                    <w:t>排放工况</w:t>
                  </w:r>
                </w:p>
              </w:tc>
              <w:tc>
                <w:tcPr>
                  <w:tcW w:w="82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排放源强kg/h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40"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p>
              </w:tc>
              <w:tc>
                <w:tcPr>
                  <w:tcW w:w="91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p>
              </w:tc>
              <w:tc>
                <w:tcPr>
                  <w:tcW w:w="525"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X</w:t>
                  </w:r>
                </w:p>
              </w:tc>
              <w:tc>
                <w:tcPr>
                  <w:tcW w:w="466"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Y</w:t>
                  </w:r>
                </w:p>
              </w:tc>
              <w:tc>
                <w:tcPr>
                  <w:tcW w:w="1061"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p>
              </w:tc>
              <w:tc>
                <w:tcPr>
                  <w:tcW w:w="904"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c>
                <w:tcPr>
                  <w:tcW w:w="860"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c>
                <w:tcPr>
                  <w:tcW w:w="67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c>
                <w:tcPr>
                  <w:tcW w:w="900"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c>
                <w:tcPr>
                  <w:tcW w:w="7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c>
                <w:tcPr>
                  <w:tcW w:w="82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40" w:type="dxa"/>
                  <w:vMerge w:val="restart"/>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color w:val="auto"/>
                      <w:kern w:val="2"/>
                      <w:sz w:val="21"/>
                      <w:szCs w:val="21"/>
                      <w:highlight w:val="none"/>
                    </w:rPr>
                    <w:t>生产车间</w:t>
                  </w:r>
                </w:p>
              </w:tc>
              <w:tc>
                <w:tcPr>
                  <w:tcW w:w="915" w:type="dxa"/>
                  <w:tcBorders>
                    <w:tl2br w:val="nil"/>
                    <w:tr2bl w:val="nil"/>
                  </w:tcBorders>
                  <w:vAlign w:val="center"/>
                </w:tcPr>
                <w:p>
                  <w:pPr>
                    <w:widowControl w:val="0"/>
                    <w:autoSpaceDE w:val="0"/>
                    <w:autoSpaceDN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非甲烷总烃</w:t>
                  </w:r>
                </w:p>
              </w:tc>
              <w:tc>
                <w:tcPr>
                  <w:tcW w:w="525"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-35</w:t>
                  </w:r>
                </w:p>
              </w:tc>
              <w:tc>
                <w:tcPr>
                  <w:tcW w:w="466" w:type="dxa"/>
                  <w:tcBorders>
                    <w:tl2br w:val="nil"/>
                    <w:tr2bl w:val="nil"/>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5</w:t>
                  </w:r>
                </w:p>
              </w:tc>
              <w:tc>
                <w:tcPr>
                  <w:tcW w:w="1061" w:type="dxa"/>
                  <w:vMerge w:val="restart"/>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w:t>
                  </w:r>
                </w:p>
              </w:tc>
              <w:tc>
                <w:tcPr>
                  <w:tcW w:w="904"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60</w:t>
                  </w:r>
                </w:p>
              </w:tc>
              <w:tc>
                <w:tcPr>
                  <w:tcW w:w="860"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28.3</w:t>
                  </w:r>
                </w:p>
              </w:tc>
              <w:tc>
                <w:tcPr>
                  <w:tcW w:w="675" w:type="dxa"/>
                  <w:vMerge w:val="restart"/>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44.4</w:t>
                  </w:r>
                </w:p>
              </w:tc>
              <w:tc>
                <w:tcPr>
                  <w:tcW w:w="865" w:type="dxa"/>
                  <w:vMerge w:val="restart"/>
                  <w:tcBorders>
                    <w:tl2br w:val="nil"/>
                    <w:tr2bl w:val="nil"/>
                  </w:tcBorders>
                  <w:vAlign w:val="center"/>
                </w:tcPr>
                <w:p>
                  <w:pPr>
                    <w:widowControl w:val="0"/>
                    <w:spacing w:after="0" w:line="240" w:lineRule="auto"/>
                    <w:jc w:val="center"/>
                    <w:rPr>
                      <w:rFonts w:hint="eastAsia" w:ascii="Times New Roman" w:hAnsi="Times New Roman" w:eastAsia="仿宋_GB2312" w:cs="Times New Roman"/>
                      <w:color w:val="auto"/>
                      <w:kern w:val="2"/>
                      <w:sz w:val="21"/>
                      <w:szCs w:val="24"/>
                      <w:highlight w:val="none"/>
                      <w:lang w:eastAsia="zh-CN"/>
                    </w:rPr>
                  </w:pPr>
                  <w:r>
                    <w:rPr>
                      <w:rFonts w:hint="eastAsia" w:ascii="Times New Roman" w:hAnsi="Times New Roman" w:eastAsia="宋体" w:cs="Times New Roman"/>
                      <w:color w:val="auto"/>
                      <w:kern w:val="2"/>
                      <w:sz w:val="21"/>
                      <w:szCs w:val="21"/>
                      <w:highlight w:val="none"/>
                      <w:lang w:val="en-US" w:eastAsia="zh-CN"/>
                    </w:rPr>
                    <w:t>4</w:t>
                  </w:r>
                </w:p>
              </w:tc>
              <w:tc>
                <w:tcPr>
                  <w:tcW w:w="90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2400</w:t>
                  </w:r>
                </w:p>
              </w:tc>
              <w:tc>
                <w:tcPr>
                  <w:tcW w:w="765"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正常</w:t>
                  </w:r>
                </w:p>
              </w:tc>
              <w:tc>
                <w:tcPr>
                  <w:tcW w:w="825"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0"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p>
              </w:tc>
              <w:tc>
                <w:tcPr>
                  <w:tcW w:w="915" w:type="dxa"/>
                  <w:tcBorders>
                    <w:tl2br w:val="nil"/>
                    <w:tr2bl w:val="nil"/>
                  </w:tcBorders>
                  <w:vAlign w:val="center"/>
                </w:tcPr>
                <w:p>
                  <w:pPr>
                    <w:widowControl w:val="0"/>
                    <w:autoSpaceDE w:val="0"/>
                    <w:autoSpaceDN w:val="0"/>
                    <w:spacing w:after="0" w:line="240" w:lineRule="auto"/>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TSP</w:t>
                  </w:r>
                </w:p>
              </w:tc>
              <w:tc>
                <w:tcPr>
                  <w:tcW w:w="525"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-36</w:t>
                  </w:r>
                </w:p>
              </w:tc>
              <w:tc>
                <w:tcPr>
                  <w:tcW w:w="466" w:type="dxa"/>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5</w:t>
                  </w:r>
                </w:p>
              </w:tc>
              <w:tc>
                <w:tcPr>
                  <w:tcW w:w="1061"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c>
                <w:tcPr>
                  <w:tcW w:w="904"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c>
                <w:tcPr>
                  <w:tcW w:w="860" w:type="dxa"/>
                  <w:vMerge w:val="continue"/>
                  <w:tcBorders>
                    <w:tl2br w:val="nil"/>
                    <w:tr2bl w:val="nil"/>
                  </w:tcBorders>
                  <w:vAlign w:val="center"/>
                </w:tcPr>
                <w:p>
                  <w:pPr>
                    <w:widowControl w:val="0"/>
                    <w:tabs>
                      <w:tab w:val="left" w:pos="-2848"/>
                    </w:tabs>
                    <w:jc w:val="center"/>
                    <w:rPr>
                      <w:rFonts w:ascii="Times New Roman" w:hAnsi="Times New Roman" w:eastAsia="宋体" w:cs="Times New Roman"/>
                      <w:color w:val="FF0000"/>
                      <w:kern w:val="44"/>
                      <w:sz w:val="21"/>
                      <w:szCs w:val="21"/>
                      <w:highlight w:val="none"/>
                      <w:lang w:val="en-US" w:eastAsia="zh-CN" w:bidi="ar-SA"/>
                    </w:rPr>
                  </w:pPr>
                </w:p>
              </w:tc>
              <w:tc>
                <w:tcPr>
                  <w:tcW w:w="67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90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765"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highlight w:val="none"/>
                    </w:rPr>
                  </w:pPr>
                </w:p>
              </w:tc>
              <w:tc>
                <w:tcPr>
                  <w:tcW w:w="825"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0.042</w:t>
                  </w:r>
                </w:p>
              </w:tc>
            </w:tr>
          </w:tbl>
          <w:p>
            <w:pPr>
              <w:widowControl/>
              <w:tabs>
                <w:tab w:val="left" w:pos="420"/>
              </w:tabs>
              <w:adjustRightInd w:val="0"/>
              <w:snapToGrid w:val="0"/>
              <w:spacing w:line="240" w:lineRule="auto"/>
              <w:ind w:left="471" w:firstLine="0"/>
              <w:jc w:val="both"/>
              <w:rPr>
                <w:rFonts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说明：面源有效排放高度以车间窗户离地面的高度来取值。</w:t>
            </w:r>
          </w:p>
          <w:p>
            <w:pPr>
              <w:widowControl/>
              <w:tabs>
                <w:tab w:val="left" w:pos="360"/>
                <w:tab w:val="left" w:pos="420"/>
              </w:tabs>
              <w:adjustRightInd w:val="0"/>
              <w:snapToGrid w:val="0"/>
              <w:spacing w:after="0" w:line="240" w:lineRule="auto"/>
              <w:ind w:left="471"/>
              <w:jc w:val="both"/>
              <w:rPr>
                <w:rFonts w:ascii="Times New Roman" w:hAnsi="Times New Roman" w:eastAsia="宋体" w:cs="Times New Roman"/>
                <w:color w:val="FF0000"/>
                <w:kern w:val="0"/>
                <w:sz w:val="24"/>
                <w:szCs w:val="20"/>
                <w:highlight w:val="none"/>
              </w:rPr>
            </w:pPr>
            <w:r>
              <w:rPr>
                <w:rFonts w:ascii="Times New Roman" w:hAnsi="Times New Roman" w:eastAsia="宋体" w:cs="Times New Roman"/>
                <w:color w:val="auto"/>
                <w:kern w:val="0"/>
                <w:sz w:val="24"/>
                <w:szCs w:val="20"/>
                <w:highlight w:val="none"/>
              </w:rPr>
              <w:t>本项目筛选气象、筛选方案</w:t>
            </w:r>
            <w:r>
              <w:rPr>
                <w:rFonts w:hint="eastAsia" w:ascii="Times New Roman" w:hAnsi="Times New Roman" w:eastAsia="宋体" w:cs="Times New Roman"/>
                <w:color w:val="auto"/>
                <w:kern w:val="0"/>
                <w:sz w:val="24"/>
                <w:szCs w:val="20"/>
                <w:highlight w:val="none"/>
              </w:rPr>
              <w:t>参数</w:t>
            </w:r>
            <w:r>
              <w:rPr>
                <w:rFonts w:ascii="Times New Roman" w:hAnsi="Times New Roman" w:eastAsia="宋体" w:cs="Times New Roman"/>
                <w:color w:val="auto"/>
                <w:kern w:val="0"/>
                <w:sz w:val="24"/>
                <w:szCs w:val="20"/>
                <w:highlight w:val="none"/>
              </w:rPr>
              <w:t>输入截图</w:t>
            </w:r>
            <w:r>
              <w:rPr>
                <w:rFonts w:hint="eastAsia" w:ascii="Times New Roman" w:hAnsi="Times New Roman" w:eastAsia="宋体" w:cs="Times New Roman"/>
                <w:color w:val="auto"/>
                <w:kern w:val="0"/>
                <w:sz w:val="24"/>
                <w:szCs w:val="20"/>
                <w:highlight w:val="none"/>
              </w:rPr>
              <w:t>如下：</w:t>
            </w:r>
          </w:p>
          <w:p>
            <w:pPr>
              <w:widowControl/>
              <w:tabs>
                <w:tab w:val="left" w:pos="420"/>
              </w:tabs>
              <w:adjustRightInd w:val="0"/>
              <w:snapToGrid w:val="0"/>
              <w:spacing w:line="240" w:lineRule="auto"/>
              <w:ind w:left="471" w:firstLine="0"/>
              <w:jc w:val="center"/>
              <w:rPr>
                <w:rFonts w:ascii="Times New Roman" w:hAnsi="Times New Roman" w:eastAsia="宋体" w:cs="Times New Roman"/>
                <w:color w:val="FF0000"/>
                <w:kern w:val="0"/>
                <w:sz w:val="24"/>
                <w:szCs w:val="20"/>
                <w:highlight w:val="none"/>
                <w:lang w:val="en-US" w:eastAsia="zh-CN" w:bidi="ar-SA"/>
              </w:rPr>
            </w:pPr>
            <w:r>
              <w:drawing>
                <wp:inline distT="0" distB="0" distL="114300" distR="114300">
                  <wp:extent cx="4083050" cy="3396615"/>
                  <wp:effectExtent l="9525" t="9525" r="22225" b="2286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2"/>
                          <a:stretch>
                            <a:fillRect/>
                          </a:stretch>
                        </pic:blipFill>
                        <pic:spPr>
                          <a:xfrm>
                            <a:off x="0" y="0"/>
                            <a:ext cx="4083050" cy="3396615"/>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图1 项目</w:t>
            </w:r>
            <w:r>
              <w:rPr>
                <w:rFonts w:ascii="Times New Roman" w:hAnsi="Times New Roman" w:eastAsia="宋体" w:cs="Times New Roman"/>
                <w:b/>
                <w:bCs/>
                <w:color w:val="auto"/>
                <w:kern w:val="0"/>
                <w:sz w:val="21"/>
                <w:szCs w:val="21"/>
                <w:highlight w:val="none"/>
                <w:lang w:val="en-US" w:eastAsia="zh-CN" w:bidi="ar-SA"/>
              </w:rPr>
              <w:t>筛选气象</w:t>
            </w:r>
            <w:r>
              <w:rPr>
                <w:rFonts w:hint="eastAsia" w:ascii="Times New Roman" w:hAnsi="Times New Roman" w:eastAsia="宋体" w:cs="Times New Roman"/>
                <w:b/>
                <w:bCs/>
                <w:color w:val="auto"/>
                <w:kern w:val="0"/>
                <w:sz w:val="21"/>
                <w:szCs w:val="21"/>
                <w:highlight w:val="none"/>
                <w:lang w:val="en-US" w:eastAsia="zh-CN" w:bidi="ar-SA"/>
              </w:rPr>
              <w:t>截图</w:t>
            </w:r>
          </w:p>
          <w:p>
            <w:pPr>
              <w:widowControl/>
              <w:tabs>
                <w:tab w:val="left" w:pos="420"/>
              </w:tabs>
              <w:adjustRightInd w:val="0"/>
              <w:snapToGrid w:val="0"/>
              <w:spacing w:line="240" w:lineRule="auto"/>
              <w:ind w:left="471" w:firstLine="0"/>
              <w:jc w:val="center"/>
            </w:pPr>
            <w:r>
              <w:drawing>
                <wp:inline distT="0" distB="0" distL="114300" distR="114300">
                  <wp:extent cx="4534535" cy="3970655"/>
                  <wp:effectExtent l="9525" t="9525" r="27940" b="2032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23"/>
                          <a:stretch>
                            <a:fillRect/>
                          </a:stretch>
                        </pic:blipFill>
                        <pic:spPr>
                          <a:xfrm>
                            <a:off x="0" y="0"/>
                            <a:ext cx="4534535" cy="3970655"/>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图2 项目红冲、抛光废气点源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方案截图</w:t>
            </w:r>
          </w:p>
          <w:p>
            <w:pPr>
              <w:widowControl/>
              <w:tabs>
                <w:tab w:val="left" w:pos="420"/>
              </w:tabs>
              <w:adjustRightInd w:val="0"/>
              <w:snapToGrid w:val="0"/>
              <w:spacing w:line="240" w:lineRule="auto"/>
              <w:ind w:left="471" w:firstLine="0"/>
              <w:jc w:val="center"/>
              <w:rPr>
                <w:rFonts w:ascii="Times New Roman" w:hAnsi="Times New Roman" w:eastAsia="黑体" w:cs="宋体"/>
                <w:color w:val="FF0000"/>
                <w:kern w:val="0"/>
                <w:sz w:val="24"/>
                <w:szCs w:val="20"/>
                <w:highlight w:val="none"/>
                <w:lang w:val="en-US" w:eastAsia="zh-CN" w:bidi="ar-SA"/>
              </w:rPr>
            </w:pPr>
            <w:r>
              <w:drawing>
                <wp:inline distT="0" distB="0" distL="114300" distR="114300">
                  <wp:extent cx="4441825" cy="3828415"/>
                  <wp:effectExtent l="9525" t="9525" r="25400" b="1016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4"/>
                          <a:stretch>
                            <a:fillRect/>
                          </a:stretch>
                        </pic:blipFill>
                        <pic:spPr>
                          <a:xfrm>
                            <a:off x="0" y="0"/>
                            <a:ext cx="4441825" cy="3828415"/>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图3 项目燃料废气点源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方案截图</w:t>
            </w:r>
          </w:p>
          <w:p>
            <w:pPr>
              <w:widowControl/>
              <w:tabs>
                <w:tab w:val="left" w:pos="420"/>
              </w:tabs>
              <w:adjustRightInd w:val="0"/>
              <w:snapToGrid w:val="0"/>
              <w:spacing w:line="240" w:lineRule="auto"/>
              <w:ind w:left="471" w:firstLine="0"/>
              <w:jc w:val="center"/>
              <w:rPr>
                <w:rFonts w:ascii="Times New Roman" w:hAnsi="Times New Roman" w:eastAsia="黑体" w:cs="宋体"/>
                <w:color w:val="FF0000"/>
                <w:kern w:val="0"/>
                <w:sz w:val="24"/>
                <w:szCs w:val="20"/>
                <w:highlight w:val="none"/>
                <w:lang w:val="en-US" w:eastAsia="zh-CN" w:bidi="ar-SA"/>
              </w:rPr>
            </w:pPr>
            <w:r>
              <w:drawing>
                <wp:inline distT="0" distB="0" distL="114300" distR="114300">
                  <wp:extent cx="4591050" cy="3987800"/>
                  <wp:effectExtent l="9525" t="9525" r="9525" b="2222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25"/>
                          <a:stretch>
                            <a:fillRect/>
                          </a:stretch>
                        </pic:blipFill>
                        <pic:spPr>
                          <a:xfrm>
                            <a:off x="0" y="0"/>
                            <a:ext cx="4591050" cy="3987800"/>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图4 项目面源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方案截图</w:t>
            </w:r>
          </w:p>
          <w:p>
            <w:pPr>
              <w:widowControl/>
              <w:tabs>
                <w:tab w:val="left" w:pos="420"/>
              </w:tabs>
              <w:adjustRightInd w:val="0"/>
              <w:snapToGrid w:val="0"/>
              <w:spacing w:line="240" w:lineRule="auto"/>
              <w:ind w:left="471" w:firstLine="0"/>
              <w:jc w:val="both"/>
              <w:rPr>
                <w:rStyle w:val="50"/>
                <w:rFonts w:ascii="Times New Roman" w:hAnsi="Times New Roman" w:eastAsia="宋体" w:cs="Times New Roman"/>
                <w:color w:val="auto"/>
                <w:kern w:val="2"/>
                <w:sz w:val="24"/>
                <w:szCs w:val="20"/>
                <w:highlight w:val="none"/>
                <w:lang w:val="en-US" w:eastAsia="zh-CN" w:bidi="ar-SA"/>
              </w:rPr>
            </w:pPr>
            <w:r>
              <w:rPr>
                <w:rFonts w:ascii="Times New Roman" w:hAnsi="Times New Roman" w:eastAsia="宋体" w:cs="Times New Roman"/>
                <w:color w:val="auto"/>
                <w:kern w:val="0"/>
                <w:sz w:val="24"/>
                <w:szCs w:val="20"/>
                <w:highlight w:val="none"/>
                <w:lang w:val="en-US" w:eastAsia="zh-CN" w:bidi="ar-SA"/>
              </w:rPr>
              <w:t>本项目主要污染物估算模式计算结果</w:t>
            </w:r>
            <w:r>
              <w:rPr>
                <w:rFonts w:hint="eastAsia" w:ascii="Times New Roman" w:hAnsi="Times New Roman" w:eastAsia="宋体" w:cs="Times New Roman"/>
                <w:color w:val="auto"/>
                <w:kern w:val="0"/>
                <w:sz w:val="24"/>
                <w:szCs w:val="20"/>
                <w:highlight w:val="none"/>
                <w:lang w:val="en-US" w:eastAsia="zh-CN" w:bidi="ar-SA"/>
              </w:rPr>
              <w:t>如下：</w:t>
            </w:r>
          </w:p>
          <w:p>
            <w:pPr>
              <w:widowControl/>
              <w:tabs>
                <w:tab w:val="left" w:pos="420"/>
              </w:tabs>
              <w:adjustRightInd w:val="0"/>
              <w:snapToGrid w:val="0"/>
              <w:spacing w:line="240" w:lineRule="auto"/>
              <w:ind w:left="471" w:firstLine="0"/>
              <w:jc w:val="center"/>
              <w:rPr>
                <w:rFonts w:ascii="Times New Roman" w:hAnsi="Times New Roman" w:eastAsia="黑体" w:cs="宋体"/>
                <w:color w:val="FF0000"/>
                <w:kern w:val="0"/>
                <w:sz w:val="24"/>
                <w:szCs w:val="20"/>
                <w:highlight w:val="none"/>
                <w:lang w:val="en-US" w:eastAsia="zh-CN" w:bidi="ar-SA"/>
              </w:rPr>
            </w:pPr>
            <w:r>
              <w:drawing>
                <wp:inline distT="0" distB="0" distL="114300" distR="114300">
                  <wp:extent cx="4590415" cy="3468370"/>
                  <wp:effectExtent l="9525" t="9525" r="10160" b="2730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26"/>
                          <a:stretch>
                            <a:fillRect/>
                          </a:stretch>
                        </pic:blipFill>
                        <pic:spPr>
                          <a:xfrm>
                            <a:off x="0" y="0"/>
                            <a:ext cx="4590415" cy="3468370"/>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图5 项目红冲、抛光废气点源筛选结果截图（1小时浓度占标率）</w:t>
            </w:r>
          </w:p>
          <w:p>
            <w:pPr>
              <w:widowControl/>
              <w:tabs>
                <w:tab w:val="left" w:pos="420"/>
              </w:tabs>
              <w:adjustRightInd w:val="0"/>
              <w:snapToGrid w:val="0"/>
              <w:spacing w:line="360" w:lineRule="auto"/>
              <w:ind w:left="471" w:firstLine="0"/>
              <w:jc w:val="center"/>
              <w:rPr>
                <w:rFonts w:ascii="Times New Roman" w:hAnsi="Times New Roman" w:eastAsia="黑体" w:cs="宋体"/>
                <w:color w:val="FF0000"/>
                <w:kern w:val="0"/>
                <w:sz w:val="24"/>
                <w:szCs w:val="20"/>
                <w:highlight w:val="none"/>
                <w:lang w:val="en-US" w:eastAsia="zh-CN" w:bidi="ar-SA"/>
              </w:rPr>
            </w:pPr>
            <w:r>
              <w:drawing>
                <wp:inline distT="0" distB="0" distL="114300" distR="114300">
                  <wp:extent cx="5356860" cy="3990975"/>
                  <wp:effectExtent l="0" t="0" r="15240" b="952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27"/>
                          <a:stretch>
                            <a:fillRect/>
                          </a:stretch>
                        </pic:blipFill>
                        <pic:spPr>
                          <a:xfrm>
                            <a:off x="0" y="0"/>
                            <a:ext cx="5356860" cy="3990975"/>
                          </a:xfrm>
                          <a:prstGeom prst="rect">
                            <a:avLst/>
                          </a:prstGeom>
                          <a:noFill/>
                          <a:ln>
                            <a:noFill/>
                          </a:ln>
                        </pic:spPr>
                      </pic:pic>
                    </a:graphicData>
                  </a:graphic>
                </wp:inline>
              </w:drawing>
            </w:r>
          </w:p>
          <w:p>
            <w:pPr>
              <w:widowControl/>
              <w:tabs>
                <w:tab w:val="left" w:pos="420"/>
              </w:tabs>
              <w:adjustRightInd w:val="0"/>
              <w:snapToGrid w:val="0"/>
              <w:spacing w:line="360" w:lineRule="auto"/>
              <w:ind w:left="471" w:firstLine="0"/>
              <w:jc w:val="center"/>
              <w:rPr>
                <w:rFonts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图6 项目红冲、抛光废气点源筛选结果截图（1小时浓度）</w:t>
            </w:r>
          </w:p>
          <w:p>
            <w:pPr>
              <w:widowControl/>
              <w:tabs>
                <w:tab w:val="left" w:pos="420"/>
              </w:tabs>
              <w:adjustRightInd w:val="0"/>
              <w:snapToGrid w:val="0"/>
              <w:spacing w:line="360" w:lineRule="auto"/>
              <w:ind w:left="471" w:firstLine="0"/>
              <w:jc w:val="center"/>
              <w:rPr>
                <w:rFonts w:ascii="Times New Roman" w:hAnsi="Times New Roman" w:eastAsia="黑体" w:cs="宋体"/>
                <w:color w:val="FF0000"/>
                <w:kern w:val="0"/>
                <w:sz w:val="24"/>
                <w:szCs w:val="20"/>
                <w:highlight w:val="none"/>
                <w:lang w:val="en-US" w:eastAsia="zh-CN" w:bidi="ar-SA"/>
              </w:rPr>
            </w:pPr>
            <w:r>
              <w:drawing>
                <wp:inline distT="0" distB="0" distL="114300" distR="114300">
                  <wp:extent cx="5360670" cy="3557905"/>
                  <wp:effectExtent l="9525" t="9525" r="20955" b="1397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28"/>
                          <a:stretch>
                            <a:fillRect/>
                          </a:stretch>
                        </pic:blipFill>
                        <pic:spPr>
                          <a:xfrm>
                            <a:off x="0" y="0"/>
                            <a:ext cx="5360670" cy="3557905"/>
                          </a:xfrm>
                          <a:prstGeom prst="rect">
                            <a:avLst/>
                          </a:prstGeom>
                          <a:noFill/>
                          <a:ln>
                            <a:solidFill>
                              <a:schemeClr val="tx1"/>
                            </a:solidFill>
                          </a:ln>
                        </pic:spPr>
                      </pic:pic>
                    </a:graphicData>
                  </a:graphic>
                </wp:inline>
              </w:drawing>
            </w:r>
          </w:p>
          <w:p>
            <w:pPr>
              <w:widowControl/>
              <w:tabs>
                <w:tab w:val="left" w:pos="420"/>
              </w:tabs>
              <w:adjustRightInd w:val="0"/>
              <w:snapToGrid w:val="0"/>
              <w:ind w:left="471" w:firstLine="0"/>
              <w:jc w:val="center"/>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图7 项目燃料废气点源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结果截图（1小时浓度占标率）</w:t>
            </w:r>
          </w:p>
          <w:p>
            <w:pPr>
              <w:widowControl/>
              <w:tabs>
                <w:tab w:val="left" w:pos="420"/>
              </w:tabs>
              <w:adjustRightInd w:val="0"/>
              <w:snapToGrid w:val="0"/>
              <w:ind w:left="471" w:firstLine="0"/>
              <w:jc w:val="center"/>
              <w:rPr>
                <w:rFonts w:hint="eastAsia" w:ascii="Times New Roman" w:hAnsi="Times New Roman" w:eastAsia="宋体" w:cs="Times New Roman"/>
                <w:b/>
                <w:bCs/>
                <w:color w:val="auto"/>
                <w:kern w:val="0"/>
                <w:sz w:val="21"/>
                <w:szCs w:val="21"/>
                <w:highlight w:val="none"/>
                <w:lang w:val="en-US" w:eastAsia="zh-CN" w:bidi="ar-SA"/>
              </w:rPr>
            </w:pPr>
          </w:p>
          <w:p>
            <w:pPr>
              <w:widowControl/>
              <w:tabs>
                <w:tab w:val="left" w:pos="420"/>
              </w:tabs>
              <w:adjustRightInd w:val="0"/>
              <w:snapToGrid w:val="0"/>
              <w:spacing w:line="240" w:lineRule="auto"/>
              <w:ind w:left="471" w:firstLine="0"/>
              <w:jc w:val="center"/>
              <w:rPr>
                <w:rFonts w:ascii="Times New Roman" w:hAnsi="Times New Roman" w:eastAsia="黑体" w:cs="宋体"/>
                <w:color w:val="FF0000"/>
                <w:kern w:val="0"/>
                <w:sz w:val="24"/>
                <w:szCs w:val="20"/>
                <w:highlight w:val="none"/>
                <w:lang w:val="en-US" w:eastAsia="zh-CN" w:bidi="ar-SA"/>
              </w:rPr>
            </w:pPr>
            <w:r>
              <w:drawing>
                <wp:inline distT="0" distB="0" distL="114300" distR="114300">
                  <wp:extent cx="5411470" cy="3596640"/>
                  <wp:effectExtent l="9525" t="9525" r="27305" b="13335"/>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29"/>
                          <a:stretch>
                            <a:fillRect/>
                          </a:stretch>
                        </pic:blipFill>
                        <pic:spPr>
                          <a:xfrm>
                            <a:off x="0" y="0"/>
                            <a:ext cx="5411470" cy="3596640"/>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图8 项目燃料废气点源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结果截图（1小时浓度）</w:t>
            </w:r>
          </w:p>
          <w:p>
            <w:pPr>
              <w:widowControl/>
              <w:tabs>
                <w:tab w:val="left" w:pos="420"/>
              </w:tabs>
              <w:adjustRightInd w:val="0"/>
              <w:snapToGrid w:val="0"/>
              <w:spacing w:line="240" w:lineRule="auto"/>
              <w:ind w:left="471" w:firstLine="0"/>
              <w:jc w:val="center"/>
            </w:pPr>
            <w:r>
              <w:rPr>
                <w:color w:val="auto"/>
              </w:rPr>
              <w:drawing>
                <wp:inline distT="0" distB="0" distL="114300" distR="114300">
                  <wp:extent cx="5370195" cy="3891280"/>
                  <wp:effectExtent l="9525" t="9525" r="11430" b="2349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0"/>
                          <a:stretch>
                            <a:fillRect/>
                          </a:stretch>
                        </pic:blipFill>
                        <pic:spPr>
                          <a:xfrm>
                            <a:off x="0" y="0"/>
                            <a:ext cx="5370195" cy="3891280"/>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图9 项目面源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结果截图（1小时浓度占标率）</w:t>
            </w:r>
          </w:p>
          <w:p>
            <w:pPr>
              <w:widowControl/>
              <w:tabs>
                <w:tab w:val="left" w:pos="420"/>
              </w:tabs>
              <w:adjustRightInd w:val="0"/>
              <w:snapToGrid w:val="0"/>
              <w:ind w:left="471" w:firstLine="0"/>
              <w:jc w:val="center"/>
              <w:rPr>
                <w:rFonts w:ascii="Times New Roman" w:hAnsi="Times New Roman" w:eastAsia="宋体" w:cs="Times New Roman"/>
                <w:color w:val="FF0000"/>
                <w:kern w:val="0"/>
                <w:sz w:val="21"/>
                <w:szCs w:val="21"/>
                <w:highlight w:val="none"/>
                <w:lang w:val="en-US" w:eastAsia="zh-CN" w:bidi="ar-SA"/>
              </w:rPr>
            </w:pPr>
            <w:r>
              <w:drawing>
                <wp:inline distT="0" distB="0" distL="114300" distR="114300">
                  <wp:extent cx="5027295" cy="3644265"/>
                  <wp:effectExtent l="9525" t="9525" r="11430" b="2286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31"/>
                          <a:stretch>
                            <a:fillRect/>
                          </a:stretch>
                        </pic:blipFill>
                        <pic:spPr>
                          <a:xfrm>
                            <a:off x="0" y="0"/>
                            <a:ext cx="5027295" cy="3644265"/>
                          </a:xfrm>
                          <a:prstGeom prst="rect">
                            <a:avLst/>
                          </a:prstGeom>
                          <a:noFill/>
                          <a:ln>
                            <a:solidFill>
                              <a:schemeClr val="tx1"/>
                            </a:solidFill>
                          </a:ln>
                        </pic:spPr>
                      </pic:pic>
                    </a:graphicData>
                  </a:graphic>
                </wp:inline>
              </w:drawing>
            </w:r>
          </w:p>
          <w:p>
            <w:pPr>
              <w:widowControl/>
              <w:tabs>
                <w:tab w:val="left" w:pos="420"/>
              </w:tabs>
              <w:adjustRightInd w:val="0"/>
              <w:snapToGrid w:val="0"/>
              <w:spacing w:line="240" w:lineRule="auto"/>
              <w:ind w:left="471" w:firstLine="0"/>
              <w:jc w:val="center"/>
              <w:rPr>
                <w:rFonts w:ascii="Times New Roman" w:hAnsi="Times New Roman" w:eastAsia="宋体" w:cs="Times New Roman"/>
                <w:b/>
                <w:bCs/>
                <w:color w:val="FF0000"/>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图10 项目面源</w:t>
            </w:r>
            <w:r>
              <w:rPr>
                <w:rFonts w:ascii="Times New Roman" w:hAnsi="Times New Roman" w:eastAsia="宋体" w:cs="Times New Roman"/>
                <w:b/>
                <w:bCs/>
                <w:color w:val="auto"/>
                <w:kern w:val="0"/>
                <w:sz w:val="21"/>
                <w:szCs w:val="21"/>
                <w:highlight w:val="none"/>
                <w:lang w:val="en-US" w:eastAsia="zh-CN" w:bidi="ar-SA"/>
              </w:rPr>
              <w:t>筛选</w:t>
            </w:r>
            <w:r>
              <w:rPr>
                <w:rFonts w:hint="eastAsia" w:ascii="Times New Roman" w:hAnsi="Times New Roman" w:eastAsia="宋体" w:cs="Times New Roman"/>
                <w:b/>
                <w:bCs/>
                <w:color w:val="auto"/>
                <w:kern w:val="0"/>
                <w:sz w:val="21"/>
                <w:szCs w:val="21"/>
                <w:highlight w:val="none"/>
                <w:lang w:val="en-US" w:eastAsia="zh-CN" w:bidi="ar-SA"/>
              </w:rPr>
              <w:t>结果截图（1小时浓度）</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估算模式最大地面浓度占标率计算结果</w:t>
            </w:r>
          </w:p>
          <w:tbl>
            <w:tblPr>
              <w:tblStyle w:val="43"/>
              <w:tblW w:w="9090"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967"/>
              <w:gridCol w:w="1354"/>
              <w:gridCol w:w="1529"/>
              <w:gridCol w:w="1034"/>
              <w:gridCol w:w="1140"/>
              <w:gridCol w:w="953"/>
              <w:gridCol w:w="915"/>
              <w:gridCol w:w="1"/>
              <w:gridCol w:w="1196"/>
              <w:gridCol w:w="1"/>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23" w:hRule="atLeast"/>
                <w:tblHeader/>
                <w:jc w:val="center"/>
              </w:trPr>
              <w:tc>
                <w:tcPr>
                  <w:tcW w:w="967"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类型</w:t>
                  </w:r>
                </w:p>
              </w:tc>
              <w:tc>
                <w:tcPr>
                  <w:tcW w:w="1354"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项目</w:t>
                  </w:r>
                </w:p>
              </w:tc>
              <w:tc>
                <w:tcPr>
                  <w:tcW w:w="1529"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污染物</w:t>
                  </w:r>
                </w:p>
              </w:tc>
              <w:tc>
                <w:tcPr>
                  <w:tcW w:w="4042" w:type="dxa"/>
                  <w:gridSpan w:val="4"/>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计算结果</w:t>
                  </w:r>
                </w:p>
              </w:tc>
              <w:tc>
                <w:tcPr>
                  <w:tcW w:w="1197" w:type="dxa"/>
                  <w:gridSpan w:val="2"/>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评价等级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54" w:hRule="atLeast"/>
                <w:tblHeader/>
                <w:jc w:val="center"/>
              </w:trPr>
              <w:tc>
                <w:tcPr>
                  <w:tcW w:w="967"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p>
              </w:tc>
              <w:tc>
                <w:tcPr>
                  <w:tcW w:w="1354"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p>
              </w:tc>
              <w:tc>
                <w:tcPr>
                  <w:tcW w:w="1529"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p>
              </w:tc>
              <w:tc>
                <w:tcPr>
                  <w:tcW w:w="1034"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highlight w:val="none"/>
                      <w:shd w:val="clear" w:color="auto" w:fill="FFFFFF"/>
                    </w:rPr>
                  </w:pPr>
                  <w:r>
                    <w:rPr>
                      <w:rFonts w:ascii="Times New Roman" w:hAnsi="Times New Roman" w:eastAsia="宋体" w:cs="Times New Roman"/>
                      <w:b/>
                      <w:bCs/>
                      <w:color w:val="auto"/>
                      <w:kern w:val="2"/>
                      <w:position w:val="-6"/>
                      <w:sz w:val="21"/>
                      <w:szCs w:val="21"/>
                      <w:highlight w:val="none"/>
                      <w:shd w:val="clear" w:color="auto" w:fill="FFFFFF"/>
                    </w:rPr>
                    <w:object>
                      <v:shape id="_x0000_i1025" o:spt="75" type="#_x0000_t75" style="height:13.95pt;width:13.95pt;" o:ole="t" filled="f" o:preferrelative="t" stroked="f" coordsize="21600,21600">
                        <v:path/>
                        <v:fill on="f" focussize="0,0"/>
                        <v:stroke on="f" joinstyle="miter"/>
                        <v:imagedata r:id="rId33" o:title=""/>
                        <o:lock v:ext="edit" aspectratio="t"/>
                        <w10:wrap type="none"/>
                        <w10:anchorlock/>
                      </v:shape>
                      <o:OLEObject Type="Embed" ProgID="Equation.3" ShapeID="_x0000_i1025" DrawAspect="Content" ObjectID="_1468075725" r:id="rId32">
                        <o:LockedField>false</o:LockedField>
                      </o:OLEObject>
                    </w:object>
                  </w:r>
                  <w:r>
                    <w:rPr>
                      <w:rFonts w:ascii="Times New Roman" w:hAnsi="Times New Roman" w:eastAsia="宋体" w:cs="Times New Roman"/>
                      <w:b/>
                      <w:bCs/>
                      <w:color w:val="auto"/>
                      <w:kern w:val="2"/>
                      <w:sz w:val="21"/>
                      <w:szCs w:val="21"/>
                      <w:highlight w:val="none"/>
                    </w:rPr>
                    <w:t>（%）</w:t>
                  </w:r>
                </w:p>
              </w:tc>
              <w:tc>
                <w:tcPr>
                  <w:tcW w:w="1140" w:type="dxa"/>
                  <w:tcBorders>
                    <w:right w:val="single" w:color="auto" w:sz="4" w:space="0"/>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预测浓度（mg/m</w:t>
                  </w:r>
                  <w:r>
                    <w:rPr>
                      <w:rFonts w:ascii="Times New Roman" w:hAnsi="Times New Roman" w:eastAsia="宋体" w:cs="Times New Roman"/>
                      <w:b/>
                      <w:bCs/>
                      <w:color w:val="auto"/>
                      <w:kern w:val="0"/>
                      <w:sz w:val="21"/>
                      <w:szCs w:val="21"/>
                      <w:highlight w:val="none"/>
                      <w:vertAlign w:val="superscript"/>
                    </w:rPr>
                    <w:t>3</w:t>
                  </w:r>
                  <w:r>
                    <w:rPr>
                      <w:rFonts w:ascii="Times New Roman" w:hAnsi="Times New Roman" w:eastAsia="宋体" w:cs="Times New Roman"/>
                      <w:b/>
                      <w:bCs/>
                      <w:color w:val="auto"/>
                      <w:kern w:val="0"/>
                      <w:sz w:val="21"/>
                      <w:szCs w:val="21"/>
                      <w:highlight w:val="none"/>
                    </w:rPr>
                    <w:t>）</w:t>
                  </w:r>
                </w:p>
              </w:tc>
              <w:tc>
                <w:tcPr>
                  <w:tcW w:w="953" w:type="dxa"/>
                  <w:tcBorders>
                    <w:left w:val="single" w:color="auto" w:sz="4" w:space="0"/>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0"/>
                      <w:sz w:val="21"/>
                      <w:szCs w:val="21"/>
                      <w:highlight w:val="none"/>
                    </w:rPr>
                  </w:pPr>
                  <w:r>
                    <w:rPr>
                      <w:rFonts w:hint="eastAsia" w:cs="Times New Roman"/>
                      <w:b/>
                      <w:bCs/>
                      <w:color w:val="auto"/>
                      <w:sz w:val="21"/>
                      <w:szCs w:val="21"/>
                      <w:lang w:eastAsia="zh-CN"/>
                    </w:rPr>
                    <w:t>离源距离</w:t>
                  </w:r>
                  <w:r>
                    <w:rPr>
                      <w:rFonts w:ascii="Times New Roman" w:hAnsi="Times New Roman" w:eastAsia="宋体" w:cs="Times New Roman"/>
                      <w:b/>
                      <w:bCs/>
                      <w:color w:val="auto"/>
                      <w:kern w:val="2"/>
                      <w:sz w:val="21"/>
                      <w:szCs w:val="21"/>
                      <w:highlight w:val="none"/>
                    </w:rPr>
                    <w:t>（m）</w:t>
                  </w:r>
                </w:p>
              </w:tc>
              <w:tc>
                <w:tcPr>
                  <w:tcW w:w="916" w:type="dxa"/>
                  <w:gridSpan w:val="2"/>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D10%（m）</w:t>
                  </w:r>
                </w:p>
              </w:tc>
              <w:tc>
                <w:tcPr>
                  <w:tcW w:w="1197" w:type="dxa"/>
                  <w:gridSpan w:val="2"/>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54" w:hRule="atLeast"/>
                <w:tblHeader/>
                <w:jc w:val="center"/>
              </w:trPr>
              <w:tc>
                <w:tcPr>
                  <w:tcW w:w="967"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rPr>
                    <w:t>有组织</w:t>
                  </w:r>
                </w:p>
              </w:tc>
              <w:tc>
                <w:tcPr>
                  <w:tcW w:w="1354" w:type="dxa"/>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G1</w:t>
                  </w:r>
                </w:p>
              </w:tc>
              <w:tc>
                <w:tcPr>
                  <w:tcW w:w="1529"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1034" w:type="dxa"/>
                  <w:tcBorders>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2"/>
                      <w:position w:val="-6"/>
                      <w:sz w:val="21"/>
                      <w:szCs w:val="21"/>
                      <w:highlight w:val="none"/>
                      <w:shd w:val="clear" w:color="auto" w:fill="FFFFFF"/>
                      <w:lang w:val="en-US" w:eastAsia="zh-CN"/>
                    </w:rPr>
                  </w:pPr>
                  <w:r>
                    <w:rPr>
                      <w:rFonts w:hint="eastAsia" w:ascii="Times New Roman" w:hAnsi="Times New Roman" w:eastAsia="宋体" w:cs="Times New Roman"/>
                      <w:bCs/>
                      <w:color w:val="auto"/>
                      <w:kern w:val="2"/>
                      <w:position w:val="-6"/>
                      <w:sz w:val="21"/>
                      <w:szCs w:val="21"/>
                      <w:highlight w:val="none"/>
                      <w:shd w:val="clear" w:color="auto" w:fill="FFFFFF"/>
                      <w:lang w:val="en-US" w:eastAsia="zh-CN"/>
                    </w:rPr>
                    <w:t>0.01</w:t>
                  </w:r>
                </w:p>
              </w:tc>
              <w:tc>
                <w:tcPr>
                  <w:tcW w:w="1140" w:type="dxa"/>
                  <w:tcBorders>
                    <w:righ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0.0003</w:t>
                  </w:r>
                </w:p>
              </w:tc>
              <w:tc>
                <w:tcPr>
                  <w:tcW w:w="953" w:type="dxa"/>
                  <w:tcBorders>
                    <w:lef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80</w:t>
                  </w:r>
                </w:p>
              </w:tc>
              <w:tc>
                <w:tcPr>
                  <w:tcW w:w="916" w:type="dxa"/>
                  <w:gridSpan w:val="2"/>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26" w:hRule="atLeast"/>
                <w:tblHeader/>
                <w:jc w:val="center"/>
              </w:trPr>
              <w:tc>
                <w:tcPr>
                  <w:tcW w:w="967"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p>
              </w:tc>
              <w:tc>
                <w:tcPr>
                  <w:tcW w:w="1354" w:type="dxa"/>
                  <w:vMerge w:val="restart"/>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eastAsia="宋体" w:cs="Times New Roman"/>
                      <w:color w:val="auto"/>
                      <w:kern w:val="2"/>
                      <w:sz w:val="21"/>
                      <w:szCs w:val="21"/>
                      <w:highlight w:val="none"/>
                    </w:rPr>
                    <w:t>2</w:t>
                  </w:r>
                </w:p>
              </w:tc>
              <w:tc>
                <w:tcPr>
                  <w:tcW w:w="1529" w:type="dxa"/>
                  <w:tcBorders>
                    <w:bottom w:val="single" w:color="auto" w:sz="4" w:space="0"/>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1034" w:type="dxa"/>
                  <w:tcBorders>
                    <w:bottom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2"/>
                      <w:position w:val="-6"/>
                      <w:sz w:val="21"/>
                      <w:szCs w:val="21"/>
                      <w:highlight w:val="none"/>
                      <w:shd w:val="clear" w:color="auto" w:fill="FFFFFF"/>
                      <w:lang w:val="en-US" w:eastAsia="zh-CN"/>
                    </w:rPr>
                  </w:pPr>
                  <w:r>
                    <w:rPr>
                      <w:rFonts w:hint="eastAsia" w:ascii="Times New Roman" w:hAnsi="Times New Roman" w:eastAsia="宋体" w:cs="Times New Roman"/>
                      <w:bCs/>
                      <w:color w:val="auto"/>
                      <w:kern w:val="2"/>
                      <w:position w:val="-6"/>
                      <w:sz w:val="21"/>
                      <w:szCs w:val="21"/>
                      <w:highlight w:val="none"/>
                      <w:shd w:val="clear" w:color="auto" w:fill="FFFFFF"/>
                      <w:lang w:val="en-US" w:eastAsia="zh-CN"/>
                    </w:rPr>
                    <w:t>0.07</w:t>
                  </w:r>
                </w:p>
              </w:tc>
              <w:tc>
                <w:tcPr>
                  <w:tcW w:w="1140" w:type="dxa"/>
                  <w:tcBorders>
                    <w:bottom w:val="single" w:color="auto" w:sz="4" w:space="0"/>
                    <w:righ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0.0004</w:t>
                  </w:r>
                </w:p>
              </w:tc>
              <w:tc>
                <w:tcPr>
                  <w:tcW w:w="953" w:type="dxa"/>
                  <w:tcBorders>
                    <w:left w:val="single" w:color="auto" w:sz="4" w:space="0"/>
                    <w:bottom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53</w:t>
                  </w:r>
                </w:p>
              </w:tc>
              <w:tc>
                <w:tcPr>
                  <w:tcW w:w="916" w:type="dxa"/>
                  <w:gridSpan w:val="2"/>
                  <w:tcBorders>
                    <w:bottom w:val="single" w:color="auto" w:sz="4" w:space="0"/>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bottom w:val="single" w:color="auto" w:sz="4" w:space="0"/>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6" w:hRule="atLeast"/>
                <w:tblHeader/>
                <w:jc w:val="center"/>
              </w:trPr>
              <w:tc>
                <w:tcPr>
                  <w:tcW w:w="967"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p>
              </w:tc>
              <w:tc>
                <w:tcPr>
                  <w:tcW w:w="1354"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2"/>
                      <w:sz w:val="21"/>
                      <w:szCs w:val="21"/>
                      <w:highlight w:val="none"/>
                    </w:rPr>
                  </w:pPr>
                </w:p>
              </w:tc>
              <w:tc>
                <w:tcPr>
                  <w:tcW w:w="1529" w:type="dxa"/>
                  <w:tcBorders>
                    <w:top w:val="single" w:color="auto" w:sz="4" w:space="0"/>
                    <w:bottom w:val="single" w:color="auto" w:sz="4" w:space="0"/>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Cs/>
                      <w:color w:val="auto"/>
                      <w:kern w:val="2"/>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1034" w:type="dxa"/>
                  <w:tcBorders>
                    <w:top w:val="single" w:color="auto" w:sz="4" w:space="0"/>
                    <w:bottom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2"/>
                      <w:position w:val="-6"/>
                      <w:sz w:val="21"/>
                      <w:szCs w:val="21"/>
                      <w:highlight w:val="none"/>
                      <w:shd w:val="clear" w:color="auto" w:fill="FFFFFF"/>
                      <w:lang w:val="en-US" w:eastAsia="zh-CN"/>
                    </w:rPr>
                  </w:pPr>
                  <w:r>
                    <w:rPr>
                      <w:rFonts w:hint="eastAsia" w:ascii="Times New Roman" w:hAnsi="Times New Roman" w:eastAsia="宋体" w:cs="Times New Roman"/>
                      <w:bCs/>
                      <w:color w:val="auto"/>
                      <w:kern w:val="2"/>
                      <w:position w:val="-6"/>
                      <w:sz w:val="21"/>
                      <w:szCs w:val="21"/>
                      <w:highlight w:val="none"/>
                      <w:shd w:val="clear" w:color="auto" w:fill="FFFFFF"/>
                      <w:lang w:val="en-US" w:eastAsia="zh-CN"/>
                    </w:rPr>
                    <w:t>0.23</w:t>
                  </w:r>
                </w:p>
              </w:tc>
              <w:tc>
                <w:tcPr>
                  <w:tcW w:w="1140" w:type="dxa"/>
                  <w:tcBorders>
                    <w:top w:val="single" w:color="auto" w:sz="4" w:space="0"/>
                    <w:bottom w:val="single" w:color="auto" w:sz="4" w:space="0"/>
                    <w:righ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0.0006</w:t>
                  </w:r>
                </w:p>
              </w:tc>
              <w:tc>
                <w:tcPr>
                  <w:tcW w:w="953" w:type="dxa"/>
                  <w:tcBorders>
                    <w:top w:val="single" w:color="auto" w:sz="4" w:space="0"/>
                    <w:left w:val="single" w:color="auto" w:sz="4" w:space="0"/>
                    <w:bottom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53</w:t>
                  </w:r>
                </w:p>
              </w:tc>
              <w:tc>
                <w:tcPr>
                  <w:tcW w:w="916" w:type="dxa"/>
                  <w:gridSpan w:val="2"/>
                  <w:tcBorders>
                    <w:top w:val="single" w:color="auto" w:sz="4" w:space="0"/>
                    <w:bottom w:val="single" w:color="auto" w:sz="4" w:space="0"/>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top w:val="single" w:color="auto" w:sz="4" w:space="0"/>
                    <w:bottom w:val="single" w:color="auto" w:sz="4" w:space="0"/>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09" w:hRule="atLeast"/>
                <w:tblHeader/>
                <w:jc w:val="center"/>
              </w:trPr>
              <w:tc>
                <w:tcPr>
                  <w:tcW w:w="967"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p>
              </w:tc>
              <w:tc>
                <w:tcPr>
                  <w:tcW w:w="1354"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2"/>
                      <w:sz w:val="21"/>
                      <w:szCs w:val="21"/>
                      <w:highlight w:val="none"/>
                    </w:rPr>
                  </w:pPr>
                </w:p>
              </w:tc>
              <w:tc>
                <w:tcPr>
                  <w:tcW w:w="1529" w:type="dxa"/>
                  <w:tcBorders>
                    <w:top w:val="single" w:color="auto" w:sz="4" w:space="0"/>
                    <w:tl2br w:val="nil"/>
                    <w:tr2bl w:val="nil"/>
                  </w:tcBorders>
                  <w:vAlign w:val="center"/>
                </w:tcPr>
                <w:p>
                  <w:pPr>
                    <w:widowControl/>
                    <w:topLinePunct/>
                    <w:autoSpaceDE w:val="0"/>
                    <w:autoSpaceDN w:val="0"/>
                    <w:adjustRightInd w:val="0"/>
                    <w:spacing w:after="0" w:line="240" w:lineRule="auto"/>
                    <w:jc w:val="center"/>
                    <w:textAlignment w:val="baseline"/>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rPr>
                    <w:t>TSP</w:t>
                  </w:r>
                </w:p>
              </w:tc>
              <w:tc>
                <w:tcPr>
                  <w:tcW w:w="1034" w:type="dxa"/>
                  <w:tcBorders>
                    <w:top w:val="single" w:color="auto" w:sz="4" w:space="0"/>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position w:val="-6"/>
                      <w:sz w:val="21"/>
                      <w:szCs w:val="21"/>
                      <w:highlight w:val="none"/>
                      <w:shd w:val="clear" w:color="auto" w:fill="FFFFFF"/>
                    </w:rPr>
                  </w:pPr>
                  <w:r>
                    <w:rPr>
                      <w:rFonts w:hint="eastAsia" w:ascii="Times New Roman" w:hAnsi="Times New Roman" w:eastAsia="宋体" w:cs="Times New Roman"/>
                      <w:bCs/>
                      <w:color w:val="auto"/>
                      <w:kern w:val="2"/>
                      <w:position w:val="-6"/>
                      <w:sz w:val="21"/>
                      <w:szCs w:val="21"/>
                      <w:highlight w:val="none"/>
                      <w:shd w:val="clear" w:color="auto" w:fill="FFFFFF"/>
                    </w:rPr>
                    <w:t>0.02</w:t>
                  </w:r>
                </w:p>
              </w:tc>
              <w:tc>
                <w:tcPr>
                  <w:tcW w:w="1140" w:type="dxa"/>
                  <w:tcBorders>
                    <w:top w:val="single" w:color="auto" w:sz="4" w:space="0"/>
                    <w:righ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0.0002</w:t>
                  </w:r>
                </w:p>
              </w:tc>
              <w:tc>
                <w:tcPr>
                  <w:tcW w:w="953" w:type="dxa"/>
                  <w:tcBorders>
                    <w:top w:val="single" w:color="auto" w:sz="4" w:space="0"/>
                    <w:lef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53</w:t>
                  </w:r>
                </w:p>
              </w:tc>
              <w:tc>
                <w:tcPr>
                  <w:tcW w:w="916" w:type="dxa"/>
                  <w:gridSpan w:val="2"/>
                  <w:tcBorders>
                    <w:top w:val="single" w:color="auto" w:sz="4" w:space="0"/>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top w:val="single" w:color="auto" w:sz="4" w:space="0"/>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54" w:hRule="atLeast"/>
                <w:tblHeader/>
                <w:jc w:val="center"/>
              </w:trPr>
              <w:tc>
                <w:tcPr>
                  <w:tcW w:w="967"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p>
              </w:tc>
              <w:tc>
                <w:tcPr>
                  <w:tcW w:w="1354" w:type="dxa"/>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eastAsia="宋体" w:cs="Times New Roman"/>
                      <w:color w:val="auto"/>
                      <w:kern w:val="2"/>
                      <w:sz w:val="21"/>
                      <w:szCs w:val="21"/>
                      <w:highlight w:val="none"/>
                    </w:rPr>
                    <w:t>3</w:t>
                  </w:r>
                </w:p>
              </w:tc>
              <w:tc>
                <w:tcPr>
                  <w:tcW w:w="1529"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PM</w:t>
                  </w:r>
                  <w:r>
                    <w:rPr>
                      <w:rFonts w:hint="eastAsia" w:ascii="Times New Roman" w:hAnsi="Times New Roman" w:eastAsia="宋体" w:cs="Times New Roman"/>
                      <w:color w:val="auto"/>
                      <w:kern w:val="2"/>
                      <w:sz w:val="21"/>
                      <w:szCs w:val="21"/>
                      <w:highlight w:val="none"/>
                      <w:vertAlign w:val="subscript"/>
                      <w:lang w:val="en-US" w:eastAsia="zh-CN"/>
                    </w:rPr>
                    <w:t>10</w:t>
                  </w:r>
                </w:p>
              </w:tc>
              <w:tc>
                <w:tcPr>
                  <w:tcW w:w="1034"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position w:val="-6"/>
                      <w:sz w:val="21"/>
                      <w:szCs w:val="21"/>
                      <w:highlight w:val="none"/>
                      <w:shd w:val="clear" w:color="auto" w:fill="FFFFFF"/>
                    </w:rPr>
                  </w:pPr>
                  <w:r>
                    <w:rPr>
                      <w:rFonts w:hint="eastAsia" w:ascii="Times New Roman" w:hAnsi="Times New Roman" w:eastAsia="宋体" w:cs="Times New Roman"/>
                      <w:bCs/>
                      <w:color w:val="auto"/>
                      <w:kern w:val="2"/>
                      <w:position w:val="-6"/>
                      <w:sz w:val="21"/>
                      <w:szCs w:val="21"/>
                      <w:highlight w:val="none"/>
                      <w:shd w:val="clear" w:color="auto" w:fill="FFFFFF"/>
                    </w:rPr>
                    <w:t>0.00</w:t>
                  </w:r>
                </w:p>
              </w:tc>
              <w:tc>
                <w:tcPr>
                  <w:tcW w:w="1140" w:type="dxa"/>
                  <w:tcBorders>
                    <w:righ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0.000</w:t>
                  </w:r>
                </w:p>
              </w:tc>
              <w:tc>
                <w:tcPr>
                  <w:tcW w:w="953" w:type="dxa"/>
                  <w:tcBorders>
                    <w:left w:val="single" w:color="auto" w:sz="4" w:space="0"/>
                    <w:tl2br w:val="nil"/>
                    <w:tr2bl w:val="nil"/>
                  </w:tcBorders>
                  <w:vAlign w:val="center"/>
                </w:tcPr>
                <w:p>
                  <w:pPr>
                    <w:widowControl w:val="0"/>
                    <w:autoSpaceDE w:val="0"/>
                    <w:autoSpaceDN w:val="0"/>
                    <w:spacing w:after="0"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80</w:t>
                  </w:r>
                </w:p>
              </w:tc>
              <w:tc>
                <w:tcPr>
                  <w:tcW w:w="916" w:type="dxa"/>
                  <w:gridSpan w:val="2"/>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67"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无组织</w:t>
                  </w:r>
                </w:p>
              </w:tc>
              <w:tc>
                <w:tcPr>
                  <w:tcW w:w="1354" w:type="dxa"/>
                  <w:vMerge w:val="restart"/>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bCs/>
                      <w:color w:val="auto"/>
                      <w:kern w:val="0"/>
                      <w:sz w:val="21"/>
                      <w:szCs w:val="21"/>
                      <w:highlight w:val="none"/>
                    </w:rPr>
                  </w:pPr>
                  <w:r>
                    <w:rPr>
                      <w:rFonts w:hint="eastAsia" w:ascii="Times New Roman" w:hAnsi="Times New Roman" w:eastAsia="宋体" w:cs="Times New Roman"/>
                      <w:color w:val="auto"/>
                      <w:kern w:val="2"/>
                      <w:sz w:val="21"/>
                      <w:szCs w:val="21"/>
                      <w:highlight w:val="none"/>
                    </w:rPr>
                    <w:t>生产车间</w:t>
                  </w:r>
                </w:p>
              </w:tc>
              <w:tc>
                <w:tcPr>
                  <w:tcW w:w="1529"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Impact" w:eastAsia="宋体" w:cs="Times New Roman"/>
                      <w:color w:val="auto"/>
                      <w:kern w:val="24"/>
                      <w:sz w:val="21"/>
                      <w:szCs w:val="21"/>
                      <w:highlight w:val="none"/>
                    </w:rPr>
                  </w:pPr>
                  <w:r>
                    <w:rPr>
                      <w:rFonts w:ascii="Times New Roman" w:hAnsi="Impact" w:eastAsia="宋体" w:cs="Times New Roman"/>
                      <w:color w:val="auto"/>
                      <w:kern w:val="24"/>
                      <w:sz w:val="21"/>
                      <w:szCs w:val="21"/>
                      <w:highlight w:val="none"/>
                    </w:rPr>
                    <w:t>非甲烷总烃</w:t>
                  </w:r>
                </w:p>
              </w:tc>
              <w:tc>
                <w:tcPr>
                  <w:tcW w:w="1034"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0.61</w:t>
                  </w:r>
                </w:p>
              </w:tc>
              <w:tc>
                <w:tcPr>
                  <w:tcW w:w="1140" w:type="dxa"/>
                  <w:tcBorders>
                    <w:right w:val="single" w:color="auto" w:sz="4" w:space="0"/>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0.0122</w:t>
                  </w:r>
                </w:p>
              </w:tc>
              <w:tc>
                <w:tcPr>
                  <w:tcW w:w="953" w:type="dxa"/>
                  <w:tcBorders>
                    <w:left w:val="single" w:color="auto" w:sz="4" w:space="0"/>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31</w:t>
                  </w:r>
                </w:p>
              </w:tc>
              <w:tc>
                <w:tcPr>
                  <w:tcW w:w="916" w:type="dxa"/>
                  <w:gridSpan w:val="2"/>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52" w:hRule="atLeast"/>
                <w:jc w:val="center"/>
              </w:trPr>
              <w:tc>
                <w:tcPr>
                  <w:tcW w:w="967"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c>
                <w:tcPr>
                  <w:tcW w:w="1354" w:type="dxa"/>
                  <w:vMerge w:val="continue"/>
                  <w:tcBorders>
                    <w:tl2br w:val="nil"/>
                    <w:tr2bl w:val="nil"/>
                  </w:tcBorders>
                  <w:vAlign w:val="center"/>
                </w:tcPr>
                <w:p>
                  <w:pPr>
                    <w:widowControl/>
                    <w:adjustRightInd w:val="0"/>
                    <w:snapToGrid w:val="0"/>
                    <w:spacing w:after="0" w:line="240" w:lineRule="auto"/>
                    <w:jc w:val="center"/>
                    <w:rPr>
                      <w:rFonts w:ascii="Times New Roman" w:hAnsi="Times New Roman" w:eastAsia="宋体" w:cs="Times New Roman"/>
                      <w:color w:val="FF0000"/>
                      <w:kern w:val="2"/>
                      <w:sz w:val="21"/>
                      <w:szCs w:val="21"/>
                      <w:highlight w:val="none"/>
                    </w:rPr>
                  </w:pPr>
                </w:p>
              </w:tc>
              <w:tc>
                <w:tcPr>
                  <w:tcW w:w="1529" w:type="dxa"/>
                  <w:tcBorders>
                    <w:tl2br w:val="nil"/>
                    <w:tr2bl w:val="nil"/>
                  </w:tcBorders>
                  <w:vAlign w:val="center"/>
                </w:tcPr>
                <w:p>
                  <w:pPr>
                    <w:widowControl/>
                    <w:topLinePunct/>
                    <w:autoSpaceDE w:val="0"/>
                    <w:autoSpaceDN w:val="0"/>
                    <w:adjustRightInd w:val="0"/>
                    <w:spacing w:after="0" w:line="240" w:lineRule="auto"/>
                    <w:jc w:val="center"/>
                    <w:textAlignment w:val="baseline"/>
                    <w:rPr>
                      <w:rFonts w:ascii="Times New Roman" w:hAnsi="Impact" w:eastAsia="宋体" w:cs="Times New Roman"/>
                      <w:color w:val="auto"/>
                      <w:kern w:val="24"/>
                      <w:sz w:val="21"/>
                      <w:szCs w:val="21"/>
                      <w:highlight w:val="none"/>
                    </w:rPr>
                  </w:pPr>
                  <w:r>
                    <w:rPr>
                      <w:rFonts w:ascii="Times New Roman" w:hAnsi="Impact" w:eastAsia="宋体" w:cs="Times New Roman"/>
                      <w:color w:val="auto"/>
                      <w:kern w:val="24"/>
                      <w:sz w:val="21"/>
                      <w:szCs w:val="21"/>
                      <w:highlight w:val="none"/>
                    </w:rPr>
                    <w:t>TSP</w:t>
                  </w:r>
                </w:p>
              </w:tc>
              <w:tc>
                <w:tcPr>
                  <w:tcW w:w="1034"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3.34</w:t>
                  </w:r>
                </w:p>
              </w:tc>
              <w:tc>
                <w:tcPr>
                  <w:tcW w:w="1140" w:type="dxa"/>
                  <w:tcBorders>
                    <w:right w:val="single" w:color="auto" w:sz="4" w:space="0"/>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0.0300</w:t>
                  </w:r>
                </w:p>
              </w:tc>
              <w:tc>
                <w:tcPr>
                  <w:tcW w:w="953" w:type="dxa"/>
                  <w:tcBorders>
                    <w:left w:val="single" w:color="auto" w:sz="4" w:space="0"/>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31</w:t>
                  </w:r>
                </w:p>
              </w:tc>
              <w:tc>
                <w:tcPr>
                  <w:tcW w:w="916" w:type="dxa"/>
                  <w:gridSpan w:val="2"/>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p>
              </w:tc>
              <w:tc>
                <w:tcPr>
                  <w:tcW w:w="1197" w:type="dxa"/>
                  <w:gridSpan w:val="2"/>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二</w:t>
                  </w:r>
                  <w:r>
                    <w:rPr>
                      <w:rFonts w:ascii="Times New Roman" w:hAnsi="Times New Roman" w:eastAsia="宋体" w:cs="Times New Roman"/>
                      <w:color w:val="auto"/>
                      <w:kern w:val="2"/>
                      <w:sz w:val="21"/>
                      <w:szCs w:val="21"/>
                      <w:highlight w:val="none"/>
                    </w:rPr>
                    <w:t>级</w:t>
                  </w:r>
                </w:p>
              </w:tc>
            </w:tr>
          </w:tbl>
          <w:p>
            <w:pPr>
              <w:widowControl w:val="0"/>
              <w:spacing w:after="0" w:line="360" w:lineRule="auto"/>
              <w:ind w:firstLine="480" w:firstLineChars="200"/>
              <w:jc w:val="left"/>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根据计算结果可知，本项目主要污染物</w:t>
            </w:r>
            <w:r>
              <w:rPr>
                <w:rFonts w:hint="eastAsia" w:ascii="Times New Roman" w:hAnsi="Times New Roman" w:eastAsia="宋体" w:cs="Times New Roman"/>
                <w:color w:val="auto"/>
                <w:kern w:val="2"/>
                <w:sz w:val="24"/>
                <w:szCs w:val="24"/>
                <w:highlight w:val="none"/>
              </w:rPr>
              <w:t>Pi最大值为</w:t>
            </w:r>
            <w:r>
              <w:rPr>
                <w:rFonts w:hint="eastAsia" w:ascii="Times New Roman" w:hAnsi="Times New Roman" w:eastAsia="宋体" w:cs="Times New Roman"/>
                <w:color w:val="auto"/>
                <w:kern w:val="2"/>
                <w:sz w:val="24"/>
                <w:szCs w:val="24"/>
                <w:highlight w:val="none"/>
                <w:lang w:val="en-US" w:eastAsia="zh-CN"/>
              </w:rPr>
              <w:t>3.34</w:t>
            </w:r>
            <w:r>
              <w:rPr>
                <w:rFonts w:hint="eastAsia" w:ascii="Times New Roman" w:hAnsi="Times New Roman"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按《环境影响评价技术导则—大气环境》（HJ2.2-2018）中的有关规定，确定项目大气环境影响评价工作等级为二级。二级评价项目不进行进一步预测与评价，只对污染物排放量进行核算。经核算，项目大气污染源排放情况如下：</w:t>
            </w:r>
          </w:p>
          <w:p>
            <w:pPr>
              <w:pStyle w:val="2"/>
            </w:pP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大气污染物有组织排放量核算表</w:t>
            </w:r>
          </w:p>
          <w:tbl>
            <w:tblPr>
              <w:tblStyle w:val="44"/>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1510"/>
              <w:gridCol w:w="1513"/>
              <w:gridCol w:w="1513"/>
              <w:gridCol w:w="1511"/>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1620"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序号</w:t>
                  </w:r>
                </w:p>
              </w:tc>
              <w:tc>
                <w:tcPr>
                  <w:tcW w:w="1510"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排放口编号</w:t>
                  </w:r>
                </w:p>
              </w:tc>
              <w:tc>
                <w:tcPr>
                  <w:tcW w:w="1513"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污染物</w:t>
                  </w:r>
                </w:p>
              </w:tc>
              <w:tc>
                <w:tcPr>
                  <w:tcW w:w="1513"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核算排放浓度</w:t>
                  </w:r>
                </w:p>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（mg/m³）</w:t>
                  </w:r>
                </w:p>
              </w:tc>
              <w:tc>
                <w:tcPr>
                  <w:tcW w:w="1511"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核算排放速率</w:t>
                  </w:r>
                </w:p>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（kg/h）</w:t>
                  </w:r>
                </w:p>
              </w:tc>
              <w:tc>
                <w:tcPr>
                  <w:tcW w:w="1513"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核算年排放量</w:t>
                  </w:r>
                </w:p>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180" w:type="dxa"/>
                  <w:gridSpan w:val="6"/>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rPr>
                    <w:t>主要</w:t>
                  </w:r>
                  <w:r>
                    <w:rPr>
                      <w:rFonts w:ascii="Times New Roman" w:hAnsi="Times New Roman" w:eastAsia="宋体" w:cs="Times New Roman"/>
                      <w:color w:val="auto"/>
                      <w:kern w:val="2"/>
                      <w:sz w:val="21"/>
                      <w:szCs w:val="21"/>
                      <w:highlight w:val="none"/>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620"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w:t>
                  </w:r>
                </w:p>
              </w:tc>
              <w:tc>
                <w:tcPr>
                  <w:tcW w:w="1510" w:type="dxa"/>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G1</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1513" w:type="dxa"/>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0.702</w:t>
                  </w:r>
                </w:p>
              </w:tc>
              <w:tc>
                <w:tcPr>
                  <w:tcW w:w="1511"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0.013</w:t>
                  </w:r>
                </w:p>
              </w:tc>
              <w:tc>
                <w:tcPr>
                  <w:tcW w:w="1513"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2</w:t>
                  </w:r>
                </w:p>
              </w:tc>
              <w:tc>
                <w:tcPr>
                  <w:tcW w:w="1510" w:type="dxa"/>
                  <w:vMerge w:val="restart"/>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eastAsia="宋体" w:cs="Times New Roman"/>
                      <w:color w:val="auto"/>
                      <w:kern w:val="2"/>
                      <w:sz w:val="21"/>
                      <w:szCs w:val="21"/>
                      <w:highlight w:val="none"/>
                    </w:rPr>
                    <w:t>2</w:t>
                  </w:r>
                </w:p>
              </w:tc>
              <w:tc>
                <w:tcPr>
                  <w:tcW w:w="1513"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29.356 </w:t>
                  </w:r>
                </w:p>
              </w:tc>
              <w:tc>
                <w:tcPr>
                  <w:tcW w:w="1511"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0.008 </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620"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1510" w:type="dxa"/>
                  <w:vMerge w:val="continue"/>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p>
              </w:tc>
              <w:tc>
                <w:tcPr>
                  <w:tcW w:w="1513"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46.235 </w:t>
                  </w:r>
                </w:p>
              </w:tc>
              <w:tc>
                <w:tcPr>
                  <w:tcW w:w="1511"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0.013 </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620"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1510" w:type="dxa"/>
                  <w:vMerge w:val="continue"/>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p>
              </w:tc>
              <w:tc>
                <w:tcPr>
                  <w:tcW w:w="1513"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16"/>
                      <w:highlight w:val="none"/>
                    </w:rPr>
                  </w:pPr>
                  <w:r>
                    <w:rPr>
                      <w:rFonts w:hint="eastAsia" w:ascii="Times New Roman" w:hAnsi="Times New Roman" w:eastAsia="宋体" w:cs="Times New Roman"/>
                      <w:color w:val="auto"/>
                      <w:kern w:val="2"/>
                      <w:sz w:val="21"/>
                      <w:szCs w:val="21"/>
                      <w:highlight w:val="none"/>
                    </w:rPr>
                    <w:t>TSP</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17.613 </w:t>
                  </w:r>
                </w:p>
              </w:tc>
              <w:tc>
                <w:tcPr>
                  <w:tcW w:w="1511"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0.005 </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FF0000"/>
                      <w:kern w:val="2"/>
                      <w:sz w:val="21"/>
                      <w:szCs w:val="21"/>
                      <w:highlight w:val="none"/>
                    </w:rPr>
                  </w:pPr>
                  <w:r>
                    <w:rPr>
                      <w:rFonts w:hint="default" w:ascii="Times New Roman" w:hAnsi="Times New Roman" w:eastAsia="宋体" w:cs="Times New Roman"/>
                      <w:color w:val="auto"/>
                      <w:kern w:val="2"/>
                      <w:sz w:val="21"/>
                      <w:szCs w:val="21"/>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620"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3</w:t>
                  </w:r>
                </w:p>
              </w:tc>
              <w:tc>
                <w:tcPr>
                  <w:tcW w:w="1510" w:type="dxa"/>
                  <w:vAlign w:val="center"/>
                </w:tcPr>
                <w:p>
                  <w:pPr>
                    <w:widowControl/>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G</w:t>
                  </w:r>
                  <w:r>
                    <w:rPr>
                      <w:rFonts w:hint="eastAsia" w:ascii="Times New Roman" w:hAnsi="Times New Roman" w:eastAsia="宋体" w:cs="Times New Roman"/>
                      <w:color w:val="auto"/>
                      <w:kern w:val="2"/>
                      <w:sz w:val="21"/>
                      <w:szCs w:val="21"/>
                      <w:highlight w:val="none"/>
                    </w:rPr>
                    <w:t>3</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16"/>
                      <w:highlight w:val="none"/>
                    </w:rPr>
                  </w:pPr>
                  <w:r>
                    <w:rPr>
                      <w:rFonts w:hint="eastAsia" w:ascii="Times New Roman" w:hAnsi="Times New Roman" w:eastAsia="宋体" w:cs="Times New Roman"/>
                      <w:color w:val="auto"/>
                      <w:kern w:val="2"/>
                      <w:sz w:val="21"/>
                      <w:szCs w:val="21"/>
                      <w:highlight w:val="none"/>
                    </w:rPr>
                    <w:t>PM</w:t>
                  </w:r>
                  <w:r>
                    <w:rPr>
                      <w:rFonts w:hint="eastAsia" w:ascii="Times New Roman" w:hAnsi="Times New Roman" w:eastAsia="宋体" w:cs="Times New Roman"/>
                      <w:color w:val="auto"/>
                      <w:kern w:val="2"/>
                      <w:sz w:val="21"/>
                      <w:szCs w:val="21"/>
                      <w:highlight w:val="none"/>
                      <w:vertAlign w:val="subscript"/>
                    </w:rPr>
                    <w:t>10</w:t>
                  </w:r>
                </w:p>
              </w:tc>
              <w:tc>
                <w:tcPr>
                  <w:tcW w:w="1513" w:type="dxa"/>
                  <w:vAlign w:val="center"/>
                </w:tcPr>
                <w:p>
                  <w:pPr>
                    <w:widowControl w:val="0"/>
                    <w:spacing w:after="0" w:line="240" w:lineRule="auto"/>
                    <w:jc w:val="center"/>
                    <w:rPr>
                      <w:rFonts w:hint="default" w:ascii="Times New Roman" w:hAnsi="Times New Roman" w:eastAsia="宋体" w:cs="Times New Roman"/>
                      <w:color w:val="FF0000"/>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0.090</w:t>
                  </w:r>
                </w:p>
              </w:tc>
              <w:tc>
                <w:tcPr>
                  <w:tcW w:w="1511"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0.001</w:t>
                  </w:r>
                </w:p>
              </w:tc>
              <w:tc>
                <w:tcPr>
                  <w:tcW w:w="1513"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180" w:type="dxa"/>
                  <w:gridSpan w:val="6"/>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62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有组织排放总计</w:t>
                  </w:r>
                </w:p>
              </w:tc>
              <w:tc>
                <w:tcPr>
                  <w:tcW w:w="6047" w:type="dxa"/>
                  <w:gridSpan w:val="4"/>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1513"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20"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6047" w:type="dxa"/>
                  <w:gridSpan w:val="4"/>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620"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6047" w:type="dxa"/>
                  <w:gridSpan w:val="4"/>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620"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6047" w:type="dxa"/>
                  <w:gridSpan w:val="4"/>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16"/>
                      <w:highlight w:val="none"/>
                    </w:rPr>
                  </w:pPr>
                  <w:r>
                    <w:rPr>
                      <w:rFonts w:hint="eastAsia" w:ascii="Times New Roman" w:hAnsi="Impact" w:eastAsia="宋体" w:cs="Times New Roman"/>
                      <w:color w:val="auto"/>
                      <w:kern w:val="24"/>
                      <w:sz w:val="21"/>
                      <w:szCs w:val="21"/>
                      <w:highlight w:val="none"/>
                    </w:rPr>
                    <w:t>TSP</w:t>
                  </w:r>
                </w:p>
              </w:tc>
              <w:tc>
                <w:tcPr>
                  <w:tcW w:w="1513"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620"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6047" w:type="dxa"/>
                  <w:gridSpan w:val="4"/>
                  <w:vAlign w:val="center"/>
                </w:tcPr>
                <w:p>
                  <w:pPr>
                    <w:widowControl/>
                    <w:topLinePunct/>
                    <w:autoSpaceDE w:val="0"/>
                    <w:autoSpaceDN w:val="0"/>
                    <w:adjustRightInd w:val="0"/>
                    <w:spacing w:after="0" w:line="240" w:lineRule="auto"/>
                    <w:jc w:val="center"/>
                    <w:textAlignment w:val="baseline"/>
                    <w:rPr>
                      <w:rFonts w:ascii="Times New Roman" w:hAnsi="Impact" w:eastAsia="宋体" w:cs="Times New Roman"/>
                      <w:color w:val="auto"/>
                      <w:kern w:val="24"/>
                      <w:sz w:val="21"/>
                      <w:szCs w:val="21"/>
                      <w:highlight w:val="none"/>
                    </w:rPr>
                  </w:pPr>
                  <w:r>
                    <w:rPr>
                      <w:rFonts w:hint="eastAsia" w:ascii="Times New Roman" w:hAnsi="Times New Roman" w:eastAsia="宋体" w:cs="Times New Roman"/>
                      <w:color w:val="auto"/>
                      <w:kern w:val="2"/>
                      <w:sz w:val="21"/>
                      <w:szCs w:val="21"/>
                      <w:highlight w:val="none"/>
                    </w:rPr>
                    <w:t>PM</w:t>
                  </w:r>
                  <w:r>
                    <w:rPr>
                      <w:rFonts w:hint="eastAsia" w:ascii="Times New Roman" w:hAnsi="Times New Roman" w:eastAsia="宋体" w:cs="Times New Roman"/>
                      <w:color w:val="auto"/>
                      <w:kern w:val="2"/>
                      <w:sz w:val="21"/>
                      <w:szCs w:val="21"/>
                      <w:highlight w:val="none"/>
                      <w:vertAlign w:val="subscript"/>
                    </w:rPr>
                    <w:t>10</w:t>
                  </w:r>
                </w:p>
              </w:tc>
              <w:tc>
                <w:tcPr>
                  <w:tcW w:w="1513"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0.003</w:t>
                  </w:r>
                </w:p>
              </w:tc>
            </w:tr>
          </w:tbl>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大气污染物无组织排放量核算表</w:t>
            </w:r>
          </w:p>
          <w:tbl>
            <w:tblPr>
              <w:tblStyle w:val="44"/>
              <w:tblW w:w="9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5"/>
              <w:gridCol w:w="900"/>
              <w:gridCol w:w="977"/>
              <w:gridCol w:w="1280"/>
              <w:gridCol w:w="1020"/>
              <w:gridCol w:w="2172"/>
              <w:gridCol w:w="1154"/>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95"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序号</w:t>
                  </w:r>
                </w:p>
              </w:tc>
              <w:tc>
                <w:tcPr>
                  <w:tcW w:w="900"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排放口编号</w:t>
                  </w:r>
                </w:p>
              </w:tc>
              <w:tc>
                <w:tcPr>
                  <w:tcW w:w="977"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产物环节</w:t>
                  </w:r>
                </w:p>
              </w:tc>
              <w:tc>
                <w:tcPr>
                  <w:tcW w:w="1280"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污染物</w:t>
                  </w:r>
                </w:p>
              </w:tc>
              <w:tc>
                <w:tcPr>
                  <w:tcW w:w="1020"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主要污染防治措施</w:t>
                  </w:r>
                </w:p>
              </w:tc>
              <w:tc>
                <w:tcPr>
                  <w:tcW w:w="3326" w:type="dxa"/>
                  <w:gridSpan w:val="2"/>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国家或地方污染物排放标准</w:t>
                  </w:r>
                </w:p>
              </w:tc>
              <w:tc>
                <w:tcPr>
                  <w:tcW w:w="1142"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年排放量</w:t>
                  </w:r>
                </w:p>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95"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0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77"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128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102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2172"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标准名称</w:t>
                  </w:r>
                </w:p>
              </w:tc>
              <w:tc>
                <w:tcPr>
                  <w:tcW w:w="1154" w:type="dxa"/>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浓度限值（mg/m³）</w:t>
                  </w:r>
                </w:p>
              </w:tc>
              <w:tc>
                <w:tcPr>
                  <w:tcW w:w="1142"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95" w:type="dxa"/>
                  <w:vMerge w:val="restart"/>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w:t>
                  </w:r>
                </w:p>
              </w:tc>
              <w:tc>
                <w:tcPr>
                  <w:tcW w:w="90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车间</w:t>
                  </w:r>
                </w:p>
              </w:tc>
              <w:tc>
                <w:tcPr>
                  <w:tcW w:w="977"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eastAsia="zh-CN"/>
                    </w:rPr>
                    <w:t>红冲</w:t>
                  </w:r>
                  <w:r>
                    <w:rPr>
                      <w:rFonts w:hint="eastAsia" w:ascii="Times New Roman" w:hAnsi="Times New Roman" w:eastAsia="宋体" w:cs="Times New Roman"/>
                      <w:color w:val="auto"/>
                      <w:kern w:val="2"/>
                      <w:sz w:val="21"/>
                      <w:szCs w:val="21"/>
                      <w:highlight w:val="none"/>
                    </w:rPr>
                    <w:t>工序</w:t>
                  </w:r>
                </w:p>
              </w:tc>
              <w:tc>
                <w:tcPr>
                  <w:tcW w:w="1280"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102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加强通风</w:t>
                  </w:r>
                </w:p>
              </w:tc>
              <w:tc>
                <w:tcPr>
                  <w:tcW w:w="2172"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广东省地方标准《大气污染物排放限值》（DB44/ 27-2001）第二时段无组织排放监控浓度限值</w:t>
                  </w:r>
                </w:p>
              </w:tc>
              <w:tc>
                <w:tcPr>
                  <w:tcW w:w="1154" w:type="dxa"/>
                  <w:vAlign w:val="center"/>
                </w:tcPr>
                <w:p>
                  <w:pPr>
                    <w:widowControl/>
                    <w:ind w:firstLine="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4.0</w:t>
                  </w:r>
                </w:p>
              </w:tc>
              <w:tc>
                <w:tcPr>
                  <w:tcW w:w="1142"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95" w:type="dxa"/>
                  <w:vMerge w:val="continue"/>
                  <w:vAlign w:val="center"/>
                </w:tcPr>
                <w:p>
                  <w:pPr>
                    <w:widowControl w:val="0"/>
                    <w:spacing w:after="0" w:line="360" w:lineRule="auto"/>
                    <w:jc w:val="center"/>
                    <w:rPr>
                      <w:rFonts w:ascii="Times New Roman" w:hAnsi="Times New Roman" w:eastAsia="宋体" w:cs="Times New Roman"/>
                      <w:color w:val="FF0000"/>
                      <w:kern w:val="2"/>
                      <w:sz w:val="21"/>
                      <w:szCs w:val="21"/>
                      <w:highlight w:val="none"/>
                    </w:rPr>
                  </w:pPr>
                </w:p>
              </w:tc>
              <w:tc>
                <w:tcPr>
                  <w:tcW w:w="90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77" w:type="dxa"/>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开料、机加工、</w:t>
                  </w:r>
                  <w:r>
                    <w:rPr>
                      <w:rFonts w:hint="eastAsia" w:ascii="Times New Roman" w:hAnsi="Times New Roman" w:eastAsia="宋体" w:cs="Times New Roman"/>
                      <w:color w:val="auto"/>
                      <w:kern w:val="2"/>
                      <w:sz w:val="21"/>
                      <w:szCs w:val="21"/>
                      <w:highlight w:val="none"/>
                    </w:rPr>
                    <w:t>抛光</w:t>
                  </w:r>
                  <w:r>
                    <w:rPr>
                      <w:rFonts w:hint="eastAsia" w:ascii="Times New Roman" w:hAnsi="Times New Roman" w:eastAsia="宋体" w:cs="Times New Roman"/>
                      <w:color w:val="auto"/>
                      <w:kern w:val="2"/>
                      <w:sz w:val="21"/>
                      <w:szCs w:val="21"/>
                      <w:highlight w:val="none"/>
                      <w:lang w:eastAsia="zh-CN"/>
                    </w:rPr>
                    <w:t>工序</w:t>
                  </w:r>
                </w:p>
              </w:tc>
              <w:tc>
                <w:tcPr>
                  <w:tcW w:w="1280"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TSP</w:t>
                  </w:r>
                </w:p>
              </w:tc>
              <w:tc>
                <w:tcPr>
                  <w:tcW w:w="1020" w:type="dxa"/>
                  <w:vMerge w:val="continue"/>
                  <w:vAlign w:val="center"/>
                </w:tcPr>
                <w:p>
                  <w:pPr>
                    <w:widowControl w:val="0"/>
                    <w:spacing w:after="0" w:line="360" w:lineRule="auto"/>
                    <w:jc w:val="center"/>
                    <w:rPr>
                      <w:rFonts w:ascii="Times New Roman" w:hAnsi="Times New Roman" w:eastAsia="宋体" w:cs="Times New Roman"/>
                      <w:color w:val="FF0000"/>
                      <w:kern w:val="2"/>
                      <w:sz w:val="21"/>
                      <w:szCs w:val="21"/>
                      <w:highlight w:val="none"/>
                    </w:rPr>
                  </w:pPr>
                </w:p>
              </w:tc>
              <w:tc>
                <w:tcPr>
                  <w:tcW w:w="2172" w:type="dxa"/>
                  <w:vMerge w:val="continue"/>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c>
                <w:tcPr>
                  <w:tcW w:w="1154" w:type="dxa"/>
                  <w:vAlign w:val="center"/>
                </w:tcPr>
                <w:p>
                  <w:pPr>
                    <w:widowControl/>
                    <w:ind w:firstLine="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1.0</w:t>
                  </w:r>
                </w:p>
              </w:tc>
              <w:tc>
                <w:tcPr>
                  <w:tcW w:w="1142"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40" w:type="dxa"/>
                  <w:gridSpan w:val="8"/>
                  <w:vAlign w:val="center"/>
                </w:tcPr>
                <w:p>
                  <w:pPr>
                    <w:widowControl w:val="0"/>
                    <w:spacing w:after="0" w:line="360" w:lineRule="auto"/>
                    <w:jc w:val="center"/>
                    <w:rPr>
                      <w:rFonts w:ascii="Times New Roman" w:hAnsi="Times New Roman" w:eastAsia="宋体" w:cs="Times New Roman"/>
                      <w:color w:val="FF0000"/>
                      <w:kern w:val="2"/>
                      <w:sz w:val="21"/>
                      <w:szCs w:val="21"/>
                      <w:highlight w:val="none"/>
                    </w:rPr>
                  </w:pPr>
                  <w:r>
                    <w:rPr>
                      <w:rFonts w:ascii="Times New Roman" w:hAnsi="Times New Roman" w:eastAsia="宋体" w:cs="Times New Roman"/>
                      <w:color w:val="auto"/>
                      <w:kern w:val="2"/>
                      <w:sz w:val="21"/>
                      <w:szCs w:val="21"/>
                      <w:highlight w:val="none"/>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472" w:type="dxa"/>
                  <w:gridSpan w:val="3"/>
                  <w:vMerge w:val="restart"/>
                  <w:vAlign w:val="center"/>
                </w:tcPr>
                <w:p>
                  <w:pPr>
                    <w:widowControl w:val="0"/>
                    <w:spacing w:after="0" w:line="360" w:lineRule="auto"/>
                    <w:jc w:val="center"/>
                    <w:rPr>
                      <w:rFonts w:ascii="Times New Roman" w:hAnsi="Times New Roman" w:eastAsia="宋体" w:cs="Times New Roman"/>
                      <w:color w:val="FF0000"/>
                      <w:kern w:val="2"/>
                      <w:sz w:val="21"/>
                      <w:szCs w:val="21"/>
                      <w:highlight w:val="none"/>
                    </w:rPr>
                  </w:pPr>
                  <w:r>
                    <w:rPr>
                      <w:rFonts w:ascii="Times New Roman" w:hAnsi="Times New Roman" w:eastAsia="宋体" w:cs="Times New Roman"/>
                      <w:color w:val="auto"/>
                      <w:kern w:val="2"/>
                      <w:sz w:val="21"/>
                      <w:szCs w:val="21"/>
                      <w:highlight w:val="none"/>
                    </w:rPr>
                    <w:t>无组织排放总计</w:t>
                  </w:r>
                </w:p>
              </w:tc>
              <w:tc>
                <w:tcPr>
                  <w:tcW w:w="5626" w:type="dxa"/>
                  <w:gridSpan w:val="4"/>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1142"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472" w:type="dxa"/>
                  <w:gridSpan w:val="3"/>
                  <w:vMerge w:val="continue"/>
                  <w:vAlign w:val="center"/>
                </w:tcPr>
                <w:p>
                  <w:pPr>
                    <w:widowControl w:val="0"/>
                    <w:spacing w:after="0" w:line="360" w:lineRule="auto"/>
                    <w:jc w:val="center"/>
                    <w:rPr>
                      <w:rFonts w:ascii="Times New Roman" w:hAnsi="Times New Roman" w:eastAsia="宋体" w:cs="Times New Roman"/>
                      <w:color w:val="FF0000"/>
                      <w:kern w:val="2"/>
                      <w:sz w:val="21"/>
                      <w:szCs w:val="21"/>
                      <w:highlight w:val="none"/>
                    </w:rPr>
                  </w:pPr>
                </w:p>
              </w:tc>
              <w:tc>
                <w:tcPr>
                  <w:tcW w:w="5626" w:type="dxa"/>
                  <w:gridSpan w:val="4"/>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16"/>
                      <w:highlight w:val="none"/>
                    </w:rPr>
                  </w:pPr>
                  <w:r>
                    <w:rPr>
                      <w:rFonts w:hint="eastAsia" w:ascii="Times New Roman" w:hAnsi="Times New Roman" w:eastAsia="宋体" w:cs="Times New Roman"/>
                      <w:color w:val="auto"/>
                      <w:kern w:val="2"/>
                      <w:sz w:val="21"/>
                      <w:szCs w:val="21"/>
                      <w:highlight w:val="none"/>
                    </w:rPr>
                    <w:t>TSP</w:t>
                  </w:r>
                </w:p>
              </w:tc>
              <w:tc>
                <w:tcPr>
                  <w:tcW w:w="1142"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0.101</w:t>
                  </w:r>
                </w:p>
              </w:tc>
            </w:tr>
          </w:tbl>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大气污染物年排放量核算表</w:t>
            </w:r>
          </w:p>
          <w:tbl>
            <w:tblPr>
              <w:tblStyle w:val="44"/>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5"/>
              <w:gridCol w:w="3362"/>
              <w:gridCol w:w="3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序号</w:t>
                  </w:r>
                </w:p>
              </w:tc>
              <w:tc>
                <w:tcPr>
                  <w:tcW w:w="3362"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污染物</w:t>
                  </w:r>
                </w:p>
              </w:tc>
              <w:tc>
                <w:tcPr>
                  <w:tcW w:w="3363"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1</w:t>
                  </w:r>
                </w:p>
              </w:tc>
              <w:tc>
                <w:tcPr>
                  <w:tcW w:w="3362" w:type="dxa"/>
                  <w:vAlign w:val="center"/>
                </w:tcPr>
                <w:p>
                  <w:pPr>
                    <w:widowControl w:val="0"/>
                    <w:adjustRightInd w:val="0"/>
                    <w:snapToGrid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color w:val="auto"/>
                      <w:kern w:val="2"/>
                      <w:sz w:val="21"/>
                      <w:szCs w:val="21"/>
                      <w:highlight w:val="none"/>
                    </w:rPr>
                    <w:t>非甲烷总烃</w:t>
                  </w:r>
                </w:p>
              </w:tc>
              <w:tc>
                <w:tcPr>
                  <w:tcW w:w="3363" w:type="dxa"/>
                  <w:vAlign w:val="center"/>
                </w:tcPr>
                <w:p>
                  <w:pPr>
                    <w:widowControl w:val="0"/>
                    <w:spacing w:after="0" w:line="360" w:lineRule="auto"/>
                    <w:jc w:val="center"/>
                    <w:textAlignment w:val="center"/>
                    <w:rPr>
                      <w:rFonts w:hint="default"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2</w:t>
                  </w:r>
                </w:p>
              </w:tc>
              <w:tc>
                <w:tcPr>
                  <w:tcW w:w="3362"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b/>
                      <w:bCs/>
                      <w:color w:val="auto"/>
                      <w:kern w:val="2"/>
                      <w:sz w:val="21"/>
                      <w:szCs w:val="21"/>
                      <w:highlight w:val="none"/>
                    </w:rPr>
                  </w:pPr>
                  <w:r>
                    <w:rPr>
                      <w:rFonts w:hint="eastAsia" w:ascii="Times New Roman" w:hAnsi="Impact" w:eastAsia="宋体" w:cs="Times New Roman"/>
                      <w:color w:val="auto"/>
                      <w:kern w:val="24"/>
                      <w:sz w:val="21"/>
                      <w:szCs w:val="21"/>
                      <w:highlight w:val="none"/>
                    </w:rPr>
                    <w:t>SO</w:t>
                  </w:r>
                  <w:r>
                    <w:rPr>
                      <w:rFonts w:hint="eastAsia" w:ascii="Times New Roman" w:hAnsi="Impact" w:eastAsia="宋体" w:cs="Times New Roman"/>
                      <w:color w:val="auto"/>
                      <w:kern w:val="24"/>
                      <w:sz w:val="21"/>
                      <w:szCs w:val="21"/>
                      <w:highlight w:val="none"/>
                      <w:vertAlign w:val="subscript"/>
                    </w:rPr>
                    <w:t>2</w:t>
                  </w:r>
                </w:p>
              </w:tc>
              <w:tc>
                <w:tcPr>
                  <w:tcW w:w="3363" w:type="dxa"/>
                  <w:vAlign w:val="center"/>
                </w:tcPr>
                <w:p>
                  <w:pPr>
                    <w:widowControl w:val="0"/>
                    <w:adjustRightInd w:val="0"/>
                    <w:snapToGrid w:val="0"/>
                    <w:spacing w:after="0" w:line="240" w:lineRule="auto"/>
                    <w:jc w:val="center"/>
                    <w:rPr>
                      <w:rFonts w:ascii="Times New Roman" w:hAnsi="Times New Roman" w:eastAsia="宋体" w:cs="Times New Roman"/>
                      <w:b/>
                      <w:bCs/>
                      <w:color w:val="auto"/>
                      <w:kern w:val="2"/>
                      <w:sz w:val="21"/>
                      <w:szCs w:val="21"/>
                      <w:highlight w:val="none"/>
                    </w:rPr>
                  </w:pPr>
                  <w:r>
                    <w:rPr>
                      <w:rFonts w:hint="default" w:ascii="Times New Roman" w:hAnsi="Times New Roman" w:eastAsia="宋体" w:cs="Times New Roman"/>
                      <w:color w:val="auto"/>
                      <w:kern w:val="2"/>
                      <w:sz w:val="21"/>
                      <w:szCs w:val="21"/>
                      <w:lang w:val="en-US" w:eastAsia="zh-CN"/>
                    </w:rPr>
                    <w:t xml:space="preserve">0.020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3</w:t>
                  </w:r>
                </w:p>
              </w:tc>
              <w:tc>
                <w:tcPr>
                  <w:tcW w:w="3362"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0"/>
                      <w:sz w:val="21"/>
                      <w:szCs w:val="21"/>
                      <w:highlight w:val="none"/>
                    </w:rPr>
                  </w:pPr>
                  <w:r>
                    <w:rPr>
                      <w:rFonts w:hint="eastAsia" w:ascii="Times New Roman" w:hAnsi="Impact" w:eastAsia="宋体" w:cs="Times New Roman"/>
                      <w:color w:val="auto"/>
                      <w:kern w:val="24"/>
                      <w:sz w:val="21"/>
                      <w:szCs w:val="21"/>
                      <w:highlight w:val="none"/>
                    </w:rPr>
                    <w:t>NO</w:t>
                  </w:r>
                  <w:r>
                    <w:rPr>
                      <w:rFonts w:hint="eastAsia" w:ascii="Times New Roman" w:hAnsi="Impact" w:eastAsia="宋体" w:cs="Times New Roman"/>
                      <w:color w:val="auto"/>
                      <w:kern w:val="24"/>
                      <w:sz w:val="21"/>
                      <w:szCs w:val="21"/>
                      <w:highlight w:val="none"/>
                      <w:vertAlign w:val="subscript"/>
                    </w:rPr>
                    <w:t>X</w:t>
                  </w:r>
                </w:p>
              </w:tc>
              <w:tc>
                <w:tcPr>
                  <w:tcW w:w="3363" w:type="dxa"/>
                  <w:vAlign w:val="center"/>
                </w:tcPr>
                <w:p>
                  <w:pPr>
                    <w:widowControl w:val="0"/>
                    <w:adjustRightInd w:val="0"/>
                    <w:snapToGrid w:val="0"/>
                    <w:spacing w:after="0" w:line="240" w:lineRule="auto"/>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2"/>
                      <w:sz w:val="21"/>
                      <w:szCs w:val="21"/>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hint="eastAsia" w:ascii="Times New Roman" w:hAnsi="Times New Roman" w:eastAsia="宋体" w:cs="Times New Roman"/>
                      <w:b/>
                      <w:bCs/>
                      <w:color w:val="auto"/>
                      <w:kern w:val="2"/>
                      <w:sz w:val="21"/>
                      <w:szCs w:val="21"/>
                      <w:highlight w:val="none"/>
                    </w:rPr>
                    <w:t>4</w:t>
                  </w:r>
                </w:p>
              </w:tc>
              <w:tc>
                <w:tcPr>
                  <w:tcW w:w="3362"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16"/>
                      <w:highlight w:val="none"/>
                    </w:rPr>
                  </w:pPr>
                  <w:r>
                    <w:rPr>
                      <w:rFonts w:hint="eastAsia" w:ascii="Times New Roman" w:hAnsi="Times New Roman" w:eastAsia="宋体" w:cs="Times New Roman"/>
                      <w:color w:val="auto"/>
                      <w:kern w:val="2"/>
                      <w:sz w:val="21"/>
                      <w:szCs w:val="21"/>
                      <w:highlight w:val="none"/>
                    </w:rPr>
                    <w:t>TSP</w:t>
                  </w:r>
                </w:p>
              </w:tc>
              <w:tc>
                <w:tcPr>
                  <w:tcW w:w="3363" w:type="dxa"/>
                  <w:vAlign w:val="center"/>
                </w:tcPr>
                <w:p>
                  <w:pPr>
                    <w:widowControl w:val="0"/>
                    <w:spacing w:after="0" w:line="36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hint="eastAsia" w:ascii="Times New Roman" w:hAnsi="Times New Roman" w:eastAsia="宋体" w:cs="Times New Roman"/>
                      <w:b/>
                      <w:bCs/>
                      <w:color w:val="auto"/>
                      <w:kern w:val="2"/>
                      <w:sz w:val="21"/>
                      <w:szCs w:val="21"/>
                      <w:highlight w:val="none"/>
                    </w:rPr>
                    <w:t>5</w:t>
                  </w:r>
                </w:p>
              </w:tc>
              <w:tc>
                <w:tcPr>
                  <w:tcW w:w="3362" w:type="dxa"/>
                  <w:vAlign w:val="center"/>
                </w:tcPr>
                <w:p>
                  <w:pPr>
                    <w:widowControl/>
                    <w:topLinePunct/>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PM</w:t>
                  </w:r>
                  <w:r>
                    <w:rPr>
                      <w:rFonts w:hint="eastAsia" w:ascii="Times New Roman" w:hAnsi="Times New Roman" w:eastAsia="宋体" w:cs="Times New Roman"/>
                      <w:color w:val="auto"/>
                      <w:kern w:val="2"/>
                      <w:sz w:val="21"/>
                      <w:szCs w:val="21"/>
                      <w:highlight w:val="none"/>
                      <w:vertAlign w:val="subscript"/>
                    </w:rPr>
                    <w:t>10</w:t>
                  </w:r>
                </w:p>
              </w:tc>
              <w:tc>
                <w:tcPr>
                  <w:tcW w:w="3363" w:type="dxa"/>
                  <w:vAlign w:val="center"/>
                </w:tcPr>
                <w:p>
                  <w:pPr>
                    <w:widowControl w:val="0"/>
                    <w:spacing w:after="0" w:line="360" w:lineRule="auto"/>
                    <w:jc w:val="center"/>
                    <w:textAlignment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0.003</w:t>
                  </w:r>
                </w:p>
              </w:tc>
            </w:tr>
          </w:tbl>
          <w:p>
            <w:pPr>
              <w:widowControl/>
              <w:spacing w:line="336" w:lineRule="auto"/>
              <w:ind w:firstLine="470" w:firstLineChars="196"/>
              <w:jc w:val="left"/>
              <w:rPr>
                <w:rFonts w:ascii="Times New Roman" w:hAnsi="Times New Roman" w:eastAsia="宋体" w:cs="Times New Roman"/>
                <w:b/>
                <w:color w:val="auto"/>
                <w:kern w:val="2"/>
                <w:sz w:val="24"/>
                <w:szCs w:val="20"/>
                <w:highlight w:val="none"/>
                <w:lang w:val="en-US" w:eastAsia="zh-CN" w:bidi="ar-SA"/>
              </w:rPr>
            </w:pPr>
            <w:r>
              <w:rPr>
                <w:rFonts w:ascii="Times New Roman" w:hAnsi="Times New Roman" w:eastAsia="宋体" w:cs="Times New Roman"/>
                <w:color w:val="auto"/>
                <w:kern w:val="0"/>
                <w:sz w:val="24"/>
                <w:szCs w:val="24"/>
                <w:highlight w:val="none"/>
                <w:lang w:val="en-US" w:eastAsia="zh-CN" w:bidi="ar-SA"/>
              </w:rPr>
              <w:t>综上可知，本项目大气污染物年排放核算情况为</w:t>
            </w:r>
            <w:r>
              <w:rPr>
                <w:rFonts w:hint="eastAsia" w:ascii="Times New Roman" w:hAnsi="Times New Roman" w:eastAsia="宋体" w:cs="Times New Roman"/>
                <w:color w:val="auto"/>
                <w:kern w:val="0"/>
                <w:sz w:val="24"/>
                <w:szCs w:val="24"/>
                <w:highlight w:val="none"/>
                <w:lang w:val="en-US" w:eastAsia="zh-CN" w:bidi="ar-SA"/>
              </w:rPr>
              <w:t>：</w:t>
            </w:r>
            <w:r>
              <w:rPr>
                <w:rFonts w:ascii="Times New Roman" w:hAnsi="Times New Roman" w:eastAsia="宋体" w:cs="Times New Roman"/>
                <w:color w:val="auto"/>
                <w:kern w:val="0"/>
                <w:sz w:val="24"/>
                <w:szCs w:val="24"/>
                <w:highlight w:val="none"/>
                <w:lang w:val="en-US" w:eastAsia="zh-CN" w:bidi="ar-SA"/>
              </w:rPr>
              <w:t>非甲烷总烃：</w:t>
            </w:r>
            <w:r>
              <w:rPr>
                <w:rFonts w:hint="eastAsia" w:ascii="Times New Roman" w:hAnsi="Times New Roman" w:eastAsia="宋体" w:cs="Times New Roman"/>
                <w:color w:val="auto"/>
                <w:kern w:val="0"/>
                <w:sz w:val="24"/>
                <w:szCs w:val="24"/>
                <w:highlight w:val="none"/>
                <w:lang w:val="en-US" w:eastAsia="zh-CN" w:bidi="ar-SA"/>
              </w:rPr>
              <w:t>0.072</w:t>
            </w:r>
            <w:r>
              <w:rPr>
                <w:rFonts w:ascii="Times New Roman" w:hAnsi="Times New Roman" w:eastAsia="宋体" w:cs="Times New Roman"/>
                <w:color w:val="auto"/>
                <w:kern w:val="0"/>
                <w:sz w:val="24"/>
                <w:szCs w:val="24"/>
                <w:highlight w:val="none"/>
                <w:lang w:val="en-US" w:eastAsia="zh-CN" w:bidi="ar-SA"/>
              </w:rPr>
              <w:t>t/a，</w:t>
            </w:r>
            <w:r>
              <w:rPr>
                <w:rFonts w:ascii="Times New Roman" w:hAnsi="Times New Roman" w:eastAsia="宋体" w:cs="Times New Roman"/>
                <w:color w:val="auto"/>
                <w:kern w:val="0"/>
                <w:sz w:val="24"/>
                <w:szCs w:val="20"/>
                <w:highlight w:val="none"/>
                <w:lang w:val="en-US" w:eastAsia="zh-CN" w:bidi="ar-SA"/>
              </w:rPr>
              <w:t>SO</w:t>
            </w:r>
            <w:r>
              <w:rPr>
                <w:rFonts w:ascii="Times New Roman" w:hAnsi="Times New Roman" w:eastAsia="宋体" w:cs="Times New Roman"/>
                <w:color w:val="auto"/>
                <w:kern w:val="0"/>
                <w:sz w:val="24"/>
                <w:szCs w:val="20"/>
                <w:highlight w:val="none"/>
                <w:vertAlign w:val="subscript"/>
                <w:lang w:val="en-US" w:eastAsia="zh-CN" w:bidi="ar-SA"/>
              </w:rPr>
              <w:t>2</w:t>
            </w:r>
            <w:r>
              <w:rPr>
                <w:rFonts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0.020</w:t>
            </w:r>
            <w:r>
              <w:rPr>
                <w:rFonts w:ascii="Times New Roman" w:hAnsi="Times New Roman" w:eastAsia="宋体" w:cs="Times New Roman"/>
                <w:color w:val="auto"/>
                <w:kern w:val="0"/>
                <w:sz w:val="24"/>
                <w:szCs w:val="24"/>
                <w:highlight w:val="none"/>
                <w:lang w:val="en-US" w:eastAsia="zh-CN" w:bidi="ar-SA"/>
              </w:rPr>
              <w:t>t/a</w:t>
            </w:r>
            <w:r>
              <w:rPr>
                <w:rFonts w:ascii="Times New Roman" w:hAnsi="宋体" w:eastAsia="宋体" w:cs="Times New Roman"/>
                <w:color w:val="auto"/>
                <w:kern w:val="0"/>
                <w:sz w:val="24"/>
                <w:szCs w:val="20"/>
                <w:highlight w:val="none"/>
                <w:lang w:val="en-US" w:eastAsia="zh-CN" w:bidi="ar-SA"/>
              </w:rPr>
              <w:t>、</w:t>
            </w:r>
            <w:r>
              <w:rPr>
                <w:rFonts w:ascii="Times New Roman" w:hAnsi="Times New Roman" w:eastAsia="宋体" w:cs="Times New Roman"/>
                <w:color w:val="auto"/>
                <w:kern w:val="0"/>
                <w:sz w:val="24"/>
                <w:szCs w:val="20"/>
                <w:highlight w:val="none"/>
                <w:lang w:val="en-US" w:eastAsia="zh-CN" w:bidi="ar-SA"/>
              </w:rPr>
              <w:t>NOx</w:t>
            </w:r>
            <w:r>
              <w:rPr>
                <w:rFonts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0"/>
                <w:highlight w:val="none"/>
                <w:lang w:val="en-US" w:eastAsia="zh-CN" w:bidi="ar-SA"/>
              </w:rPr>
              <w:t>0.032</w:t>
            </w:r>
            <w:r>
              <w:rPr>
                <w:rFonts w:ascii="Times New Roman" w:hAnsi="Times New Roman" w:eastAsia="宋体" w:cs="Times New Roman"/>
                <w:color w:val="auto"/>
                <w:kern w:val="0"/>
                <w:sz w:val="24"/>
                <w:szCs w:val="24"/>
                <w:highlight w:val="none"/>
                <w:lang w:val="en-US" w:eastAsia="zh-CN" w:bidi="ar-SA"/>
              </w:rPr>
              <w:t>t/a</w:t>
            </w:r>
            <w:r>
              <w:rPr>
                <w:rFonts w:hint="eastAsia" w:ascii="Times New Roman" w:hAnsi="Times New Roman" w:eastAsia="宋体" w:cs="Times New Roman"/>
                <w:color w:val="auto"/>
                <w:kern w:val="0"/>
                <w:sz w:val="24"/>
                <w:szCs w:val="20"/>
                <w:highlight w:val="none"/>
                <w:lang w:val="en-US" w:eastAsia="zh-CN" w:bidi="ar-SA"/>
              </w:rPr>
              <w:t>，颗粒物</w:t>
            </w:r>
            <w:r>
              <w:rPr>
                <w:rFonts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0.116</w:t>
            </w:r>
            <w:r>
              <w:rPr>
                <w:rFonts w:ascii="Times New Roman" w:hAnsi="Times New Roman" w:eastAsia="宋体" w:cs="Times New Roman"/>
                <w:color w:val="auto"/>
                <w:kern w:val="0"/>
                <w:sz w:val="24"/>
                <w:szCs w:val="24"/>
                <w:highlight w:val="none"/>
                <w:lang w:val="en-US" w:eastAsia="zh-CN" w:bidi="ar-SA"/>
              </w:rPr>
              <w:t>。</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eastAsia" w:ascii="Times New Roman" w:hAnsi="Times New Roman" w:eastAsia="宋体" w:cs="Times New Roman"/>
                <w:b/>
                <w:color w:val="auto"/>
                <w:kern w:val="2"/>
                <w:sz w:val="24"/>
                <w:lang w:eastAsia="zh-CN"/>
              </w:rPr>
              <w:t>三</w:t>
            </w:r>
            <w:r>
              <w:rPr>
                <w:rFonts w:hint="default" w:ascii="Times New Roman" w:hAnsi="Times New Roman" w:eastAsia="宋体" w:cs="Times New Roman"/>
                <w:b/>
                <w:color w:val="auto"/>
                <w:kern w:val="2"/>
                <w:sz w:val="24"/>
              </w:rPr>
              <w:t>、噪声环境影响分析</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本项目的噪声主要来自生产设备运行时产生的噪声，噪声值约为</w:t>
            </w:r>
            <w:r>
              <w:rPr>
                <w:rFonts w:ascii="Times New Roman" w:hAnsi="Times New Roman" w:eastAsia="TimesNewRomanPSMT" w:cs="Times New Roman"/>
                <w:kern w:val="0"/>
                <w:sz w:val="24"/>
                <w:szCs w:val="24"/>
                <w:lang w:bidi="ar"/>
              </w:rPr>
              <w:t>70</w:t>
            </w:r>
            <w:r>
              <w:rPr>
                <w:rFonts w:ascii="Times New Roman" w:hAnsi="Times New Roman" w:eastAsia="宋体" w:cs="Times New Roman"/>
                <w:kern w:val="0"/>
                <w:sz w:val="24"/>
                <w:szCs w:val="24"/>
                <w:lang w:bidi="ar"/>
              </w:rPr>
              <w:t>～</w:t>
            </w:r>
            <w:r>
              <w:rPr>
                <w:rFonts w:ascii="Times New Roman" w:hAnsi="Times New Roman" w:eastAsia="TimesNewRomanPSMT" w:cs="Times New Roman"/>
                <w:kern w:val="0"/>
                <w:sz w:val="24"/>
                <w:szCs w:val="24"/>
                <w:lang w:bidi="ar"/>
              </w:rPr>
              <w:t>90dB(A)</w:t>
            </w:r>
            <w:r>
              <w:rPr>
                <w:rFonts w:ascii="Times New Roman" w:hAnsi="Times New Roman" w:eastAsia="宋体" w:cs="Times New Roman"/>
                <w:kern w:val="0"/>
                <w:sz w:val="24"/>
                <w:szCs w:val="24"/>
                <w:lang w:bidi="ar"/>
              </w:rPr>
              <w:t>。</w:t>
            </w:r>
            <w:r>
              <w:rPr>
                <w:rFonts w:hint="eastAsia" w:ascii="Times New Roman" w:hAnsi="Times New Roman" w:eastAsia="宋体" w:cs="Times New Roman"/>
                <w:kern w:val="2"/>
                <w:sz w:val="24"/>
                <w:szCs w:val="24"/>
              </w:rPr>
              <w:t>云浮市盈安检测技术有限公司</w:t>
            </w:r>
            <w:r>
              <w:rPr>
                <w:rFonts w:ascii="Times New Roman" w:hAnsi="Times New Roman" w:eastAsia="宋体" w:cs="Times New Roman"/>
                <w:kern w:val="2"/>
                <w:sz w:val="24"/>
                <w:szCs w:val="24"/>
              </w:rPr>
              <w:t>于</w:t>
            </w:r>
            <w:r>
              <w:rPr>
                <w:rFonts w:hint="eastAsia" w:ascii="Times New Roman" w:hAnsi="Times New Roman" w:eastAsia="宋体" w:cs="Times New Roman"/>
                <w:kern w:val="2"/>
                <w:sz w:val="24"/>
                <w:szCs w:val="24"/>
              </w:rPr>
              <w:t>2019年</w:t>
            </w:r>
            <w:r>
              <w:rPr>
                <w:rFonts w:hint="eastAsia" w:ascii="Times New Roman" w:hAnsi="Times New Roman" w:eastAsia="宋体" w:cs="Times New Roman"/>
                <w:kern w:val="2"/>
                <w:sz w:val="24"/>
                <w:szCs w:val="24"/>
                <w:lang w:val="en-US" w:eastAsia="zh-CN"/>
              </w:rPr>
              <w:t>11</w:t>
            </w:r>
            <w:r>
              <w:rPr>
                <w:rFonts w:hint="eastAsia" w:ascii="Times New Roman" w:hAnsi="Times New Roman" w:eastAsia="宋体" w:cs="Times New Roman"/>
                <w:kern w:val="2"/>
                <w:sz w:val="24"/>
                <w:szCs w:val="24"/>
              </w:rPr>
              <w:t>月</w:t>
            </w:r>
            <w:r>
              <w:rPr>
                <w:rFonts w:hint="eastAsia" w:ascii="Times New Roman" w:hAnsi="Times New Roman" w:eastAsia="宋体" w:cs="Times New Roman"/>
                <w:kern w:val="2"/>
                <w:sz w:val="24"/>
                <w:szCs w:val="24"/>
                <w:lang w:val="en-US" w:eastAsia="zh-CN"/>
              </w:rPr>
              <w:t>5</w:t>
            </w:r>
            <w:r>
              <w:rPr>
                <w:rFonts w:hint="eastAsia" w:ascii="Times New Roman" w:hAnsi="Times New Roman" w:eastAsia="宋体" w:cs="Times New Roman"/>
                <w:kern w:val="2"/>
                <w:sz w:val="24"/>
                <w:szCs w:val="24"/>
              </w:rPr>
              <w:t>日-</w:t>
            </w:r>
            <w:r>
              <w:rPr>
                <w:rFonts w:hint="eastAsia" w:ascii="Times New Roman" w:hAnsi="Times New Roman" w:eastAsia="宋体" w:cs="Times New Roman"/>
                <w:kern w:val="2"/>
                <w:sz w:val="24"/>
                <w:szCs w:val="24"/>
                <w:lang w:val="en-US" w:eastAsia="zh-CN"/>
              </w:rPr>
              <w:t>6</w:t>
            </w:r>
            <w:r>
              <w:rPr>
                <w:rFonts w:hint="eastAsia" w:ascii="Times New Roman" w:hAnsi="Times New Roman" w:eastAsia="宋体" w:cs="Times New Roman"/>
                <w:kern w:val="2"/>
                <w:sz w:val="24"/>
                <w:szCs w:val="24"/>
              </w:rPr>
              <w:t>日对</w:t>
            </w:r>
            <w:r>
              <w:rPr>
                <w:rFonts w:ascii="Times New Roman" w:hAnsi="Times New Roman" w:eastAsia="宋体" w:cs="Times New Roman"/>
                <w:kern w:val="0"/>
                <w:sz w:val="24"/>
                <w:szCs w:val="24"/>
                <w:lang w:bidi="ar"/>
              </w:rPr>
              <w:t>本项目边界噪声进行监测，监测时生产工况达到75%，根据本项目监测数据可知，本项目运营期</w:t>
            </w:r>
            <w:r>
              <w:rPr>
                <w:rFonts w:hint="eastAsia" w:ascii="Times New Roman" w:hAnsi="Times New Roman" w:eastAsia="宋体" w:cs="Times New Roman"/>
                <w:kern w:val="0"/>
                <w:sz w:val="24"/>
                <w:szCs w:val="24"/>
                <w:lang w:bidi="ar"/>
              </w:rPr>
              <w:t>东、南、西、北</w:t>
            </w:r>
            <w:r>
              <w:rPr>
                <w:rFonts w:ascii="Times New Roman" w:hAnsi="Times New Roman" w:eastAsia="宋体" w:cs="Times New Roman"/>
                <w:kern w:val="0"/>
                <w:sz w:val="24"/>
                <w:szCs w:val="24"/>
                <w:lang w:bidi="ar"/>
              </w:rPr>
              <w:t>边界</w:t>
            </w:r>
            <w:r>
              <w:rPr>
                <w:rFonts w:hint="eastAsia" w:ascii="Times New Roman" w:hAnsi="Times New Roman" w:eastAsia="宋体" w:cs="Times New Roman"/>
                <w:kern w:val="0"/>
                <w:sz w:val="24"/>
                <w:szCs w:val="24"/>
                <w:lang w:bidi="ar"/>
              </w:rPr>
              <w:t>均</w:t>
            </w:r>
            <w:r>
              <w:rPr>
                <w:rFonts w:ascii="Times New Roman" w:hAnsi="Times New Roman" w:eastAsia="宋体" w:cs="Times New Roman"/>
                <w:kern w:val="0"/>
                <w:sz w:val="24"/>
                <w:szCs w:val="24"/>
                <w:lang w:bidi="ar"/>
              </w:rPr>
              <w:t>满足《工业企业厂界环境噪声排放标准》（GB 12348-2008）</w:t>
            </w:r>
            <w:r>
              <w:rPr>
                <w:rFonts w:hint="eastAsia" w:ascii="Times New Roman" w:hAnsi="Times New Roman" w:eastAsia="宋体" w:cs="Times New Roman"/>
                <w:kern w:val="0"/>
                <w:sz w:val="24"/>
                <w:szCs w:val="24"/>
                <w:lang w:eastAsia="zh-CN" w:bidi="ar"/>
              </w:rPr>
              <w:t>3类</w:t>
            </w:r>
            <w:r>
              <w:rPr>
                <w:rFonts w:ascii="Times New Roman" w:hAnsi="Times New Roman" w:eastAsia="宋体" w:cs="Times New Roman"/>
                <w:kern w:val="0"/>
                <w:sz w:val="24"/>
                <w:szCs w:val="24"/>
                <w:lang w:bidi="ar"/>
              </w:rPr>
              <w:t>标准限值要求，说明本项目运营期噪声可达标排放，项目周围200米内敏感点可满足《声环境质量标准》（GB3096-2008）2 类标准限值要求，说明周围声环境状况良好。</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为避免项目产生的噪声对周围环境造成影响，建议建设单位采取以下措施进行有效防治：</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①有针对性地对噪声设备进行合理布置，让噪声源尽量远离边界。</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②对高噪声设备进行隔声、减震等措施。</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③加强对设备的定期检查、维护和管理，以保证设备的正常运行，避免因设备异常运行所产生的噪声对周围环境的影响。</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④在生产过程中要加强环保意识，注意轻拿轻放，减少取、放配件时产生的人为噪声。</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⑤合理安排生产时间，白天作业，夜间禁止生产。</w:t>
            </w:r>
          </w:p>
          <w:p>
            <w:pPr>
              <w:widowControl/>
              <w:spacing w:after="0" w:line="360" w:lineRule="auto"/>
              <w:ind w:firstLine="480" w:firstLineChars="200"/>
              <w:jc w:val="left"/>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完善上述相关防治措施后，可确保</w:t>
            </w:r>
            <w:r>
              <w:rPr>
                <w:rFonts w:hint="eastAsia" w:ascii="Times New Roman" w:hAnsi="Times New Roman" w:eastAsia="宋体" w:cs="Times New Roman"/>
                <w:kern w:val="0"/>
                <w:sz w:val="24"/>
                <w:szCs w:val="24"/>
                <w:lang w:bidi="ar"/>
              </w:rPr>
              <w:t>项目</w:t>
            </w:r>
            <w:r>
              <w:rPr>
                <w:rFonts w:ascii="Times New Roman" w:hAnsi="Times New Roman" w:eastAsia="宋体" w:cs="Times New Roman"/>
                <w:kern w:val="0"/>
                <w:sz w:val="24"/>
                <w:szCs w:val="24"/>
                <w:lang w:bidi="ar"/>
              </w:rPr>
              <w:t>边界噪声达到《工业企业厂界环境噪声排放标准》（GB 12348-2008）</w:t>
            </w:r>
            <w:r>
              <w:rPr>
                <w:rFonts w:hint="eastAsia" w:ascii="Times New Roman" w:hAnsi="Times New Roman" w:eastAsia="宋体" w:cs="Times New Roman"/>
                <w:kern w:val="0"/>
                <w:sz w:val="24"/>
                <w:szCs w:val="24"/>
                <w:lang w:eastAsia="zh-CN" w:bidi="ar"/>
              </w:rPr>
              <w:t>3类</w:t>
            </w:r>
            <w:r>
              <w:rPr>
                <w:rFonts w:ascii="Times New Roman" w:hAnsi="Times New Roman" w:eastAsia="宋体" w:cs="Times New Roman"/>
                <w:kern w:val="0"/>
                <w:sz w:val="24"/>
                <w:szCs w:val="24"/>
                <w:lang w:bidi="ar"/>
              </w:rPr>
              <w:t>标准限值要求，则对区域声环境质量的影响较小。</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eastAsia" w:ascii="Times New Roman" w:hAnsi="Times New Roman" w:eastAsia="宋体" w:cs="Times New Roman"/>
                <w:b/>
                <w:color w:val="auto"/>
                <w:kern w:val="2"/>
                <w:sz w:val="24"/>
                <w:lang w:eastAsia="zh-CN"/>
              </w:rPr>
              <w:t>四</w:t>
            </w:r>
            <w:r>
              <w:rPr>
                <w:rFonts w:hint="default" w:ascii="Times New Roman" w:hAnsi="Times New Roman" w:eastAsia="宋体" w:cs="Times New Roman"/>
                <w:b/>
                <w:color w:val="auto"/>
                <w:kern w:val="2"/>
                <w:sz w:val="24"/>
              </w:rPr>
              <w:t>、固废环境影响分析</w:t>
            </w:r>
          </w:p>
          <w:p>
            <w:pPr>
              <w:widowControl w:val="0"/>
              <w:spacing w:after="0" w:line="360" w:lineRule="auto"/>
              <w:ind w:firstLine="482" w:firstLineChars="200"/>
              <w:jc w:val="both"/>
              <w:textAlignment w:val="baseline"/>
              <w:rPr>
                <w:rFonts w:hint="default" w:ascii="Times New Roman" w:hAnsi="Times New Roman" w:eastAsia="宋体" w:cs="Times New Roman"/>
                <w:b/>
                <w:bCs/>
                <w:color w:val="auto"/>
                <w:kern w:val="2"/>
                <w:sz w:val="24"/>
              </w:rPr>
            </w:pPr>
            <w:r>
              <w:rPr>
                <w:rFonts w:hint="default" w:ascii="Times New Roman" w:hAnsi="Times New Roman" w:eastAsia="宋体" w:cs="Times New Roman"/>
                <w:b/>
                <w:bCs/>
                <w:color w:val="auto"/>
                <w:kern w:val="2"/>
                <w:sz w:val="24"/>
              </w:rPr>
              <w:t>◇一般固体废物</w:t>
            </w:r>
          </w:p>
          <w:p>
            <w:pPr>
              <w:widowControl w:val="0"/>
              <w:spacing w:after="0" w:line="360" w:lineRule="auto"/>
              <w:ind w:firstLine="480" w:firstLineChars="200"/>
              <w:jc w:val="both"/>
              <w:textAlignment w:val="baseline"/>
              <w:rPr>
                <w:rFonts w:hint="eastAsia" w:ascii="Times New Roman" w:hAnsi="Times New Roman" w:eastAsia="宋体" w:cs="Times New Roman"/>
                <w:color w:val="FF0000"/>
                <w:kern w:val="2"/>
                <w:sz w:val="24"/>
                <w:lang w:val="en-US" w:eastAsia="zh-CN"/>
              </w:rPr>
            </w:pPr>
            <w:r>
              <w:rPr>
                <w:rFonts w:hint="default" w:ascii="Times New Roman" w:hAnsi="Times New Roman" w:eastAsia="宋体" w:cs="Times New Roman"/>
                <w:color w:val="auto"/>
                <w:kern w:val="2"/>
                <w:sz w:val="24"/>
              </w:rPr>
              <w:t>项目产生的固体废物主要为员工生活垃圾、沉降金属粉尘</w:t>
            </w:r>
            <w:r>
              <w:rPr>
                <w:rFonts w:hint="eastAsia" w:ascii="Times New Roman" w:hAnsi="Times New Roman" w:eastAsia="宋体" w:cs="Times New Roman"/>
                <w:color w:val="auto"/>
                <w:kern w:val="2"/>
                <w:sz w:val="24"/>
                <w:lang w:eastAsia="zh-CN"/>
              </w:rPr>
              <w:t>、</w:t>
            </w:r>
            <w:r>
              <w:rPr>
                <w:rFonts w:hint="default" w:ascii="Times New Roman" w:hAnsi="Times New Roman" w:eastAsia="宋体" w:cs="Times New Roman"/>
                <w:color w:val="auto"/>
                <w:kern w:val="2"/>
                <w:sz w:val="24"/>
              </w:rPr>
              <w:t>边角料</w:t>
            </w:r>
            <w:r>
              <w:rPr>
                <w:rFonts w:hint="eastAsia" w:ascii="Times New Roman" w:hAnsi="Times New Roman" w:eastAsia="宋体" w:cs="Times New Roman"/>
                <w:color w:val="auto"/>
                <w:kern w:val="2"/>
                <w:sz w:val="24"/>
                <w:lang w:eastAsia="zh-CN"/>
              </w:rPr>
              <w:t>、不合格品、</w:t>
            </w:r>
            <w:r>
              <w:rPr>
                <w:rFonts w:hint="default" w:ascii="Times New Roman" w:hAnsi="Times New Roman" w:eastAsia="宋体" w:cs="Times New Roman"/>
                <w:color w:val="auto"/>
                <w:kern w:val="2"/>
                <w:sz w:val="24"/>
              </w:rPr>
              <w:t>废包装材料</w:t>
            </w:r>
            <w:r>
              <w:rPr>
                <w:rFonts w:hint="eastAsia" w:ascii="Times New Roman" w:hAnsi="Times New Roman" w:eastAsia="宋体" w:cs="Times New Roman"/>
                <w:color w:val="auto"/>
                <w:kern w:val="2"/>
                <w:sz w:val="24"/>
                <w:lang w:eastAsia="zh-CN"/>
              </w:rPr>
              <w:t>以及布袋除尘装置收集的粉尘。</w:t>
            </w:r>
            <w:r>
              <w:rPr>
                <w:rFonts w:hint="default" w:ascii="Times New Roman" w:hAnsi="Times New Roman" w:eastAsia="宋体" w:cs="Times New Roman"/>
                <w:color w:val="auto"/>
                <w:kern w:val="2"/>
                <w:sz w:val="24"/>
              </w:rPr>
              <w:t>员工生活垃圾产</w:t>
            </w:r>
            <w:r>
              <w:rPr>
                <w:rFonts w:hint="default" w:ascii="Times New Roman" w:hAnsi="Times New Roman" w:eastAsia="宋体" w:cs="Times New Roman"/>
                <w:color w:val="auto"/>
                <w:kern w:val="2"/>
                <w:sz w:val="24"/>
                <w:szCs w:val="24"/>
              </w:rPr>
              <w:t>生量为</w:t>
            </w:r>
            <w:r>
              <w:rPr>
                <w:rFonts w:hint="eastAsia" w:ascii="Times New Roman" w:hAnsi="Times New Roman" w:eastAsia="宋体" w:cs="Times New Roman"/>
                <w:color w:val="auto"/>
                <w:kern w:val="2"/>
                <w:sz w:val="24"/>
                <w:szCs w:val="24"/>
                <w:lang w:val="en-US" w:eastAsia="zh-CN"/>
              </w:rPr>
              <w:t>4.8</w:t>
            </w:r>
            <w:r>
              <w:rPr>
                <w:rFonts w:hint="default" w:ascii="Times New Roman" w:hAnsi="Times New Roman" w:eastAsia="宋体" w:cs="Times New Roman"/>
                <w:color w:val="auto"/>
                <w:kern w:val="2"/>
                <w:sz w:val="24"/>
                <w:szCs w:val="24"/>
              </w:rPr>
              <w:t>t/a，暂存于车间内固体废物暂存区，交由环卫部门回收处置；沉降金属粉尘产生量约为0.225t/a，</w:t>
            </w:r>
            <w:r>
              <w:rPr>
                <w:rFonts w:hint="default" w:ascii="Times New Roman" w:hAnsi="Times New Roman" w:cs="Times New Roman"/>
                <w:color w:val="auto"/>
                <w:sz w:val="24"/>
                <w:szCs w:val="24"/>
              </w:rPr>
              <w:t>经收集后交由废品回收商回收处置，不外排</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kern w:val="2"/>
                <w:sz w:val="24"/>
                <w:szCs w:val="24"/>
              </w:rPr>
              <w:t>边角料产生量约为</w:t>
            </w:r>
            <w:r>
              <w:rPr>
                <w:rFonts w:hint="eastAsia" w:ascii="Times New Roman" w:hAnsi="Times New Roman" w:eastAsia="宋体" w:cs="Times New Roman"/>
                <w:color w:val="auto"/>
                <w:kern w:val="2"/>
                <w:sz w:val="24"/>
                <w:szCs w:val="24"/>
                <w:lang w:val="en-US" w:eastAsia="zh-CN"/>
              </w:rPr>
              <w:t>10</w:t>
            </w:r>
            <w:r>
              <w:rPr>
                <w:rFonts w:hint="default" w:ascii="Times New Roman" w:hAnsi="Times New Roman" w:eastAsia="宋体" w:cs="Times New Roman"/>
                <w:color w:val="auto"/>
                <w:kern w:val="2"/>
                <w:sz w:val="24"/>
                <w:szCs w:val="24"/>
              </w:rPr>
              <w:t>t/a，经收集后</w:t>
            </w:r>
            <w:r>
              <w:rPr>
                <w:rFonts w:hint="eastAsia" w:ascii="Times New Roman" w:hAnsi="Times New Roman" w:eastAsia="宋体" w:cs="Times New Roman"/>
                <w:color w:val="auto"/>
                <w:kern w:val="2"/>
                <w:sz w:val="24"/>
                <w:szCs w:val="24"/>
                <w:lang w:eastAsia="zh-CN"/>
              </w:rPr>
              <w:t>交专业公司回收处理</w:t>
            </w:r>
            <w:r>
              <w:rPr>
                <w:rFonts w:hint="default" w:ascii="Times New Roman" w:hAnsi="Times New Roman" w:eastAsia="宋体" w:cs="Times New Roman"/>
                <w:color w:val="auto"/>
                <w:kern w:val="2"/>
                <w:sz w:val="24"/>
                <w:szCs w:val="24"/>
              </w:rPr>
              <w:t>，不外排；</w:t>
            </w:r>
            <w:r>
              <w:rPr>
                <w:rFonts w:hint="eastAsia"/>
                <w:color w:val="auto"/>
                <w:sz w:val="24"/>
                <w:szCs w:val="24"/>
                <w:lang w:val="en-US" w:eastAsia="zh-CN"/>
              </w:rPr>
              <w:t>不合格品</w:t>
            </w:r>
            <w:r>
              <w:rPr>
                <w:rFonts w:hint="default" w:ascii="Times New Roman" w:hAnsi="Times New Roman" w:eastAsia="宋体" w:cs="Times New Roman"/>
                <w:color w:val="auto"/>
                <w:kern w:val="2"/>
                <w:sz w:val="24"/>
                <w:szCs w:val="24"/>
              </w:rPr>
              <w:t>产生量约为</w:t>
            </w:r>
            <w:r>
              <w:rPr>
                <w:rFonts w:hint="eastAsia" w:ascii="Times New Roman" w:hAnsi="Times New Roman" w:eastAsia="宋体" w:cs="Times New Roman"/>
                <w:color w:val="auto"/>
                <w:kern w:val="2"/>
                <w:sz w:val="24"/>
                <w:szCs w:val="24"/>
                <w:lang w:val="en-US" w:eastAsia="zh-CN"/>
              </w:rPr>
              <w:t>1.7</w:t>
            </w:r>
            <w:r>
              <w:rPr>
                <w:rFonts w:hint="default" w:ascii="Times New Roman" w:hAnsi="Times New Roman" w:eastAsia="宋体" w:cs="Times New Roman"/>
                <w:color w:val="auto"/>
                <w:kern w:val="2"/>
                <w:sz w:val="24"/>
                <w:szCs w:val="24"/>
              </w:rPr>
              <w:t>t/a，经收集后</w:t>
            </w:r>
            <w:r>
              <w:rPr>
                <w:rFonts w:hint="eastAsia" w:ascii="Times New Roman" w:hAnsi="Times New Roman" w:eastAsia="宋体" w:cs="Times New Roman"/>
                <w:color w:val="auto"/>
                <w:kern w:val="2"/>
                <w:sz w:val="24"/>
                <w:szCs w:val="24"/>
                <w:lang w:eastAsia="zh-CN"/>
              </w:rPr>
              <w:t>交专业公司回收处理</w:t>
            </w:r>
            <w:r>
              <w:rPr>
                <w:rFonts w:hint="default" w:ascii="Times New Roman" w:hAnsi="Times New Roman" w:eastAsia="宋体" w:cs="Times New Roman"/>
                <w:color w:val="auto"/>
                <w:kern w:val="2"/>
                <w:sz w:val="24"/>
                <w:szCs w:val="24"/>
              </w:rPr>
              <w:t>，不外排；废包装材料产生量约为</w:t>
            </w:r>
            <w:r>
              <w:rPr>
                <w:rFonts w:hint="eastAsia" w:ascii="Times New Roman" w:hAnsi="Times New Roman" w:eastAsia="宋体" w:cs="Times New Roman"/>
                <w:color w:val="auto"/>
                <w:kern w:val="2"/>
                <w:sz w:val="24"/>
                <w:szCs w:val="24"/>
                <w:lang w:val="en-US" w:eastAsia="zh-CN"/>
              </w:rPr>
              <w:t>0.1</w:t>
            </w:r>
            <w:r>
              <w:rPr>
                <w:rFonts w:hint="default" w:ascii="Times New Roman" w:hAnsi="Times New Roman" w:eastAsia="宋体" w:cs="Times New Roman"/>
                <w:color w:val="auto"/>
                <w:kern w:val="2"/>
                <w:sz w:val="24"/>
                <w:szCs w:val="24"/>
              </w:rPr>
              <w:t>t/a，经收集后</w:t>
            </w:r>
            <w:r>
              <w:rPr>
                <w:rFonts w:hint="eastAsia" w:ascii="Times New Roman" w:hAnsi="Times New Roman" w:eastAsia="宋体" w:cs="Times New Roman"/>
                <w:color w:val="auto"/>
                <w:kern w:val="2"/>
                <w:sz w:val="24"/>
                <w:szCs w:val="24"/>
                <w:lang w:eastAsia="zh-CN"/>
              </w:rPr>
              <w:t>交专业公司回收处理</w:t>
            </w:r>
            <w:r>
              <w:rPr>
                <w:rFonts w:hint="default" w:ascii="Times New Roman" w:hAnsi="Times New Roman" w:eastAsia="宋体" w:cs="Times New Roman"/>
                <w:color w:val="auto"/>
                <w:kern w:val="2"/>
                <w:sz w:val="24"/>
                <w:szCs w:val="24"/>
              </w:rPr>
              <w:t>，不外排；布袋除尘装置收集的粉尘，产生量约为</w:t>
            </w:r>
            <w:r>
              <w:rPr>
                <w:rFonts w:hint="eastAsia" w:ascii="Times New Roman" w:hAnsi="Times New Roman" w:eastAsia="宋体" w:cs="Times New Roman"/>
                <w:color w:val="auto"/>
                <w:kern w:val="2"/>
                <w:sz w:val="24"/>
                <w:szCs w:val="24"/>
                <w:lang w:val="en-US" w:eastAsia="zh-CN"/>
              </w:rPr>
              <w:t>0.3</w:t>
            </w:r>
            <w:r>
              <w:rPr>
                <w:rFonts w:hint="default" w:ascii="Times New Roman" w:hAnsi="Times New Roman" w:eastAsia="宋体" w:cs="Times New Roman"/>
                <w:color w:val="auto"/>
                <w:kern w:val="2"/>
                <w:sz w:val="24"/>
                <w:szCs w:val="24"/>
              </w:rPr>
              <w:t>t/a，经收集后</w:t>
            </w:r>
            <w:r>
              <w:rPr>
                <w:rFonts w:hint="eastAsia" w:ascii="Times New Roman" w:hAnsi="Times New Roman" w:eastAsia="宋体" w:cs="Times New Roman"/>
                <w:color w:val="auto"/>
                <w:kern w:val="2"/>
                <w:sz w:val="24"/>
                <w:szCs w:val="24"/>
                <w:lang w:eastAsia="zh-CN"/>
              </w:rPr>
              <w:t>交专业公司回收处理</w:t>
            </w:r>
            <w:r>
              <w:rPr>
                <w:rFonts w:hint="default" w:ascii="Times New Roman" w:hAnsi="Times New Roman" w:eastAsia="宋体" w:cs="Times New Roman"/>
                <w:color w:val="auto"/>
                <w:kern w:val="2"/>
                <w:sz w:val="24"/>
                <w:szCs w:val="24"/>
              </w:rPr>
              <w:t>，不外排</w:t>
            </w:r>
            <w:r>
              <w:rPr>
                <w:rFonts w:hint="eastAsia" w:ascii="Times New Roman" w:hAnsi="Times New Roman" w:eastAsia="宋体" w:cs="Times New Roman"/>
                <w:color w:val="auto"/>
                <w:kern w:val="2"/>
                <w:sz w:val="24"/>
                <w:szCs w:val="24"/>
                <w:lang w:eastAsia="zh-CN"/>
              </w:rPr>
              <w:t>。</w:t>
            </w:r>
          </w:p>
          <w:p>
            <w:pPr>
              <w:widowControl w:val="0"/>
              <w:spacing w:after="0" w:line="360" w:lineRule="auto"/>
              <w:ind w:left="480" w:leftChars="218" w:firstLine="0" w:firstLineChars="0"/>
              <w:jc w:val="both"/>
              <w:rPr>
                <w:rFonts w:hint="default" w:ascii="Times New Roman" w:hAnsi="Times New Roman" w:eastAsia="宋体" w:cs="Times New Roman"/>
                <w:b/>
                <w:color w:val="auto"/>
                <w:kern w:val="2"/>
                <w:sz w:val="24"/>
                <w:szCs w:val="20"/>
              </w:rPr>
            </w:pPr>
            <w:r>
              <w:rPr>
                <w:rFonts w:hint="default" w:ascii="Times New Roman" w:hAnsi="Times New Roman" w:eastAsia="宋体" w:cs="Times New Roman"/>
                <w:color w:val="auto"/>
                <w:kern w:val="2"/>
                <w:sz w:val="24"/>
              </w:rPr>
              <w:t>项目产生的一般固体废物经上述措施妥善处置后，对周围环境影响较小。</w:t>
            </w:r>
            <w:r>
              <w:rPr>
                <w:rFonts w:hint="default" w:ascii="Times New Roman" w:hAnsi="Times New Roman" w:eastAsia="宋体" w:cs="Times New Roman"/>
                <w:color w:val="auto"/>
                <w:kern w:val="2"/>
                <w:sz w:val="24"/>
              </w:rPr>
              <w:br w:type="textWrapping"/>
            </w:r>
            <w:r>
              <w:rPr>
                <w:rFonts w:hint="default" w:ascii="Times New Roman" w:hAnsi="Times New Roman" w:eastAsia="宋体" w:cs="Times New Roman"/>
                <w:b/>
                <w:color w:val="auto"/>
                <w:kern w:val="2"/>
                <w:sz w:val="24"/>
                <w:szCs w:val="20"/>
              </w:rPr>
              <w:t>◇危险废物</w:t>
            </w:r>
          </w:p>
          <w:p>
            <w:pPr>
              <w:widowControl w:val="0"/>
              <w:adjustRightInd w:val="0"/>
              <w:snapToGrid w:val="0"/>
              <w:spacing w:after="0" w:line="360" w:lineRule="auto"/>
              <w:ind w:firstLine="480" w:firstLineChars="200"/>
              <w:jc w:val="both"/>
              <w:rPr>
                <w:rFonts w:ascii="Times New Roman" w:hAnsi="Times New Roman" w:eastAsia="宋体" w:cs="Times New Roman"/>
                <w:color w:val="auto"/>
                <w:kern w:val="2"/>
                <w:sz w:val="24"/>
                <w:szCs w:val="22"/>
              </w:rPr>
            </w:pPr>
            <w:r>
              <w:rPr>
                <w:rFonts w:hint="eastAsia" w:ascii="Times New Roman" w:hAnsi="Times New Roman" w:eastAsia="宋体" w:cs="Times New Roman"/>
                <w:color w:val="auto"/>
                <w:kern w:val="2"/>
                <w:sz w:val="24"/>
                <w:szCs w:val="24"/>
                <w:lang w:eastAsia="zh-CN"/>
              </w:rPr>
              <w:t>项目危险废物主要包括废润滑油油桶、废乳化液桶、废润滑油、废乳化液、</w:t>
            </w:r>
            <w:r>
              <w:rPr>
                <w:rFonts w:hint="eastAsia"/>
                <w:color w:val="auto"/>
                <w:sz w:val="24"/>
                <w:szCs w:val="22"/>
                <w:highlight w:val="none"/>
              </w:rPr>
              <w:t>含油抹布、</w:t>
            </w:r>
            <w:r>
              <w:rPr>
                <w:rFonts w:hint="eastAsia" w:ascii="Times New Roman" w:hAnsi="Times New Roman" w:eastAsia="宋体" w:cs="Times New Roman"/>
                <w:color w:val="auto"/>
                <w:kern w:val="2"/>
                <w:sz w:val="24"/>
                <w:szCs w:val="24"/>
                <w:lang w:eastAsia="zh-CN"/>
              </w:rPr>
              <w:t>废活性</w:t>
            </w:r>
            <w:r>
              <w:rPr>
                <w:rFonts w:hint="eastAsia" w:ascii="Times New Roman" w:hAnsi="Times New Roman" w:eastAsia="宋体" w:cs="Times New Roman"/>
                <w:color w:val="auto"/>
                <w:kern w:val="2"/>
                <w:sz w:val="24"/>
                <w:szCs w:val="24"/>
                <w:shd w:val="clear" w:color="auto" w:fill="auto"/>
                <w:lang w:eastAsia="zh-CN"/>
              </w:rPr>
              <w:t>炭。以上危险废物</w:t>
            </w:r>
            <w:r>
              <w:rPr>
                <w:rFonts w:hint="eastAsia" w:ascii="Times New Roman" w:hAnsi="Times New Roman" w:eastAsia="宋体" w:cs="Times New Roman"/>
                <w:color w:val="auto"/>
                <w:kern w:val="2"/>
                <w:sz w:val="24"/>
                <w:szCs w:val="22"/>
                <w:shd w:val="clear" w:color="auto" w:fill="auto"/>
              </w:rPr>
              <w:t>暂存于危废暂存区，定期交有危险废物处置资质的单位处置。根据项目危险废物产废周期，本项目拟每年将危险废物交有资质公司处置一次，</w:t>
            </w:r>
            <w:r>
              <w:rPr>
                <w:rFonts w:hint="eastAsia" w:ascii="Times New Roman" w:hAnsi="Times New Roman" w:eastAsia="宋体" w:cs="Times New Roman"/>
                <w:color w:val="auto"/>
                <w:kern w:val="2"/>
                <w:sz w:val="24"/>
                <w:szCs w:val="22"/>
              </w:rPr>
              <w:t>胶桶收集单个容积</w:t>
            </w:r>
            <w:r>
              <w:rPr>
                <w:rFonts w:hint="eastAsia" w:ascii="Times New Roman" w:hAnsi="Times New Roman" w:eastAsia="宋体" w:cs="Times New Roman"/>
                <w:color w:val="auto"/>
                <w:kern w:val="2"/>
                <w:sz w:val="24"/>
                <w:szCs w:val="22"/>
                <w:lang w:val="en-US" w:eastAsia="zh-CN"/>
              </w:rPr>
              <w:t>1</w:t>
            </w:r>
            <w:r>
              <w:rPr>
                <w:rFonts w:hint="eastAsia" w:ascii="Times New Roman" w:hAnsi="Times New Roman" w:eastAsia="宋体" w:cs="Times New Roman"/>
                <w:color w:val="auto"/>
                <w:kern w:val="2"/>
                <w:sz w:val="24"/>
                <w:szCs w:val="22"/>
              </w:rPr>
              <w:t>m</w:t>
            </w:r>
            <w:r>
              <w:rPr>
                <w:rFonts w:hint="eastAsia" w:ascii="Times New Roman" w:hAnsi="Times New Roman" w:eastAsia="宋体" w:cs="Times New Roman"/>
                <w:color w:val="auto"/>
                <w:kern w:val="2"/>
                <w:sz w:val="24"/>
                <w:szCs w:val="22"/>
                <w:vertAlign w:val="superscript"/>
              </w:rPr>
              <w:t>3</w:t>
            </w:r>
            <w:r>
              <w:rPr>
                <w:rFonts w:hint="eastAsia" w:ascii="Times New Roman" w:hAnsi="Times New Roman" w:eastAsia="宋体" w:cs="Times New Roman"/>
                <w:color w:val="auto"/>
                <w:kern w:val="2"/>
                <w:sz w:val="24"/>
                <w:szCs w:val="22"/>
              </w:rPr>
              <w:t>，占地面积约</w:t>
            </w:r>
            <w:r>
              <w:rPr>
                <w:rFonts w:hint="eastAsia" w:ascii="Times New Roman" w:hAnsi="Times New Roman" w:eastAsia="宋体" w:cs="Times New Roman"/>
                <w:color w:val="auto"/>
                <w:kern w:val="2"/>
                <w:sz w:val="24"/>
                <w:szCs w:val="22"/>
                <w:lang w:val="en-US" w:eastAsia="zh-CN"/>
              </w:rPr>
              <w:t>1.5</w:t>
            </w:r>
            <w:r>
              <w:rPr>
                <w:rFonts w:hint="eastAsia" w:ascii="Times New Roman" w:hAnsi="Times New Roman" w:eastAsia="宋体" w:cs="Times New Roman"/>
                <w:color w:val="auto"/>
                <w:kern w:val="2"/>
                <w:sz w:val="24"/>
                <w:szCs w:val="22"/>
              </w:rPr>
              <w:t>m</w:t>
            </w:r>
            <w:r>
              <w:rPr>
                <w:rFonts w:hint="eastAsia" w:ascii="Times New Roman" w:hAnsi="Times New Roman" w:eastAsia="宋体" w:cs="Times New Roman"/>
                <w:color w:val="auto"/>
                <w:kern w:val="2"/>
                <w:sz w:val="24"/>
                <w:szCs w:val="22"/>
                <w:vertAlign w:val="superscript"/>
              </w:rPr>
              <w:t>2</w:t>
            </w:r>
            <w:r>
              <w:rPr>
                <w:rFonts w:hint="eastAsia" w:ascii="Times New Roman" w:hAnsi="Times New Roman" w:eastAsia="宋体" w:cs="Times New Roman"/>
                <w:color w:val="auto"/>
                <w:kern w:val="2"/>
                <w:sz w:val="24"/>
                <w:szCs w:val="22"/>
              </w:rPr>
              <w:t>，约需4个，合计约需占地面积</w:t>
            </w:r>
            <w:r>
              <w:rPr>
                <w:rFonts w:hint="eastAsia" w:ascii="Times New Roman" w:hAnsi="Times New Roman" w:eastAsia="宋体" w:cs="Times New Roman"/>
                <w:color w:val="auto"/>
                <w:kern w:val="2"/>
                <w:sz w:val="24"/>
                <w:szCs w:val="22"/>
                <w:lang w:val="en-US" w:eastAsia="zh-CN"/>
              </w:rPr>
              <w:t>6</w:t>
            </w:r>
            <w:r>
              <w:rPr>
                <w:rFonts w:hint="eastAsia" w:ascii="Times New Roman" w:hAnsi="Times New Roman" w:eastAsia="宋体" w:cs="Times New Roman"/>
                <w:color w:val="auto"/>
                <w:kern w:val="2"/>
                <w:sz w:val="24"/>
                <w:szCs w:val="22"/>
              </w:rPr>
              <w:t>m</w:t>
            </w:r>
            <w:r>
              <w:rPr>
                <w:rFonts w:hint="eastAsia" w:ascii="Times New Roman" w:hAnsi="Times New Roman" w:eastAsia="宋体" w:cs="Times New Roman"/>
                <w:color w:val="auto"/>
                <w:kern w:val="2"/>
                <w:sz w:val="24"/>
                <w:szCs w:val="22"/>
                <w:vertAlign w:val="superscript"/>
              </w:rPr>
              <w:t>2</w:t>
            </w:r>
            <w:r>
              <w:rPr>
                <w:rFonts w:hint="eastAsia" w:ascii="Times New Roman" w:hAnsi="Times New Roman" w:eastAsia="宋体" w:cs="Times New Roman"/>
                <w:color w:val="auto"/>
                <w:kern w:val="2"/>
                <w:sz w:val="24"/>
                <w:szCs w:val="22"/>
              </w:rPr>
              <w:t>，本项目拟设置危险废物暂存区占地面积</w:t>
            </w:r>
            <w:r>
              <w:rPr>
                <w:rFonts w:hint="eastAsia" w:ascii="Times New Roman" w:hAnsi="Times New Roman" w:eastAsia="宋体" w:cs="Times New Roman"/>
                <w:color w:val="auto"/>
                <w:kern w:val="2"/>
                <w:sz w:val="24"/>
                <w:szCs w:val="22"/>
                <w:lang w:val="en-US" w:eastAsia="zh-CN"/>
              </w:rPr>
              <w:t>7</w:t>
            </w:r>
            <w:r>
              <w:rPr>
                <w:rFonts w:hint="eastAsia" w:ascii="Times New Roman" w:hAnsi="Times New Roman" w:eastAsia="宋体" w:cs="Times New Roman"/>
                <w:color w:val="auto"/>
                <w:kern w:val="2"/>
                <w:sz w:val="24"/>
                <w:szCs w:val="22"/>
              </w:rPr>
              <w:t>m</w:t>
            </w:r>
            <w:r>
              <w:rPr>
                <w:rFonts w:hint="eastAsia" w:ascii="Times New Roman" w:hAnsi="Times New Roman" w:eastAsia="宋体" w:cs="Times New Roman"/>
                <w:color w:val="auto"/>
                <w:kern w:val="2"/>
                <w:sz w:val="24"/>
                <w:szCs w:val="22"/>
                <w:vertAlign w:val="superscript"/>
              </w:rPr>
              <w:t>2</w:t>
            </w:r>
            <w:r>
              <w:rPr>
                <w:rFonts w:hint="eastAsia" w:ascii="Times New Roman" w:hAnsi="Times New Roman" w:eastAsia="宋体" w:cs="Times New Roman"/>
                <w:color w:val="auto"/>
                <w:kern w:val="2"/>
                <w:sz w:val="24"/>
                <w:szCs w:val="22"/>
              </w:rPr>
              <w:t>，可满足最大暂存危险废物要求。故拟设置的危废暂存区能够满足本项目危险废物暂存要求。危险废物暂存区将严格按照《危险废物贮存污染控制标准》（GB18597-2001）及其2013年修改单中的要求建设和维护使用。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本项目危废</w:t>
            </w:r>
            <w:r>
              <w:rPr>
                <w:rFonts w:hint="eastAsia" w:ascii="Times New Roman" w:hAnsi="Times New Roman" w:eastAsia="宋体" w:cs="Times New Roman"/>
                <w:b/>
                <w:color w:val="auto"/>
                <w:kern w:val="0"/>
                <w:sz w:val="21"/>
                <w:szCs w:val="21"/>
                <w:lang w:val="en-US" w:eastAsia="zh-CN" w:bidi="ar-SA"/>
              </w:rPr>
              <w:t>暂存区</w:t>
            </w:r>
            <w:r>
              <w:rPr>
                <w:rFonts w:ascii="Times New Roman" w:hAnsi="Times New Roman" w:eastAsia="宋体" w:cs="Times New Roman"/>
                <w:b/>
                <w:color w:val="auto"/>
                <w:kern w:val="0"/>
                <w:sz w:val="21"/>
                <w:szCs w:val="21"/>
                <w:lang w:val="en-US" w:eastAsia="zh-CN" w:bidi="ar-SA"/>
              </w:rPr>
              <w:t>基本情况表</w:t>
            </w:r>
          </w:p>
          <w:tbl>
            <w:tblPr>
              <w:tblStyle w:val="43"/>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092"/>
              <w:gridCol w:w="1089"/>
              <w:gridCol w:w="1130"/>
              <w:gridCol w:w="900"/>
              <w:gridCol w:w="780"/>
              <w:gridCol w:w="810"/>
              <w:gridCol w:w="795"/>
              <w:gridCol w:w="690"/>
              <w:gridCol w:w="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49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序号</w:t>
                  </w:r>
                </w:p>
              </w:tc>
              <w:tc>
                <w:tcPr>
                  <w:tcW w:w="1092"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贮存场所（设施）</w:t>
                  </w:r>
                </w:p>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名称</w:t>
                  </w:r>
                </w:p>
              </w:tc>
              <w:tc>
                <w:tcPr>
                  <w:tcW w:w="1089"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危险废物名称</w:t>
                  </w:r>
                </w:p>
              </w:tc>
              <w:tc>
                <w:tcPr>
                  <w:tcW w:w="113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危险废物类别</w:t>
                  </w:r>
                </w:p>
              </w:tc>
              <w:tc>
                <w:tcPr>
                  <w:tcW w:w="90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危险废物代码</w:t>
                  </w:r>
                </w:p>
              </w:tc>
              <w:tc>
                <w:tcPr>
                  <w:tcW w:w="78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位置</w:t>
                  </w:r>
                </w:p>
              </w:tc>
              <w:tc>
                <w:tcPr>
                  <w:tcW w:w="81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占地面积</w:t>
                  </w:r>
                </w:p>
              </w:tc>
              <w:tc>
                <w:tcPr>
                  <w:tcW w:w="795"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贮存方式</w:t>
                  </w:r>
                </w:p>
              </w:tc>
              <w:tc>
                <w:tcPr>
                  <w:tcW w:w="69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贮存</w:t>
                  </w:r>
                </w:p>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能力</w:t>
                  </w:r>
                </w:p>
              </w:tc>
              <w:tc>
                <w:tcPr>
                  <w:tcW w:w="728"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贮存</w:t>
                  </w:r>
                </w:p>
                <w:p>
                  <w:pPr>
                    <w:widowControl w:val="0"/>
                    <w:topLinePunct/>
                    <w:adjustRightInd w:val="0"/>
                    <w:snapToGrid w:val="0"/>
                    <w:spacing w:after="0" w:line="240" w:lineRule="auto"/>
                    <w:jc w:val="center"/>
                    <w:rPr>
                      <w:rFonts w:ascii="Times New Roman" w:hAnsi="Times New Roman" w:eastAsia="宋体" w:cs="Times New Roman"/>
                      <w:b/>
                      <w:bCs/>
                      <w:color w:val="auto"/>
                      <w:kern w:val="0"/>
                      <w:sz w:val="21"/>
                      <w:szCs w:val="21"/>
                    </w:rPr>
                  </w:pPr>
                  <w:r>
                    <w:rPr>
                      <w:rFonts w:ascii="Times New Roman" w:hAnsi="Times New Roman" w:eastAsia="宋体" w:cs="Times New Roman"/>
                      <w:b/>
                      <w:bCs/>
                      <w:color w:val="auto"/>
                      <w:kern w:val="0"/>
                      <w:sz w:val="21"/>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49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1</w:t>
                  </w:r>
                </w:p>
              </w:tc>
              <w:tc>
                <w:tcPr>
                  <w:tcW w:w="1092" w:type="dxa"/>
                  <w:vMerge w:val="restart"/>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危废暂存区</w:t>
                  </w:r>
                </w:p>
              </w:tc>
              <w:tc>
                <w:tcPr>
                  <w:tcW w:w="1089"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2"/>
                      <w:sz w:val="21"/>
                      <w:szCs w:val="21"/>
                      <w:highlight w:val="none"/>
                      <w:lang w:eastAsia="zh-CN"/>
                    </w:rPr>
                    <w:t>废润滑油油桶、废乳化液桶</w:t>
                  </w:r>
                </w:p>
              </w:tc>
              <w:tc>
                <w:tcPr>
                  <w:tcW w:w="113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其它废物</w:t>
                  </w:r>
                </w:p>
              </w:tc>
              <w:tc>
                <w:tcPr>
                  <w:tcW w:w="90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2"/>
                      <w:sz w:val="21"/>
                      <w:szCs w:val="21"/>
                    </w:rPr>
                    <w:t>900-041-49</w:t>
                  </w:r>
                </w:p>
              </w:tc>
              <w:tc>
                <w:tcPr>
                  <w:tcW w:w="780" w:type="dxa"/>
                  <w:vMerge w:val="restart"/>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设置于</w:t>
                  </w:r>
                  <w:r>
                    <w:rPr>
                      <w:rFonts w:hint="eastAsia" w:ascii="Times New Roman" w:hAnsi="Times New Roman" w:eastAsia="宋体" w:cs="Times New Roman"/>
                      <w:color w:val="auto"/>
                      <w:kern w:val="0"/>
                      <w:sz w:val="21"/>
                      <w:szCs w:val="21"/>
                    </w:rPr>
                    <w:t>车间内</w:t>
                  </w:r>
                </w:p>
              </w:tc>
              <w:tc>
                <w:tcPr>
                  <w:tcW w:w="810" w:type="dxa"/>
                  <w:vMerge w:val="restart"/>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lang w:val="en-US" w:eastAsia="zh-CN"/>
                    </w:rPr>
                    <w:t>7</w:t>
                  </w:r>
                  <w:r>
                    <w:rPr>
                      <w:rFonts w:ascii="Times New Roman" w:hAnsi="Times New Roman" w:eastAsia="宋体" w:cs="Times New Roman"/>
                      <w:color w:val="auto"/>
                      <w:kern w:val="0"/>
                      <w:sz w:val="21"/>
                      <w:szCs w:val="21"/>
                    </w:rPr>
                    <w:t>m</w:t>
                  </w:r>
                  <w:r>
                    <w:rPr>
                      <w:rFonts w:ascii="Times New Roman" w:hAnsi="Times New Roman" w:eastAsia="宋体" w:cs="Times New Roman"/>
                      <w:color w:val="auto"/>
                      <w:kern w:val="0"/>
                      <w:sz w:val="21"/>
                      <w:szCs w:val="21"/>
                      <w:vertAlign w:val="superscript"/>
                    </w:rPr>
                    <w:t>2</w:t>
                  </w:r>
                </w:p>
              </w:tc>
              <w:tc>
                <w:tcPr>
                  <w:tcW w:w="795"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胶</w:t>
                  </w:r>
                  <w:r>
                    <w:rPr>
                      <w:rFonts w:ascii="Times New Roman" w:hAnsi="Times New Roman" w:eastAsia="宋体" w:cs="Times New Roman"/>
                      <w:color w:val="auto"/>
                      <w:kern w:val="0"/>
                      <w:sz w:val="21"/>
                      <w:szCs w:val="21"/>
                    </w:rPr>
                    <w:t>桶</w:t>
                  </w:r>
                </w:p>
              </w:tc>
              <w:tc>
                <w:tcPr>
                  <w:tcW w:w="690" w:type="dxa"/>
                  <w:vMerge w:val="restart"/>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可储存</w:t>
                  </w:r>
                  <w:r>
                    <w:rPr>
                      <w:rFonts w:hint="eastAsia" w:ascii="Times New Roman" w:hAnsi="Times New Roman" w:eastAsia="宋体" w:cs="Times New Roman"/>
                      <w:color w:val="auto"/>
                      <w:kern w:val="0"/>
                      <w:sz w:val="21"/>
                      <w:szCs w:val="21"/>
                    </w:rPr>
                    <w:t>1年</w:t>
                  </w:r>
                  <w:r>
                    <w:rPr>
                      <w:rFonts w:ascii="Times New Roman" w:hAnsi="Times New Roman" w:eastAsia="宋体" w:cs="Times New Roman"/>
                      <w:color w:val="auto"/>
                      <w:kern w:val="0"/>
                      <w:sz w:val="21"/>
                      <w:szCs w:val="21"/>
                    </w:rPr>
                    <w:t>的转移量</w:t>
                  </w:r>
                </w:p>
              </w:tc>
              <w:tc>
                <w:tcPr>
                  <w:tcW w:w="728" w:type="dxa"/>
                  <w:vMerge w:val="restart"/>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2</w:t>
                  </w:r>
                </w:p>
              </w:tc>
              <w:tc>
                <w:tcPr>
                  <w:tcW w:w="1092"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p>
              </w:tc>
              <w:tc>
                <w:tcPr>
                  <w:tcW w:w="1089"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bCs/>
                      <w:color w:val="auto"/>
                      <w:kern w:val="2"/>
                      <w:sz w:val="21"/>
                      <w:szCs w:val="21"/>
                    </w:rPr>
                    <w:t>废</w:t>
                  </w:r>
                  <w:r>
                    <w:rPr>
                      <w:rFonts w:hint="eastAsia" w:ascii="Times New Roman" w:hAnsi="Times New Roman" w:eastAsia="宋体" w:cs="Times New Roman"/>
                      <w:bCs/>
                      <w:color w:val="auto"/>
                      <w:kern w:val="2"/>
                      <w:sz w:val="21"/>
                      <w:szCs w:val="21"/>
                      <w:lang w:eastAsia="zh-CN"/>
                    </w:rPr>
                    <w:t>润滑油、含油抹布</w:t>
                  </w:r>
                </w:p>
              </w:tc>
              <w:tc>
                <w:tcPr>
                  <w:tcW w:w="113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bCs/>
                      <w:color w:val="auto"/>
                      <w:kern w:val="2"/>
                      <w:sz w:val="21"/>
                      <w:szCs w:val="21"/>
                    </w:rPr>
                    <w:t>废矿物油与含矿物油废物</w:t>
                  </w:r>
                </w:p>
              </w:tc>
              <w:tc>
                <w:tcPr>
                  <w:tcW w:w="90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2"/>
                      <w:sz w:val="21"/>
                      <w:szCs w:val="21"/>
                    </w:rPr>
                    <w:t>900-217-08</w:t>
                  </w:r>
                </w:p>
              </w:tc>
              <w:tc>
                <w:tcPr>
                  <w:tcW w:w="78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81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795"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胶桶</w:t>
                  </w:r>
                </w:p>
              </w:tc>
              <w:tc>
                <w:tcPr>
                  <w:tcW w:w="69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728"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3</w:t>
                  </w:r>
                </w:p>
              </w:tc>
              <w:tc>
                <w:tcPr>
                  <w:tcW w:w="1092"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p>
              </w:tc>
              <w:tc>
                <w:tcPr>
                  <w:tcW w:w="1089"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bCs/>
                      <w:color w:val="auto"/>
                      <w:kern w:val="2"/>
                      <w:sz w:val="21"/>
                      <w:szCs w:val="21"/>
                    </w:rPr>
                    <w:t>废</w:t>
                  </w:r>
                  <w:r>
                    <w:rPr>
                      <w:rFonts w:hint="eastAsia" w:ascii="Times New Roman" w:hAnsi="Times New Roman" w:eastAsia="宋体" w:cs="Times New Roman"/>
                      <w:bCs/>
                      <w:color w:val="auto"/>
                      <w:kern w:val="2"/>
                      <w:sz w:val="21"/>
                      <w:szCs w:val="21"/>
                      <w:lang w:eastAsia="zh-CN"/>
                    </w:rPr>
                    <w:t>乳化液</w:t>
                  </w:r>
                </w:p>
              </w:tc>
              <w:tc>
                <w:tcPr>
                  <w:tcW w:w="113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油/水、烃/水混合物或乳化液</w:t>
                  </w:r>
                </w:p>
              </w:tc>
              <w:tc>
                <w:tcPr>
                  <w:tcW w:w="90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0"/>
                      <w:sz w:val="21"/>
                      <w:szCs w:val="21"/>
                    </w:rPr>
                    <w:t>900-007-09</w:t>
                  </w:r>
                </w:p>
              </w:tc>
              <w:tc>
                <w:tcPr>
                  <w:tcW w:w="78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81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795"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胶桶</w:t>
                  </w:r>
                </w:p>
              </w:tc>
              <w:tc>
                <w:tcPr>
                  <w:tcW w:w="69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728"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hint="eastAsia" w:ascii="Times New Roman" w:hAnsi="Times New Roman" w:eastAsia="宋体" w:cs="Times New Roman"/>
                      <w:color w:val="auto"/>
                      <w:kern w:val="0"/>
                      <w:sz w:val="21"/>
                      <w:szCs w:val="21"/>
                    </w:rPr>
                    <w:t>4</w:t>
                  </w:r>
                </w:p>
              </w:tc>
              <w:tc>
                <w:tcPr>
                  <w:tcW w:w="1092"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p>
              </w:tc>
              <w:tc>
                <w:tcPr>
                  <w:tcW w:w="1089"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bCs/>
                      <w:color w:val="auto"/>
                      <w:kern w:val="2"/>
                      <w:sz w:val="21"/>
                      <w:szCs w:val="21"/>
                    </w:rPr>
                  </w:pPr>
                  <w:r>
                    <w:rPr>
                      <w:rFonts w:ascii="Times New Roman" w:hAnsi="Times New Roman" w:eastAsia="宋体" w:cs="Times New Roman"/>
                      <w:color w:val="auto"/>
                      <w:kern w:val="0"/>
                      <w:sz w:val="21"/>
                      <w:szCs w:val="21"/>
                    </w:rPr>
                    <w:t>废活性炭</w:t>
                  </w:r>
                </w:p>
              </w:tc>
              <w:tc>
                <w:tcPr>
                  <w:tcW w:w="113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其它废物</w:t>
                  </w:r>
                </w:p>
              </w:tc>
              <w:tc>
                <w:tcPr>
                  <w:tcW w:w="900" w:type="dxa"/>
                  <w:tcBorders>
                    <w:tl2br w:val="nil"/>
                    <w:tr2bl w:val="nil"/>
                  </w:tcBorders>
                  <w:vAlign w:val="center"/>
                </w:tcPr>
                <w:p>
                  <w:pPr>
                    <w:widowControl w:val="0"/>
                    <w:topLinePunct/>
                    <w:adjustRightInd w:val="0"/>
                    <w:snapToGrid w:val="0"/>
                    <w:spacing w:after="0" w:line="240" w:lineRule="auto"/>
                    <w:ind w:firstLine="0" w:firstLineChars="0"/>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900-041-49</w:t>
                  </w:r>
                </w:p>
              </w:tc>
              <w:tc>
                <w:tcPr>
                  <w:tcW w:w="78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81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795" w:type="dxa"/>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rPr>
                  </w:pPr>
                  <w:r>
                    <w:rPr>
                      <w:rFonts w:ascii="Times New Roman" w:hAnsi="Times New Roman" w:eastAsia="宋体" w:cs="Times New Roman"/>
                      <w:color w:val="auto"/>
                      <w:kern w:val="0"/>
                      <w:sz w:val="21"/>
                      <w:szCs w:val="21"/>
                    </w:rPr>
                    <w:t>胶桶</w:t>
                  </w:r>
                </w:p>
              </w:tc>
              <w:tc>
                <w:tcPr>
                  <w:tcW w:w="690"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c>
                <w:tcPr>
                  <w:tcW w:w="728" w:type="dxa"/>
                  <w:vMerge w:val="continue"/>
                  <w:tcBorders>
                    <w:tl2br w:val="nil"/>
                    <w:tr2bl w:val="nil"/>
                  </w:tcBorders>
                  <w:vAlign w:val="center"/>
                </w:tcPr>
                <w:p>
                  <w:pPr>
                    <w:widowControl w:val="0"/>
                    <w:topLinePunct/>
                    <w:adjustRightInd w:val="0"/>
                    <w:snapToGrid w:val="0"/>
                    <w:spacing w:after="0" w:line="240" w:lineRule="auto"/>
                    <w:jc w:val="center"/>
                    <w:rPr>
                      <w:rFonts w:ascii="Times New Roman" w:hAnsi="Times New Roman" w:eastAsia="宋体" w:cs="Times New Roman"/>
                      <w:color w:val="auto"/>
                      <w:kern w:val="0"/>
                      <w:sz w:val="21"/>
                      <w:szCs w:val="21"/>
                      <w:highlight w:val="yellow"/>
                    </w:rPr>
                  </w:pPr>
                </w:p>
              </w:tc>
            </w:tr>
          </w:tbl>
          <w:p>
            <w:pPr>
              <w:widowControl w:val="0"/>
              <w:spacing w:after="0" w:line="360" w:lineRule="auto"/>
              <w:ind w:firstLine="480" w:firstLineChars="200"/>
              <w:jc w:val="both"/>
              <w:rPr>
                <w:rFonts w:ascii="Times New Roman" w:hAnsi="Times New Roman" w:eastAsia="宋体" w:cs="Times New Roman"/>
                <w:color w:val="auto"/>
                <w:kern w:val="2"/>
                <w:sz w:val="24"/>
                <w:szCs w:val="24"/>
              </w:rPr>
            </w:pPr>
            <w:r>
              <w:rPr>
                <w:rFonts w:ascii="Times New Roman" w:hAnsi="Times New Roman" w:eastAsia="宋体" w:cs="Times New Roman"/>
                <w:color w:val="auto"/>
                <w:kern w:val="2"/>
                <w:sz w:val="24"/>
                <w:szCs w:val="24"/>
              </w:rPr>
              <w:t>经上述措施治理后，项目产生的固体废物对周边环境的影响不大。</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eastAsia" w:ascii="Times New Roman" w:hAnsi="Times New Roman" w:eastAsia="宋体" w:cs="Times New Roman"/>
                <w:b/>
                <w:color w:val="auto"/>
                <w:kern w:val="2"/>
                <w:sz w:val="24"/>
                <w:lang w:eastAsia="zh-CN"/>
              </w:rPr>
              <w:t>五</w:t>
            </w:r>
            <w:r>
              <w:rPr>
                <w:rFonts w:hint="default" w:ascii="Times New Roman" w:hAnsi="Times New Roman" w:eastAsia="宋体" w:cs="Times New Roman"/>
                <w:b/>
                <w:color w:val="auto"/>
                <w:kern w:val="2"/>
                <w:sz w:val="24"/>
              </w:rPr>
              <w:t>、环境风险影响分析</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widowControl w:val="0"/>
              <w:spacing w:after="0" w:line="360" w:lineRule="auto"/>
              <w:ind w:firstLine="480" w:firstLineChars="200"/>
              <w:jc w:val="both"/>
              <w:rPr>
                <w:rFonts w:ascii="Times New Roman" w:hAnsi="Times New Roman" w:eastAsia="宋体" w:cs="Times New Roman"/>
                <w:color w:val="auto"/>
                <w:kern w:val="0"/>
                <w:sz w:val="24"/>
                <w:szCs w:val="24"/>
              </w:rPr>
            </w:pPr>
            <w:bookmarkStart w:id="14" w:name="_Toc1185"/>
            <w:bookmarkStart w:id="15" w:name="_Toc909"/>
            <w:bookmarkStart w:id="16" w:name="_Toc28577"/>
            <w:bookmarkStart w:id="17" w:name="_Toc32585"/>
            <w:bookmarkStart w:id="18" w:name="_Toc1698"/>
            <w:bookmarkStart w:id="19" w:name="_Toc28157"/>
            <w:bookmarkStart w:id="20" w:name="_Toc26501"/>
            <w:bookmarkStart w:id="21" w:name="_Toc4390"/>
            <w:bookmarkStart w:id="22" w:name="_Toc21432"/>
            <w:bookmarkStart w:id="23" w:name="_Toc2791"/>
            <w:bookmarkStart w:id="24" w:name="_Toc30266"/>
            <w:bookmarkStart w:id="25" w:name="_Toc5681"/>
            <w:bookmarkStart w:id="26" w:name="_Toc20313"/>
            <w:bookmarkStart w:id="27" w:name="_Toc419969485"/>
            <w:r>
              <w:rPr>
                <w:rFonts w:hint="eastAsia" w:ascii="Times New Roman" w:hAnsi="Times New Roman" w:eastAsia="宋体" w:cs="Times New Roman"/>
                <w:color w:val="auto"/>
                <w:kern w:val="0"/>
                <w:sz w:val="24"/>
                <w:szCs w:val="24"/>
              </w:rPr>
              <w:t>（一）评价工作等级</w:t>
            </w:r>
            <w:bookmarkEnd w:id="14"/>
            <w:bookmarkEnd w:id="15"/>
            <w:bookmarkEnd w:id="16"/>
            <w:bookmarkEnd w:id="17"/>
            <w:bookmarkEnd w:id="18"/>
            <w:bookmarkEnd w:id="19"/>
            <w:bookmarkEnd w:id="20"/>
            <w:bookmarkEnd w:id="21"/>
            <w:bookmarkEnd w:id="22"/>
            <w:bookmarkEnd w:id="23"/>
            <w:bookmarkEnd w:id="24"/>
            <w:bookmarkEnd w:id="25"/>
            <w:bookmarkEnd w:id="26"/>
            <w:bookmarkEnd w:id="27"/>
            <w:r>
              <w:rPr>
                <w:rFonts w:hint="eastAsia" w:ascii="Times New Roman" w:hAnsi="Times New Roman" w:eastAsia="宋体" w:cs="Times New Roman"/>
                <w:color w:val="auto"/>
                <w:kern w:val="0"/>
                <w:sz w:val="24"/>
                <w:szCs w:val="24"/>
              </w:rPr>
              <w:t xml:space="preserve"> </w:t>
            </w:r>
          </w:p>
          <w:p>
            <w:pPr>
              <w:widowControl w:val="0"/>
              <w:spacing w:after="0" w:line="360" w:lineRule="auto"/>
              <w:ind w:firstLine="480" w:firstLineChars="200"/>
              <w:jc w:val="both"/>
              <w:rPr>
                <w:rFonts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 xml:space="preserve">1、划分依据 </w:t>
            </w:r>
          </w:p>
          <w:p>
            <w:pPr>
              <w:widowControl w:val="0"/>
              <w:spacing w:after="0" w:line="360" w:lineRule="auto"/>
              <w:ind w:firstLine="480" w:firstLineChars="200"/>
              <w:jc w:val="both"/>
              <w:rPr>
                <w:rFonts w:ascii="Times New Roman" w:hAnsi="Times New Roman" w:eastAsia="宋体" w:cs="Times New Roman"/>
                <w:color w:val="FF0000"/>
                <w:kern w:val="2"/>
                <w:sz w:val="24"/>
                <w:szCs w:val="24"/>
              </w:rPr>
            </w:pPr>
            <w:r>
              <w:rPr>
                <w:rFonts w:hint="eastAsia" w:ascii="Times New Roman" w:hAnsi="Times New Roman" w:eastAsia="宋体" w:cs="Times New Roman"/>
                <w:color w:val="auto"/>
                <w:kern w:val="0"/>
                <w:sz w:val="24"/>
                <w:szCs w:val="24"/>
              </w:rPr>
              <w:t>根据建设项目涉及的</w:t>
            </w:r>
            <w:r>
              <w:rPr>
                <w:rFonts w:hint="eastAsia" w:ascii="Times New Roman" w:hAnsi="Times New Roman" w:eastAsia="宋体" w:cs="Times New Roman"/>
                <w:color w:val="auto"/>
                <w:kern w:val="2"/>
                <w:sz w:val="24"/>
                <w:szCs w:val="24"/>
              </w:rPr>
              <w:t>物质及工艺系统危险性和所在地的环境敏感性确定环境风险潜势，按照下表确定工作等级。风险潜势为</w:t>
            </w:r>
            <w:r>
              <w:rPr>
                <w:rFonts w:hint="eastAsia" w:ascii="宋体" w:hAnsi="宋体" w:eastAsia="宋体" w:cs="宋体"/>
                <w:color w:val="auto"/>
                <w:kern w:val="2"/>
                <w:sz w:val="24"/>
                <w:szCs w:val="24"/>
              </w:rPr>
              <w:t>Ⅳ</w:t>
            </w:r>
            <w:r>
              <w:rPr>
                <w:rFonts w:hint="eastAsia" w:ascii="Times New Roman" w:hAnsi="Times New Roman" w:eastAsia="宋体" w:cs="Times New Roman"/>
                <w:color w:val="auto"/>
                <w:kern w:val="2"/>
                <w:sz w:val="24"/>
                <w:szCs w:val="24"/>
              </w:rPr>
              <w:t>及以上，进行一级评级；风险潜势为</w:t>
            </w:r>
            <w:r>
              <w:rPr>
                <w:rFonts w:hint="eastAsia" w:ascii="宋体" w:hAnsi="宋体" w:eastAsia="宋体" w:cs="宋体"/>
                <w:color w:val="auto"/>
                <w:kern w:val="2"/>
                <w:sz w:val="24"/>
                <w:szCs w:val="24"/>
              </w:rPr>
              <w:t>Ⅲ</w:t>
            </w:r>
            <w:r>
              <w:rPr>
                <w:rFonts w:hint="eastAsia" w:ascii="Times New Roman" w:hAnsi="Times New Roman" w:eastAsia="宋体" w:cs="Times New Roman"/>
                <w:color w:val="auto"/>
                <w:kern w:val="2"/>
                <w:sz w:val="24"/>
                <w:szCs w:val="24"/>
              </w:rPr>
              <w:t>，进行二级评价；风险潜势为</w:t>
            </w:r>
            <w:r>
              <w:rPr>
                <w:rFonts w:hint="eastAsia" w:ascii="微软雅黑" w:hAnsi="微软雅黑" w:eastAsia="微软雅黑" w:cs="微软雅黑"/>
                <w:color w:val="auto"/>
                <w:kern w:val="2"/>
                <w:sz w:val="24"/>
                <w:szCs w:val="24"/>
              </w:rPr>
              <w:t>Ⅱ</w:t>
            </w:r>
            <w:r>
              <w:rPr>
                <w:rFonts w:hint="eastAsia" w:ascii="Times New Roman" w:hAnsi="Times New Roman" w:eastAsia="宋体" w:cs="Times New Roman"/>
                <w:color w:val="auto"/>
                <w:kern w:val="2"/>
                <w:sz w:val="24"/>
                <w:szCs w:val="24"/>
              </w:rPr>
              <w:t>，进行三级评价；风险潜势为</w:t>
            </w:r>
            <w:r>
              <w:rPr>
                <w:rFonts w:hint="eastAsia" w:ascii="微软雅黑" w:hAnsi="微软雅黑" w:eastAsia="微软雅黑" w:cs="微软雅黑"/>
                <w:color w:val="auto"/>
                <w:kern w:val="2"/>
                <w:sz w:val="24"/>
                <w:szCs w:val="24"/>
              </w:rPr>
              <w:t>Ⅰ</w:t>
            </w:r>
            <w:r>
              <w:rPr>
                <w:rFonts w:hint="eastAsia" w:ascii="Times New Roman" w:hAnsi="Times New Roman" w:eastAsia="宋体" w:cs="Times New Roman"/>
                <w:color w:val="auto"/>
                <w:kern w:val="2"/>
                <w:sz w:val="24"/>
                <w:szCs w:val="24"/>
              </w:rPr>
              <w:t>，可开展简单分析。</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评价工作等级划分</w:t>
            </w:r>
          </w:p>
          <w:tbl>
            <w:tblPr>
              <w:tblStyle w:val="44"/>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70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环境风险潜势</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Ⅳ、Ⅳ</w:t>
                  </w:r>
                  <w:r>
                    <w:rPr>
                      <w:rFonts w:ascii="Times New Roman" w:hAnsi="Times New Roman" w:eastAsia="宋体" w:cs="Times New Roman"/>
                      <w:color w:val="auto"/>
                      <w:kern w:val="2"/>
                      <w:sz w:val="21"/>
                      <w:szCs w:val="21"/>
                      <w:vertAlign w:val="superscript"/>
                    </w:rPr>
                    <w:t>+</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微软雅黑" w:cs="Times New Roman"/>
                      <w:color w:val="auto"/>
                      <w:kern w:val="2"/>
                      <w:sz w:val="21"/>
                      <w:szCs w:val="21"/>
                    </w:rPr>
                    <w:t>Ⅱ</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微软雅黑" w:cs="Times New Roman"/>
                      <w:color w:val="auto"/>
                      <w:kern w:val="2"/>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70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评价工作等级</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一</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二</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三</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简单分析</w:t>
                  </w:r>
                </w:p>
              </w:tc>
            </w:tr>
          </w:tbl>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（二）环境风险潜势初判</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1、环境风险潜势划分</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1"/>
                <w:szCs w:val="24"/>
              </w:rPr>
            </w:pPr>
            <w:r>
              <w:rPr>
                <w:rFonts w:hint="eastAsia" w:ascii="Times New Roman" w:hAnsi="Times New Roman" w:eastAsia="宋体" w:cs="Times New Roman"/>
                <w:color w:val="auto"/>
                <w:kern w:val="2"/>
                <w:sz w:val="24"/>
                <w:szCs w:val="24"/>
              </w:rPr>
              <w:t>根据建设项目涉及的物质和工艺系统的危险性及其所在地的环境敏感程度，结合事故情形下环境影响途径，对建设项目潜在环境危害程度进行概化分析，按照下表确定环境风险潜势。</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建设项目环境风险潜势划分</w:t>
            </w:r>
          </w:p>
          <w:tbl>
            <w:tblPr>
              <w:tblStyle w:val="44"/>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vMerge w:val="restart"/>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r>
                    <w:rPr>
                      <w:rFonts w:ascii="Times New Roman" w:hAnsi="Times New Roman" w:eastAsia="宋体" w:cs="Times New Roman"/>
                      <w:b/>
                      <w:bCs/>
                      <w:color w:val="auto"/>
                      <w:kern w:val="2"/>
                      <w:sz w:val="21"/>
                      <w:szCs w:val="21"/>
                    </w:rPr>
                    <w:t>环境敏感程度（E）</w:t>
                  </w:r>
                </w:p>
              </w:tc>
              <w:tc>
                <w:tcPr>
                  <w:tcW w:w="6804" w:type="dxa"/>
                  <w:gridSpan w:val="4"/>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r>
                    <w:rPr>
                      <w:rFonts w:ascii="Times New Roman" w:hAnsi="Times New Roman" w:eastAsia="宋体" w:cs="Times New Roman"/>
                      <w:b/>
                      <w:bCs/>
                      <w:color w:val="auto"/>
                      <w:kern w:val="2"/>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vMerge w:val="continue"/>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r>
                    <w:rPr>
                      <w:rFonts w:ascii="Times New Roman" w:hAnsi="Times New Roman" w:eastAsia="宋体" w:cs="Times New Roman"/>
                      <w:b/>
                      <w:bCs/>
                      <w:color w:val="auto"/>
                      <w:kern w:val="2"/>
                      <w:sz w:val="21"/>
                      <w:szCs w:val="21"/>
                    </w:rPr>
                    <w:t>极高危害（P1）</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r>
                    <w:rPr>
                      <w:rFonts w:ascii="Times New Roman" w:hAnsi="Times New Roman" w:eastAsia="宋体" w:cs="Times New Roman"/>
                      <w:b/>
                      <w:bCs/>
                      <w:color w:val="auto"/>
                      <w:kern w:val="2"/>
                      <w:sz w:val="21"/>
                      <w:szCs w:val="21"/>
                    </w:rPr>
                    <w:t>高度危害（P2）</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r>
                    <w:rPr>
                      <w:rFonts w:ascii="Times New Roman" w:hAnsi="Times New Roman" w:eastAsia="宋体" w:cs="Times New Roman"/>
                      <w:b/>
                      <w:bCs/>
                      <w:color w:val="auto"/>
                      <w:kern w:val="2"/>
                      <w:sz w:val="21"/>
                      <w:szCs w:val="21"/>
                    </w:rPr>
                    <w:t>中度危害（P3）</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b/>
                      <w:bCs/>
                      <w:color w:val="auto"/>
                      <w:kern w:val="2"/>
                      <w:sz w:val="21"/>
                      <w:szCs w:val="21"/>
                    </w:rPr>
                  </w:pPr>
                  <w:r>
                    <w:rPr>
                      <w:rFonts w:ascii="Times New Roman" w:hAnsi="Times New Roman" w:eastAsia="宋体" w:cs="Times New Roman"/>
                      <w:b/>
                      <w:bCs/>
                      <w:color w:val="auto"/>
                      <w:kern w:val="2"/>
                      <w:sz w:val="21"/>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环境高度敏感区（E1）</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Ⅳ</w:t>
                  </w:r>
                  <w:r>
                    <w:rPr>
                      <w:rFonts w:ascii="Times New Roman" w:hAnsi="Times New Roman" w:eastAsia="宋体" w:cs="Times New Roman"/>
                      <w:color w:val="auto"/>
                      <w:kern w:val="2"/>
                      <w:sz w:val="21"/>
                      <w:szCs w:val="21"/>
                      <w:vertAlign w:val="superscript"/>
                    </w:rPr>
                    <w:t>+</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Ⅳ</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环境中度敏感区（E2）</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Ⅳ</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0"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环境低度敏感区（E3）</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Ⅲ</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Ⅱ</w:t>
                  </w:r>
                </w:p>
              </w:tc>
              <w:tc>
                <w:tcPr>
                  <w:tcW w:w="1701" w:type="dxa"/>
                  <w:tcBorders>
                    <w:tl2br w:val="nil"/>
                    <w:tr2bl w:val="nil"/>
                  </w:tcBorders>
                  <w:vAlign w:val="center"/>
                </w:tcPr>
                <w:p>
                  <w:pPr>
                    <w:widowControl w:val="0"/>
                    <w:autoSpaceDE w:val="0"/>
                    <w:autoSpaceDN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04" w:type="dxa"/>
                  <w:gridSpan w:val="5"/>
                  <w:tcBorders>
                    <w:tl2br w:val="nil"/>
                    <w:tr2bl w:val="nil"/>
                  </w:tcBorders>
                  <w:vAlign w:val="center"/>
                </w:tcPr>
                <w:p>
                  <w:pPr>
                    <w:widowControl w:val="0"/>
                    <w:autoSpaceDE w:val="0"/>
                    <w:autoSpaceDN w:val="0"/>
                    <w:spacing w:after="0" w:line="240" w:lineRule="auto"/>
                    <w:jc w:val="left"/>
                    <w:rPr>
                      <w:rFonts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rPr>
                    <w:t>注：</w:t>
                  </w:r>
                  <w:r>
                    <w:rPr>
                      <w:rFonts w:ascii="Times New Roman" w:hAnsi="Times New Roman" w:eastAsia="宋体" w:cs="Times New Roman"/>
                      <w:color w:val="auto"/>
                      <w:kern w:val="2"/>
                      <w:sz w:val="21"/>
                      <w:szCs w:val="21"/>
                    </w:rPr>
                    <w:t>Ⅳ</w:t>
                  </w:r>
                  <w:r>
                    <w:rPr>
                      <w:rFonts w:ascii="Times New Roman" w:hAnsi="Times New Roman" w:eastAsia="宋体" w:cs="Times New Roman"/>
                      <w:color w:val="auto"/>
                      <w:kern w:val="2"/>
                      <w:sz w:val="21"/>
                      <w:szCs w:val="21"/>
                      <w:vertAlign w:val="superscript"/>
                    </w:rPr>
                    <w:t>+</w:t>
                  </w:r>
                  <w:r>
                    <w:rPr>
                      <w:rFonts w:hint="eastAsia" w:ascii="Times New Roman" w:hAnsi="Times New Roman" w:eastAsia="宋体" w:cs="Times New Roman"/>
                      <w:color w:val="auto"/>
                      <w:kern w:val="2"/>
                      <w:sz w:val="21"/>
                      <w:szCs w:val="21"/>
                    </w:rPr>
                    <w:t>为极高环境风险。</w:t>
                  </w:r>
                </w:p>
              </w:tc>
            </w:tr>
          </w:tbl>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2、P的分级确定</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定量分析危险物质数量与临界量的比值（Q）和所属行业及生产工艺特点（M），对危险物质及工艺系统危险性（P）等级进行判断。</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计算所涉及的每种危险物质在厂界内的最大存在总量与其在</w:t>
            </w:r>
            <w:r>
              <w:rPr>
                <w:rFonts w:ascii="Times New Roman" w:hAnsi="Times New Roman" w:eastAsia="宋体" w:cs="Times New Roman"/>
                <w:color w:val="auto"/>
                <w:kern w:val="2"/>
                <w:sz w:val="24"/>
                <w:szCs w:val="24"/>
              </w:rPr>
              <w:t>《建设项目环境风险评价技术导则》（</w:t>
            </w:r>
            <w:r>
              <w:rPr>
                <w:rFonts w:hint="eastAsia" w:ascii="Times New Roman" w:hAnsi="Times New Roman" w:eastAsia="宋体" w:cs="Times New Roman"/>
                <w:color w:val="auto"/>
                <w:kern w:val="2"/>
                <w:sz w:val="24"/>
                <w:szCs w:val="24"/>
              </w:rPr>
              <w:t>HJ 169-2018</w:t>
            </w:r>
            <w:r>
              <w:rPr>
                <w:rFonts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rPr>
              <w:t>附录B中对应临界量的比值Q。在不同厂区的同一种物质，按其在厂界内的最大存在总量计算。对于长输管线项目，按照两个截断阀室之间管段危险物质最大存在总量计算。</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当只涉及一种危险物质时，计算该物质的总量与其临界量比值，即为Q；</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当存在多种危险物质时，则按下式计算物质总量与其临界量比值Q：</w:t>
            </w:r>
          </w:p>
          <w:p>
            <w:pPr>
              <w:widowControl w:val="0"/>
              <w:autoSpaceDE w:val="0"/>
              <w:autoSpaceDN w:val="0"/>
              <w:spacing w:after="0" w:line="360" w:lineRule="auto"/>
              <w:ind w:firstLine="480" w:firstLineChars="200"/>
              <w:jc w:val="center"/>
              <w:rPr>
                <w:rFonts w:ascii="Times New Roman" w:hAnsi="Times New Roman" w:eastAsia="宋体" w:cs="Times New Roman"/>
                <w:color w:val="auto"/>
                <w:kern w:val="2"/>
                <w:sz w:val="24"/>
                <w:szCs w:val="24"/>
              </w:rPr>
            </w:pPr>
            <w:r>
              <w:rPr>
                <w:rFonts w:ascii="Times New Roman" w:hAnsi="Times New Roman" w:eastAsia="宋体" w:cs="Times New Roman"/>
                <w:color w:val="auto"/>
                <w:kern w:val="2"/>
                <w:position w:val="-30"/>
                <w:sz w:val="24"/>
                <w:szCs w:val="24"/>
              </w:rPr>
              <w:object>
                <v:shape id="_x0000_i1026" o:spt="75" type="#_x0000_t75" style="height:33.5pt;width:117.2pt;" o:ole="t" filled="f" o:preferrelative="t" stroked="f" coordsize="21600,21600">
                  <v:path/>
                  <v:fill on="f" focussize="0,0"/>
                  <v:stroke on="f" joinstyle="miter"/>
                  <v:imagedata r:id="rId35" o:title=""/>
                  <o:lock v:ext="edit" aspectratio="t"/>
                  <w10:wrap type="none"/>
                  <w10:anchorlock/>
                </v:shape>
                <o:OLEObject Type="Embed" ProgID="Equation.3" ShapeID="_x0000_i1026" DrawAspect="Content" ObjectID="_1468075726" r:id="rId34">
                  <o:LockedField>false</o:LockedField>
                </o:OLEObject>
              </w:objec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ascii="Times New Roman" w:hAnsi="Times New Roman" w:eastAsia="宋体" w:cs="Times New Roman"/>
                <w:color w:val="auto"/>
                <w:kern w:val="2"/>
                <w:sz w:val="24"/>
                <w:szCs w:val="24"/>
              </w:rPr>
              <w:t>式中：</w:t>
            </w:r>
            <w:r>
              <w:rPr>
                <w:rFonts w:ascii="Times New Roman" w:hAnsi="Times New Roman" w:eastAsia="宋体" w:cs="Times New Roman"/>
                <w:color w:val="auto"/>
                <w:kern w:val="2"/>
                <w:position w:val="-10"/>
                <w:sz w:val="24"/>
                <w:szCs w:val="24"/>
              </w:rPr>
              <w:object>
                <v:shape id="_x0000_i1027" o:spt="75" type="#_x0000_t75" style="height:17.6pt;width:11.7pt;" o:ole="t" filled="f" o:preferrelative="t" stroked="f" coordsize="21600,21600">
                  <v:path/>
                  <v:fill on="f" focussize="0,0"/>
                  <v:stroke on="f" joinstyle="miter"/>
                  <v:imagedata r:id="rId37" o:title=""/>
                  <o:lock v:ext="edit" aspectratio="t"/>
                  <w10:wrap type="none"/>
                  <w10:anchorlock/>
                </v:shape>
                <o:OLEObject Type="Embed" ProgID="Equation.3" ShapeID="_x0000_i1027" DrawAspect="Content" ObjectID="_1468075727" r:id="rId36">
                  <o:LockedField>false</o:LockedField>
                </o:OLEObject>
              </w:object>
            </w:r>
            <w:r>
              <w:rPr>
                <w:rFonts w:ascii="Times New Roman" w:hAnsi="Times New Roman" w:eastAsia="宋体" w:cs="Times New Roman"/>
                <w:color w:val="auto"/>
                <w:kern w:val="2"/>
                <w:sz w:val="24"/>
                <w:szCs w:val="24"/>
              </w:rPr>
              <w:t>、</w:t>
            </w:r>
            <w:r>
              <w:rPr>
                <w:rFonts w:ascii="Times New Roman" w:hAnsi="Times New Roman" w:eastAsia="宋体" w:cs="Times New Roman"/>
                <w:color w:val="auto"/>
                <w:kern w:val="2"/>
                <w:position w:val="-10"/>
                <w:sz w:val="24"/>
                <w:szCs w:val="24"/>
              </w:rPr>
              <w:object>
                <v:shape id="_x0000_i1028" o:spt="75" type="#_x0000_t75" style="height:17.6pt;width:14.25pt;" o:ole="t" filled="f" o:preferrelative="t" stroked="f" coordsize="21600,21600">
                  <v:path/>
                  <v:fill on="f" focussize="0,0"/>
                  <v:stroke on="f" joinstyle="miter"/>
                  <v:imagedata r:id="rId39" o:title=""/>
                  <o:lock v:ext="edit" aspectratio="t"/>
                  <w10:wrap type="none"/>
                  <w10:anchorlock/>
                </v:shape>
                <o:OLEObject Type="Embed" ProgID="Equation.3" ShapeID="_x0000_i1028" DrawAspect="Content" ObjectID="_1468075728" r:id="rId38">
                  <o:LockedField>false</o:LockedField>
                </o:OLEObject>
              </w:object>
            </w:r>
            <w:r>
              <w:rPr>
                <w:rFonts w:ascii="Times New Roman" w:hAnsi="Times New Roman" w:eastAsia="宋体" w:cs="Times New Roman"/>
                <w:color w:val="auto"/>
                <w:kern w:val="2"/>
                <w:sz w:val="24"/>
                <w:szCs w:val="24"/>
              </w:rPr>
              <w:t>…</w:t>
            </w:r>
            <w:r>
              <w:rPr>
                <w:rFonts w:ascii="Times New Roman" w:hAnsi="Times New Roman" w:eastAsia="宋体" w:cs="Times New Roman"/>
                <w:color w:val="auto"/>
                <w:kern w:val="2"/>
                <w:position w:val="-12"/>
                <w:sz w:val="24"/>
                <w:szCs w:val="24"/>
              </w:rPr>
              <w:object>
                <v:shape id="_x0000_i1029" o:spt="75" type="#_x0000_t75" style="height:18.4pt;width:14.25pt;" o:ole="t" filled="f" o:preferrelative="t" stroked="f" coordsize="21600,21600">
                  <v:path/>
                  <v:fill on="f" focussize="0,0"/>
                  <v:stroke on="f" joinstyle="miter"/>
                  <v:imagedata r:id="rId41" o:title=""/>
                  <o:lock v:ext="edit" aspectratio="t"/>
                  <w10:wrap type="none"/>
                  <w10:anchorlock/>
                </v:shape>
                <o:OLEObject Type="Embed" ProgID="Equation.3" ShapeID="_x0000_i1029" DrawAspect="Content" ObjectID="_1468075729" r:id="rId40">
                  <o:LockedField>false</o:LockedField>
                </o:OLEObject>
              </w:object>
            </w:r>
            <w:r>
              <w:rPr>
                <w:rFonts w:hint="eastAsia" w:ascii="Times New Roman" w:hAnsi="Times New Roman" w:eastAsia="宋体" w:cs="Times New Roman"/>
                <w:color w:val="auto"/>
                <w:kern w:val="2"/>
                <w:sz w:val="24"/>
                <w:szCs w:val="24"/>
              </w:rPr>
              <w:t>——</w:t>
            </w:r>
            <w:r>
              <w:rPr>
                <w:rFonts w:ascii="Times New Roman" w:hAnsi="Times New Roman" w:eastAsia="宋体" w:cs="Times New Roman"/>
                <w:color w:val="auto"/>
                <w:kern w:val="2"/>
                <w:sz w:val="24"/>
                <w:szCs w:val="24"/>
              </w:rPr>
              <w:t>每种危险物品的</w:t>
            </w:r>
            <w:r>
              <w:rPr>
                <w:rFonts w:hint="eastAsia" w:ascii="Times New Roman" w:hAnsi="Times New Roman" w:eastAsia="宋体" w:cs="Times New Roman"/>
                <w:color w:val="auto"/>
                <w:kern w:val="2"/>
                <w:sz w:val="24"/>
                <w:szCs w:val="24"/>
              </w:rPr>
              <w:t>最大存在总量，</w:t>
            </w:r>
            <w:r>
              <w:rPr>
                <w:rFonts w:ascii="Times New Roman" w:hAnsi="Times New Roman" w:eastAsia="宋体" w:cs="Times New Roman"/>
                <w:color w:val="auto"/>
                <w:kern w:val="2"/>
                <w:sz w:val="24"/>
                <w:szCs w:val="24"/>
              </w:rPr>
              <w:t>t；</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ascii="Times New Roman" w:hAnsi="Times New Roman" w:eastAsia="宋体" w:cs="Times New Roman"/>
                <w:color w:val="auto"/>
                <w:kern w:val="2"/>
                <w:sz w:val="24"/>
                <w:szCs w:val="24"/>
              </w:rPr>
              <w:t xml:space="preserve">      </w:t>
            </w:r>
            <w:r>
              <w:rPr>
                <w:rFonts w:ascii="Times New Roman" w:hAnsi="Times New Roman" w:eastAsia="宋体" w:cs="Times New Roman"/>
                <w:color w:val="auto"/>
                <w:kern w:val="2"/>
                <w:position w:val="-10"/>
                <w:sz w:val="24"/>
                <w:szCs w:val="24"/>
              </w:rPr>
              <w:object>
                <v:shape id="_x0000_i1030" o:spt="75" type="#_x0000_t75" style="height:17.6pt;width:14.25pt;" o:ole="t" filled="f" o:preferrelative="t" stroked="f" coordsize="21600,21600">
                  <v:path/>
                  <v:fill on="f" focussize="0,0"/>
                  <v:stroke on="f" joinstyle="miter"/>
                  <v:imagedata r:id="rId43" o:title=""/>
                  <o:lock v:ext="edit" aspectratio="t"/>
                  <w10:wrap type="none"/>
                  <w10:anchorlock/>
                </v:shape>
                <o:OLEObject Type="Embed" ProgID="Equation.3" ShapeID="_x0000_i1030" DrawAspect="Content" ObjectID="_1468075730" r:id="rId42">
                  <o:LockedField>false</o:LockedField>
                </o:OLEObject>
              </w:object>
            </w:r>
            <w:r>
              <w:rPr>
                <w:rFonts w:ascii="Times New Roman" w:hAnsi="Times New Roman" w:eastAsia="宋体" w:cs="Times New Roman"/>
                <w:color w:val="auto"/>
                <w:kern w:val="2"/>
                <w:sz w:val="24"/>
                <w:szCs w:val="24"/>
              </w:rPr>
              <w:t>、</w:t>
            </w:r>
            <w:r>
              <w:rPr>
                <w:rFonts w:ascii="Times New Roman" w:hAnsi="Times New Roman" w:eastAsia="宋体" w:cs="Times New Roman"/>
                <w:color w:val="auto"/>
                <w:kern w:val="2"/>
                <w:position w:val="-10"/>
                <w:sz w:val="24"/>
                <w:szCs w:val="24"/>
              </w:rPr>
              <w:object>
                <v:shape id="_x0000_i1031" o:spt="75" type="#_x0000_t75" style="height:17.6pt;width:15.9pt;" o:ole="t" filled="f" o:preferrelative="t" stroked="f" coordsize="21600,21600">
                  <v:path/>
                  <v:fill on="f" focussize="0,0"/>
                  <v:stroke on="f" joinstyle="miter"/>
                  <v:imagedata r:id="rId45" o:title=""/>
                  <o:lock v:ext="edit" aspectratio="t"/>
                  <w10:wrap type="none"/>
                  <w10:anchorlock/>
                </v:shape>
                <o:OLEObject Type="Embed" ProgID="Equation.3" ShapeID="_x0000_i1031" DrawAspect="Content" ObjectID="_1468075731" r:id="rId44">
                  <o:LockedField>false</o:LockedField>
                </o:OLEObject>
              </w:object>
            </w:r>
            <w:r>
              <w:rPr>
                <w:rFonts w:ascii="Times New Roman" w:hAnsi="Times New Roman" w:eastAsia="宋体" w:cs="Times New Roman"/>
                <w:color w:val="auto"/>
                <w:kern w:val="2"/>
                <w:sz w:val="24"/>
                <w:szCs w:val="24"/>
              </w:rPr>
              <w:t>…</w:t>
            </w:r>
            <w:r>
              <w:rPr>
                <w:rFonts w:ascii="Times New Roman" w:hAnsi="Times New Roman" w:eastAsia="宋体" w:cs="Times New Roman"/>
                <w:color w:val="auto"/>
                <w:kern w:val="2"/>
                <w:position w:val="-12"/>
                <w:sz w:val="24"/>
                <w:szCs w:val="24"/>
              </w:rPr>
              <w:object>
                <v:shape id="_x0000_i1032" o:spt="75" type="#_x0000_t75" style="height:18.4pt;width:15.9pt;" o:ole="t" filled="f" o:preferrelative="t" stroked="f" coordsize="21600,21600">
                  <v:path/>
                  <v:fill on="f" focussize="0,0"/>
                  <v:stroke on="f" joinstyle="miter"/>
                  <v:imagedata r:id="rId47" o:title=""/>
                  <o:lock v:ext="edit" aspectratio="t"/>
                  <w10:wrap type="none"/>
                  <w10:anchorlock/>
                </v:shape>
                <o:OLEObject Type="Embed" ProgID="Equation.3" ShapeID="_x0000_i1032" DrawAspect="Content" ObjectID="_1468075732" r:id="rId46">
                  <o:LockedField>false</o:LockedField>
                </o:OLEObject>
              </w:object>
            </w:r>
            <w:r>
              <w:rPr>
                <w:rFonts w:hint="eastAsia" w:ascii="Times New Roman" w:hAnsi="Times New Roman" w:eastAsia="宋体" w:cs="Times New Roman"/>
                <w:color w:val="auto"/>
                <w:kern w:val="2"/>
                <w:sz w:val="24"/>
                <w:szCs w:val="24"/>
              </w:rPr>
              <w:t>——每种危险物质的临界量，</w:t>
            </w:r>
            <w:r>
              <w:rPr>
                <w:rFonts w:ascii="Times New Roman" w:hAnsi="Times New Roman" w:eastAsia="宋体" w:cs="Times New Roman"/>
                <w:color w:val="auto"/>
                <w:kern w:val="2"/>
                <w:sz w:val="24"/>
                <w:szCs w:val="24"/>
              </w:rPr>
              <w:t>t。</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当Q&lt;1时，该项目环境风险潜势为</w:t>
            </w:r>
            <w:r>
              <w:rPr>
                <w:rFonts w:hint="eastAsia" w:ascii="微软雅黑" w:hAnsi="微软雅黑" w:eastAsia="微软雅黑" w:cs="微软雅黑"/>
                <w:color w:val="auto"/>
                <w:kern w:val="2"/>
                <w:sz w:val="24"/>
                <w:szCs w:val="24"/>
              </w:rPr>
              <w:t>Ⅰ</w:t>
            </w:r>
            <w:r>
              <w:rPr>
                <w:rFonts w:hint="eastAsia" w:ascii="Times New Roman" w:hAnsi="Times New Roman" w:eastAsia="宋体" w:cs="Times New Roman"/>
                <w:color w:val="auto"/>
                <w:kern w:val="2"/>
                <w:sz w:val="24"/>
                <w:szCs w:val="24"/>
              </w:rPr>
              <w:t>。</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当Q</w:t>
            </w:r>
            <w:r>
              <w:rPr>
                <w:rFonts w:ascii="Arial" w:hAnsi="Arial" w:eastAsia="宋体" w:cs="Arial"/>
                <w:color w:val="auto"/>
                <w:kern w:val="2"/>
                <w:sz w:val="24"/>
                <w:szCs w:val="24"/>
              </w:rPr>
              <w:t>≥</w:t>
            </w:r>
            <w:r>
              <w:rPr>
                <w:rFonts w:hint="eastAsia" w:ascii="Times New Roman" w:hAnsi="Times New Roman" w:eastAsia="宋体" w:cs="Times New Roman"/>
                <w:color w:val="auto"/>
                <w:kern w:val="2"/>
                <w:sz w:val="24"/>
                <w:szCs w:val="24"/>
              </w:rPr>
              <w:t>1时，将Q值划分为：（1）1</w:t>
            </w:r>
            <w:r>
              <w:rPr>
                <w:rFonts w:ascii="Arial" w:hAnsi="Arial" w:eastAsia="宋体" w:cs="Arial"/>
                <w:color w:val="auto"/>
                <w:kern w:val="2"/>
                <w:sz w:val="24"/>
                <w:szCs w:val="24"/>
              </w:rPr>
              <w:t>≤</w:t>
            </w:r>
            <w:r>
              <w:rPr>
                <w:rFonts w:hint="eastAsia" w:ascii="Times New Roman" w:hAnsi="Times New Roman" w:eastAsia="宋体" w:cs="Times New Roman"/>
                <w:color w:val="auto"/>
                <w:kern w:val="2"/>
                <w:sz w:val="24"/>
                <w:szCs w:val="24"/>
              </w:rPr>
              <w:t>Q&lt;10；（2）10</w:t>
            </w:r>
            <w:r>
              <w:rPr>
                <w:rFonts w:ascii="Arial" w:hAnsi="Arial" w:eastAsia="宋体" w:cs="Arial"/>
                <w:color w:val="auto"/>
                <w:kern w:val="2"/>
                <w:sz w:val="24"/>
                <w:szCs w:val="24"/>
              </w:rPr>
              <w:t>≤</w:t>
            </w:r>
            <w:r>
              <w:rPr>
                <w:rFonts w:hint="eastAsia" w:ascii="Times New Roman" w:hAnsi="Times New Roman" w:eastAsia="宋体" w:cs="Times New Roman"/>
                <w:color w:val="auto"/>
                <w:kern w:val="2"/>
                <w:sz w:val="24"/>
                <w:szCs w:val="24"/>
              </w:rPr>
              <w:t>Q&lt;100；（3）Q</w:t>
            </w:r>
            <w:r>
              <w:rPr>
                <w:rFonts w:ascii="Arial" w:hAnsi="Arial" w:eastAsia="宋体" w:cs="Arial"/>
                <w:color w:val="auto"/>
                <w:kern w:val="2"/>
                <w:sz w:val="24"/>
                <w:szCs w:val="24"/>
              </w:rPr>
              <w:t>≥</w:t>
            </w:r>
            <w:r>
              <w:rPr>
                <w:rFonts w:hint="eastAsia" w:ascii="Times New Roman" w:hAnsi="Times New Roman" w:eastAsia="宋体" w:cs="Times New Roman"/>
                <w:color w:val="auto"/>
                <w:kern w:val="2"/>
                <w:sz w:val="24"/>
                <w:szCs w:val="24"/>
              </w:rPr>
              <w:t>100。</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本项目建设项目</w:t>
            </w:r>
            <w:r>
              <w:rPr>
                <w:rFonts w:hint="eastAsia" w:ascii="Times New Roman" w:hAnsi="Times New Roman" w:eastAsia="宋体" w:cs="Times New Roman"/>
                <w:color w:val="auto"/>
                <w:kern w:val="2"/>
                <w:sz w:val="24"/>
                <w:szCs w:val="24"/>
              </w:rPr>
              <w:object>
                <v:shape id="_x0000_i1033" o:spt="75" type="#_x0000_t75" style="height:15.9pt;width:11.7pt;" o:ole="t" filled="f" o:preferrelative="t" stroked="f" coordsize="21600,21600">
                  <v:path/>
                  <v:fill on="f" focussize="0,0"/>
                  <v:stroke on="f" joinstyle="miter"/>
                  <v:imagedata r:id="rId49" o:title=""/>
                  <o:lock v:ext="edit" aspectratio="t"/>
                  <w10:wrap type="none"/>
                  <w10:anchorlock/>
                </v:shape>
                <o:OLEObject Type="Embed" ProgID="Equation.3" ShapeID="_x0000_i1033" DrawAspect="Content" ObjectID="_1468075733" r:id="rId48">
                  <o:LockedField>false</o:LockedField>
                </o:OLEObject>
              </w:object>
            </w:r>
            <w:r>
              <w:rPr>
                <w:rFonts w:hint="eastAsia" w:ascii="Times New Roman" w:hAnsi="Times New Roman" w:eastAsia="宋体" w:cs="Times New Roman"/>
                <w:color w:val="auto"/>
                <w:kern w:val="2"/>
                <w:sz w:val="24"/>
                <w:szCs w:val="24"/>
              </w:rPr>
              <w:t>值计算见下表。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建设项目</w:t>
            </w:r>
            <w:r>
              <w:rPr>
                <w:rFonts w:hint="eastAsia" w:ascii="Times New Roman" w:hAnsi="Times New Roman" w:eastAsia="宋体" w:cs="Times New Roman"/>
                <w:b/>
                <w:color w:val="auto"/>
                <w:kern w:val="0"/>
                <w:sz w:val="21"/>
                <w:szCs w:val="21"/>
                <w:lang w:val="en-US" w:eastAsia="zh-CN" w:bidi="ar-SA"/>
              </w:rPr>
              <w:object>
                <v:shape id="_x0000_i1034" o:spt="75" type="#_x0000_t75" style="height:15.9pt;width:11.7pt;" o:ole="t" filled="f" o:preferrelative="t" stroked="f" coordsize="21600,21600">
                  <v:path/>
                  <v:fill on="f" focussize="0,0"/>
                  <v:stroke on="f" joinstyle="miter"/>
                  <v:imagedata r:id="rId49" o:title=""/>
                  <o:lock v:ext="edit" aspectratio="t"/>
                  <w10:wrap type="none"/>
                  <w10:anchorlock/>
                </v:shape>
                <o:OLEObject Type="Embed" ProgID="Equation.3" ShapeID="_x0000_i1034" DrawAspect="Content" ObjectID="_1468075734" r:id="rId50">
                  <o:LockedField>false</o:LockedField>
                </o:OLEObject>
              </w:object>
            </w:r>
            <w:r>
              <w:rPr>
                <w:rFonts w:hint="eastAsia" w:ascii="Times New Roman" w:hAnsi="Times New Roman" w:eastAsia="宋体" w:cs="Times New Roman"/>
                <w:b/>
                <w:color w:val="auto"/>
                <w:kern w:val="0"/>
                <w:sz w:val="21"/>
                <w:szCs w:val="21"/>
                <w:lang w:val="en-US" w:eastAsia="zh-CN" w:bidi="ar-SA"/>
              </w:rPr>
              <w:t>值确定表</w:t>
            </w:r>
          </w:p>
          <w:p>
            <w:pPr>
              <w:widowControl w:val="0"/>
              <w:autoSpaceDE w:val="0"/>
              <w:autoSpaceDN w:val="0"/>
              <w:spacing w:before="1" w:after="0" w:line="30" w:lineRule="exact"/>
              <w:jc w:val="both"/>
              <w:rPr>
                <w:rFonts w:ascii="Times New Roman" w:hAnsi="Times New Roman" w:eastAsia="宋体" w:cs="Times New Roman"/>
                <w:b/>
                <w:bCs/>
                <w:color w:val="FF0000"/>
                <w:kern w:val="2"/>
                <w:sz w:val="21"/>
                <w:szCs w:val="24"/>
              </w:rPr>
            </w:pPr>
          </w:p>
          <w:tbl>
            <w:tblPr>
              <w:tblStyle w:val="43"/>
              <w:tblW w:w="90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86"/>
              <w:gridCol w:w="1004"/>
              <w:gridCol w:w="2745"/>
              <w:gridCol w:w="1725"/>
              <w:gridCol w:w="20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1486"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rPr>
                  </w:pPr>
                  <w:r>
                    <w:rPr>
                      <w:rFonts w:ascii="Times New Roman" w:hAnsi="Times New Roman" w:eastAsia="宋体" w:cs="Times New Roman"/>
                      <w:b/>
                      <w:color w:val="auto"/>
                      <w:kern w:val="2"/>
                      <w:sz w:val="21"/>
                      <w:szCs w:val="21"/>
                    </w:rPr>
                    <w:t>物质名称</w:t>
                  </w:r>
                </w:p>
              </w:tc>
              <w:tc>
                <w:tcPr>
                  <w:tcW w:w="1004"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rPr>
                  </w:pPr>
                  <w:r>
                    <w:rPr>
                      <w:rFonts w:ascii="Times New Roman" w:hAnsi="Times New Roman" w:eastAsia="宋体" w:cs="Times New Roman"/>
                      <w:b/>
                      <w:color w:val="auto"/>
                      <w:kern w:val="2"/>
                      <w:sz w:val="21"/>
                      <w:szCs w:val="21"/>
                    </w:rPr>
                    <w:t>CAS号</w:t>
                  </w:r>
                </w:p>
              </w:tc>
              <w:tc>
                <w:tcPr>
                  <w:tcW w:w="274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rPr>
                  </w:pPr>
                  <w:r>
                    <w:rPr>
                      <w:rFonts w:ascii="Times New Roman" w:hAnsi="Times New Roman" w:eastAsia="宋体" w:cs="Times New Roman"/>
                      <w:b/>
                      <w:color w:val="auto"/>
                      <w:kern w:val="2"/>
                      <w:sz w:val="21"/>
                      <w:szCs w:val="21"/>
                    </w:rPr>
                    <w:t>最大存在总量（</w:t>
                  </w:r>
                  <w:r>
                    <w:rPr>
                      <w:rFonts w:ascii="Times New Roman" w:hAnsi="Times New Roman" w:eastAsia="宋体" w:cs="Times New Roman"/>
                      <w:b/>
                      <w:color w:val="auto"/>
                      <w:kern w:val="2"/>
                      <w:position w:val="-12"/>
                      <w:sz w:val="21"/>
                      <w:szCs w:val="21"/>
                    </w:rPr>
                    <w:object>
                      <v:shape id="_x0000_i1035" o:spt="75" type="#_x0000_t75" style="height:18.4pt;width:14.25pt;" o:ole="t" filled="f" o:preferrelative="t" stroked="f" coordsize="21600,21600">
                        <v:path/>
                        <v:fill on="f" focussize="0,0"/>
                        <v:stroke on="f" joinstyle="miter"/>
                        <v:imagedata r:id="rId52" o:title=""/>
                        <o:lock v:ext="edit" aspectratio="t"/>
                        <w10:wrap type="none"/>
                        <w10:anchorlock/>
                      </v:shape>
                      <o:OLEObject Type="Embed" ProgID="Equation.3" ShapeID="_x0000_i1035" DrawAspect="Content" ObjectID="_1468075735" r:id="rId51">
                        <o:LockedField>false</o:LockedField>
                      </o:OLEObject>
                    </w:object>
                  </w:r>
                  <w:r>
                    <w:rPr>
                      <w:rFonts w:ascii="Times New Roman" w:hAnsi="Times New Roman" w:eastAsia="宋体" w:cs="Times New Roman"/>
                      <w:b/>
                      <w:color w:val="auto"/>
                      <w:kern w:val="2"/>
                      <w:sz w:val="21"/>
                      <w:szCs w:val="21"/>
                    </w:rPr>
                    <w:t>），t</w:t>
                  </w:r>
                </w:p>
              </w:tc>
              <w:tc>
                <w:tcPr>
                  <w:tcW w:w="172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rPr>
                  </w:pPr>
                  <w:r>
                    <w:rPr>
                      <w:rFonts w:ascii="Times New Roman" w:hAnsi="Times New Roman" w:eastAsia="宋体" w:cs="Times New Roman"/>
                      <w:b/>
                      <w:color w:val="auto"/>
                      <w:kern w:val="2"/>
                      <w:sz w:val="21"/>
                      <w:szCs w:val="21"/>
                    </w:rPr>
                    <w:t>临界量(</w:t>
                  </w:r>
                  <w:r>
                    <w:rPr>
                      <w:rFonts w:ascii="Times New Roman" w:hAnsi="Times New Roman" w:eastAsia="宋体" w:cs="Times New Roman"/>
                      <w:b/>
                      <w:color w:val="auto"/>
                      <w:kern w:val="2"/>
                      <w:position w:val="-12"/>
                      <w:sz w:val="21"/>
                      <w:szCs w:val="21"/>
                    </w:rPr>
                    <w:object>
                      <v:shape id="_x0000_i1036" o:spt="75" type="#_x0000_t75" style="height:18.4pt;width:15.9pt;" o:ole="t" filled="f" o:preferrelative="t" stroked="f" coordsize="21600,21600">
                        <v:path/>
                        <v:fill on="f" focussize="0,0"/>
                        <v:stroke on="f" joinstyle="miter"/>
                        <v:imagedata r:id="rId54" o:title=""/>
                        <o:lock v:ext="edit" aspectratio="t"/>
                        <w10:wrap type="none"/>
                        <w10:anchorlock/>
                      </v:shape>
                      <o:OLEObject Type="Embed" ProgID="Equation.3" ShapeID="_x0000_i1036" DrawAspect="Content" ObjectID="_1468075736" r:id="rId53">
                        <o:LockedField>false</o:LockedField>
                      </o:OLEObject>
                    </w:object>
                  </w:r>
                  <w:r>
                    <w:rPr>
                      <w:rFonts w:ascii="Times New Roman" w:hAnsi="Times New Roman" w:eastAsia="宋体" w:cs="Times New Roman"/>
                      <w:b/>
                      <w:color w:val="auto"/>
                      <w:kern w:val="2"/>
                      <w:sz w:val="21"/>
                      <w:szCs w:val="21"/>
                    </w:rPr>
                    <w:t>)，t</w:t>
                  </w:r>
                </w:p>
              </w:tc>
              <w:tc>
                <w:tcPr>
                  <w:tcW w:w="2056"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b/>
                      <w:color w:val="auto"/>
                      <w:kern w:val="2"/>
                      <w:sz w:val="21"/>
                      <w:szCs w:val="21"/>
                    </w:rPr>
                  </w:pPr>
                  <w:r>
                    <w:rPr>
                      <w:rFonts w:ascii="Times New Roman" w:hAnsi="Times New Roman" w:eastAsia="宋体" w:cs="Times New Roman"/>
                      <w:b/>
                      <w:color w:val="auto"/>
                      <w:kern w:val="2"/>
                      <w:sz w:val="21"/>
                      <w:szCs w:val="21"/>
                    </w:rPr>
                    <w:t>该种危险物质</w:t>
                  </w:r>
                  <w:r>
                    <w:rPr>
                      <w:rFonts w:ascii="Times New Roman" w:hAnsi="Times New Roman" w:eastAsia="宋体" w:cs="Times New Roman"/>
                      <w:b/>
                      <w:bCs/>
                      <w:color w:val="auto"/>
                      <w:spacing w:val="1"/>
                      <w:kern w:val="2"/>
                      <w:position w:val="-10"/>
                      <w:sz w:val="21"/>
                      <w:szCs w:val="21"/>
                    </w:rPr>
                    <w:object>
                      <v:shape id="_x0000_i1037" o:spt="75" type="#_x0000_t75" style="height:15.9pt;width:11.7pt;" o:ole="t" filled="f" o:preferrelative="t" stroked="f" coordsize="21600,21600">
                        <v:path/>
                        <v:fill on="f" focussize="0,0"/>
                        <v:stroke on="f" joinstyle="miter"/>
                        <v:imagedata r:id="rId49" o:title=""/>
                        <o:lock v:ext="edit" aspectratio="t"/>
                        <w10:wrap type="none"/>
                        <w10:anchorlock/>
                      </v:shape>
                      <o:OLEObject Type="Embed" ProgID="Equation.3" ShapeID="_x0000_i1037" DrawAspect="Content" ObjectID="_1468075737" r:id="rId55">
                        <o:LockedField>false</o:LockedField>
                      </o:OLEObject>
                    </w:object>
                  </w:r>
                  <w:r>
                    <w:rPr>
                      <w:rFonts w:ascii="Times New Roman" w:hAnsi="Times New Roman" w:eastAsia="宋体" w:cs="Times New Roman"/>
                      <w:b/>
                      <w:bCs/>
                      <w:color w:val="auto"/>
                      <w:spacing w:val="1"/>
                      <w:kern w:val="2"/>
                      <w:position w:val="-1"/>
                      <w:sz w:val="21"/>
                      <w:szCs w:val="21"/>
                    </w:rPr>
                    <w:t>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2" w:hRule="atLeast"/>
                <w:jc w:val="center"/>
              </w:trPr>
              <w:tc>
                <w:tcPr>
                  <w:tcW w:w="1486"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eastAsia="zh-CN"/>
                    </w:rPr>
                    <w:t>润滑油</w:t>
                  </w:r>
                </w:p>
              </w:tc>
              <w:tc>
                <w:tcPr>
                  <w:tcW w:w="1004"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w:t>
                  </w:r>
                </w:p>
              </w:tc>
              <w:tc>
                <w:tcPr>
                  <w:tcW w:w="2745" w:type="dxa"/>
                  <w:tcBorders>
                    <w:tl2br w:val="nil"/>
                    <w:tr2bl w:val="nil"/>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0.5</w:t>
                  </w:r>
                </w:p>
              </w:tc>
              <w:tc>
                <w:tcPr>
                  <w:tcW w:w="1725" w:type="dxa"/>
                  <w:tcBorders>
                    <w:tl2br w:val="nil"/>
                    <w:tr2bl w:val="nil"/>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rPr>
                  </w:pPr>
                  <w:r>
                    <w:rPr>
                      <w:rFonts w:ascii="Times New Roman" w:hAnsi="Times New Roman" w:eastAsia="宋体" w:cs="Times New Roman"/>
                      <w:color w:val="auto"/>
                      <w:kern w:val="2"/>
                      <w:sz w:val="21"/>
                      <w:szCs w:val="21"/>
                    </w:rPr>
                    <w:t>2500</w:t>
                  </w:r>
                </w:p>
              </w:tc>
              <w:tc>
                <w:tcPr>
                  <w:tcW w:w="2056" w:type="dxa"/>
                  <w:tcBorders>
                    <w:tl2br w:val="nil"/>
                    <w:tr2bl w:val="nil"/>
                  </w:tcBorders>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0.0002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2" w:hRule="atLeast"/>
                <w:jc w:val="center"/>
              </w:trPr>
              <w:tc>
                <w:tcPr>
                  <w:tcW w:w="1486"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eastAsia="zh-CN"/>
                    </w:rPr>
                    <w:t>天然气（甲烷）</w:t>
                  </w:r>
                </w:p>
              </w:tc>
              <w:tc>
                <w:tcPr>
                  <w:tcW w:w="1004"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eastAsia="zh-CN"/>
                    </w:rPr>
                    <w:t>74-82-8</w:t>
                  </w:r>
                </w:p>
              </w:tc>
              <w:tc>
                <w:tcPr>
                  <w:tcW w:w="274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0</w:t>
                  </w:r>
                </w:p>
              </w:tc>
              <w:tc>
                <w:tcPr>
                  <w:tcW w:w="1725"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eastAsia="zh-CN"/>
                    </w:rPr>
                    <w:t>10</w:t>
                  </w:r>
                </w:p>
              </w:tc>
              <w:tc>
                <w:tcPr>
                  <w:tcW w:w="2056" w:type="dxa"/>
                  <w:tcBorders>
                    <w:tl2br w:val="nil"/>
                    <w:tr2bl w:val="nil"/>
                  </w:tcBorders>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lang w:eastAsia="zh-CN"/>
                    </w:rPr>
                  </w:pPr>
                  <w:r>
                    <w:rPr>
                      <w:rFonts w:hint="eastAsia" w:ascii="Times New Roman" w:hAnsi="Times New Roman" w:eastAsia="宋体" w:cs="Times New Roman"/>
                      <w:color w:val="auto"/>
                      <w:kern w:val="2"/>
                      <w:sz w:val="21"/>
                      <w:szCs w:val="21"/>
                      <w:lang w:val="en-US" w:eastAsia="zh-CN"/>
                    </w:rPr>
                    <w:t>0</w:t>
                  </w:r>
                </w:p>
              </w:tc>
            </w:tr>
          </w:tbl>
          <w:p>
            <w:pPr>
              <w:widowControl w:val="0"/>
              <w:spacing w:after="0" w:line="360" w:lineRule="auto"/>
              <w:ind w:firstLine="422" w:firstLineChars="200"/>
              <w:jc w:val="both"/>
              <w:rPr>
                <w:rFonts w:ascii="Times New Roman" w:hAnsi="Times New Roman" w:eastAsia="宋体" w:cs="Times New Roman"/>
                <w:b/>
                <w:bCs/>
                <w:color w:val="auto"/>
                <w:kern w:val="2"/>
                <w:sz w:val="21"/>
                <w:szCs w:val="21"/>
                <w:highlight w:val="none"/>
              </w:rPr>
            </w:pPr>
            <w:r>
              <w:rPr>
                <w:rFonts w:hint="eastAsia" w:ascii="Times New Roman" w:hAnsi="Times New Roman" w:eastAsia="宋体" w:cs="Times New Roman"/>
                <w:b/>
                <w:bCs/>
                <w:color w:val="auto"/>
                <w:kern w:val="2"/>
                <w:sz w:val="21"/>
                <w:szCs w:val="21"/>
                <w:highlight w:val="none"/>
              </w:rPr>
              <w:t>说明：项目</w:t>
            </w:r>
            <w:r>
              <w:rPr>
                <w:rFonts w:hint="eastAsia" w:ascii="Times New Roman" w:hAnsi="Times New Roman" w:eastAsia="宋体" w:cs="Times New Roman"/>
                <w:b/>
                <w:bCs/>
                <w:color w:val="auto"/>
                <w:kern w:val="2"/>
                <w:sz w:val="21"/>
                <w:szCs w:val="21"/>
                <w:highlight w:val="none"/>
                <w:lang w:eastAsia="zh-CN"/>
              </w:rPr>
              <w:t>红冲</w:t>
            </w:r>
            <w:r>
              <w:rPr>
                <w:rFonts w:hint="eastAsia" w:ascii="Times New Roman" w:hAnsi="Times New Roman" w:eastAsia="宋体" w:cs="Times New Roman"/>
                <w:b/>
                <w:bCs/>
                <w:color w:val="auto"/>
                <w:kern w:val="2"/>
                <w:sz w:val="21"/>
                <w:szCs w:val="21"/>
                <w:highlight w:val="none"/>
              </w:rPr>
              <w:t>所用燃料为</w:t>
            </w:r>
            <w:r>
              <w:rPr>
                <w:rFonts w:hint="eastAsia" w:ascii="Times New Roman" w:hAnsi="Times New Roman" w:eastAsia="宋体" w:cs="Times New Roman"/>
                <w:b/>
                <w:bCs/>
                <w:color w:val="auto"/>
                <w:kern w:val="2"/>
                <w:sz w:val="21"/>
                <w:szCs w:val="21"/>
                <w:highlight w:val="none"/>
                <w:lang w:eastAsia="zh-CN"/>
              </w:rPr>
              <w:t>管道</w:t>
            </w:r>
            <w:r>
              <w:rPr>
                <w:rFonts w:hint="eastAsia" w:ascii="Times New Roman" w:hAnsi="Times New Roman" w:eastAsia="宋体" w:cs="Times New Roman"/>
                <w:b/>
                <w:bCs/>
                <w:color w:val="auto"/>
                <w:kern w:val="2"/>
                <w:sz w:val="21"/>
                <w:szCs w:val="21"/>
                <w:highlight w:val="none"/>
              </w:rPr>
              <w:t>天然气，</w:t>
            </w:r>
            <w:r>
              <w:rPr>
                <w:rFonts w:ascii="Times New Roman" w:hAnsi="Times New Roman" w:eastAsia="宋体" w:cs="Times New Roman"/>
                <w:b/>
                <w:color w:val="auto"/>
                <w:kern w:val="2"/>
                <w:sz w:val="21"/>
                <w:szCs w:val="21"/>
                <w:highlight w:val="none"/>
              </w:rPr>
              <w:t>最大储存量为</w:t>
            </w:r>
            <w:r>
              <w:rPr>
                <w:rFonts w:hint="eastAsia" w:ascii="Times New Roman" w:hAnsi="Times New Roman" w:eastAsia="宋体" w:cs="Times New Roman"/>
                <w:b/>
                <w:color w:val="auto"/>
                <w:kern w:val="2"/>
                <w:sz w:val="21"/>
                <w:szCs w:val="21"/>
                <w:highlight w:val="none"/>
                <w:lang w:val="en-US" w:eastAsia="zh-CN"/>
              </w:rPr>
              <w:t>0</w:t>
            </w:r>
            <w:r>
              <w:rPr>
                <w:rFonts w:hint="eastAsia" w:ascii="Times New Roman" w:hAnsi="Times New Roman" w:eastAsia="宋体" w:cs="Times New Roman"/>
                <w:b/>
                <w:color w:val="auto"/>
                <w:kern w:val="2"/>
                <w:sz w:val="21"/>
                <w:szCs w:val="21"/>
                <w:highlight w:val="none"/>
              </w:rPr>
              <w:t>吨</w:t>
            </w:r>
            <w:r>
              <w:rPr>
                <w:rFonts w:hint="eastAsia" w:ascii="Times New Roman" w:hAnsi="Times New Roman" w:eastAsia="宋体" w:cs="Times New Roman"/>
                <w:b/>
                <w:bCs/>
                <w:color w:val="auto"/>
                <w:kern w:val="2"/>
                <w:sz w:val="21"/>
                <w:szCs w:val="21"/>
                <w:highlight w:val="none"/>
              </w:rPr>
              <w:t>。</w:t>
            </w:r>
          </w:p>
          <w:p>
            <w:pPr>
              <w:widowControl w:val="0"/>
              <w:spacing w:after="0" w:line="360" w:lineRule="auto"/>
              <w:ind w:firstLine="480" w:firstLineChars="200"/>
              <w:jc w:val="both"/>
              <w:rPr>
                <w:rFonts w:ascii="Times New Roman" w:hAnsi="Times New Roman" w:eastAsia="宋体" w:cs="Times New Roman"/>
                <w:color w:val="auto"/>
                <w:kern w:val="2"/>
                <w:sz w:val="24"/>
                <w:szCs w:val="24"/>
              </w:rPr>
            </w:pPr>
            <w:r>
              <w:rPr>
                <w:rFonts w:ascii="Times New Roman" w:hAnsi="Times New Roman" w:eastAsia="宋体" w:cs="Times New Roman"/>
                <w:color w:val="auto"/>
                <w:kern w:val="2"/>
                <w:sz w:val="24"/>
                <w:szCs w:val="24"/>
              </w:rPr>
              <w:t>经计算，</w:t>
            </w:r>
            <w:r>
              <w:rPr>
                <w:rFonts w:ascii="Times New Roman" w:hAnsi="Times New Roman" w:eastAsia="宋体" w:cs="Times New Roman"/>
                <w:color w:val="auto"/>
                <w:kern w:val="2"/>
                <w:position w:val="-30"/>
                <w:sz w:val="24"/>
                <w:szCs w:val="24"/>
              </w:rPr>
              <w:object>
                <v:shape id="_x0000_i1038" o:spt="75" type="#_x0000_t75" style="height:32.65pt;width:89.8pt;" o:ole="t" filled="f" o:preferrelative="t" stroked="f" coordsize="21600,21600">
                  <v:path/>
                  <v:fill on="f" focussize="0,0"/>
                  <v:stroke on="f"/>
                  <v:imagedata r:id="rId57" o:title=""/>
                  <o:lock v:ext="edit" aspectratio="t"/>
                  <w10:wrap type="none"/>
                  <w10:anchorlock/>
                </v:shape>
                <o:OLEObject Type="Embed" ProgID="Equation.3" ShapeID="_x0000_i1038" DrawAspect="Content" ObjectID="_1468075738" r:id="rId56">
                  <o:LockedField>false</o:LockedField>
                </o:OLEObject>
              </w:object>
            </w:r>
            <w:r>
              <w:rPr>
                <w:rFonts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rPr>
              <w:t>项目环境风险潜势为</w:t>
            </w:r>
            <w:r>
              <w:rPr>
                <w:rFonts w:hint="eastAsia" w:ascii="微软雅黑" w:hAnsi="微软雅黑" w:eastAsia="微软雅黑" w:cs="微软雅黑"/>
                <w:color w:val="auto"/>
                <w:kern w:val="2"/>
                <w:sz w:val="24"/>
                <w:szCs w:val="24"/>
              </w:rPr>
              <w:t>Ⅰ</w:t>
            </w:r>
            <w:r>
              <w:rPr>
                <w:rFonts w:ascii="Times New Roman" w:hAnsi="Times New Roman" w:eastAsia="宋体" w:cs="Times New Roman"/>
                <w:color w:val="auto"/>
                <w:kern w:val="2"/>
                <w:sz w:val="24"/>
                <w:szCs w:val="24"/>
              </w:rPr>
              <w:t>。</w:t>
            </w:r>
          </w:p>
          <w:p>
            <w:pPr>
              <w:widowControl w:val="0"/>
              <w:autoSpaceDE w:val="0"/>
              <w:autoSpaceDN w:val="0"/>
              <w:spacing w:after="0" w:line="360" w:lineRule="auto"/>
              <w:ind w:firstLine="480" w:firstLineChars="200"/>
              <w:jc w:val="both"/>
              <w:rPr>
                <w:rFonts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rPr>
              <w:t>3、</w:t>
            </w:r>
            <w:r>
              <w:rPr>
                <w:rFonts w:ascii="Times New Roman" w:hAnsi="Times New Roman" w:eastAsia="宋体" w:cs="Times New Roman"/>
                <w:color w:val="auto"/>
                <w:kern w:val="2"/>
                <w:sz w:val="24"/>
                <w:szCs w:val="24"/>
              </w:rPr>
              <w:t xml:space="preserve">评价工作等级 </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根据《建设项目环境风险评价技术导则》（HJ169-2018），风险潜势为Ⅰ，可开展简单分析。因此本报告对本项目开展环境风险简单分析。</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w:t>
            </w:r>
            <w:r>
              <w:rPr>
                <w:rFonts w:hint="eastAsia" w:ascii="Times New Roman" w:hAnsi="Times New Roman" w:cs="Times New Roman" w:eastAsiaTheme="minorEastAsia"/>
                <w:color w:val="auto"/>
                <w:kern w:val="2"/>
                <w:sz w:val="24"/>
                <w:szCs w:val="24"/>
              </w:rPr>
              <w:t>三</w:t>
            </w:r>
            <w:r>
              <w:rPr>
                <w:rFonts w:ascii="Times New Roman" w:hAnsi="Times New Roman" w:cs="Times New Roman" w:eastAsiaTheme="minorEastAsia"/>
                <w:color w:val="auto"/>
                <w:kern w:val="2"/>
                <w:sz w:val="24"/>
                <w:szCs w:val="24"/>
              </w:rPr>
              <w:t>）生产过程风险识别</w:t>
            </w:r>
          </w:p>
          <w:p>
            <w:pPr>
              <w:widowControl w:val="0"/>
              <w:spacing w:after="0" w:line="24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本项目主要为危险废物储存点、仓库和废气处理设施存在环境风险，识别如下表所示：</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生产过程风险源识别</w:t>
            </w:r>
          </w:p>
          <w:tbl>
            <w:tblPr>
              <w:tblStyle w:val="44"/>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1"/>
              <w:gridCol w:w="1159"/>
              <w:gridCol w:w="3341"/>
              <w:gridCol w:w="2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widowControl w:val="0"/>
                    <w:spacing w:after="0" w:line="276" w:lineRule="auto"/>
                    <w:jc w:val="center"/>
                    <w:rPr>
                      <w:rFonts w:ascii="Times New Roman" w:hAnsi="Times New Roman" w:cs="Times New Roman" w:eastAsiaTheme="minorEastAsia"/>
                      <w:b/>
                      <w:bCs/>
                      <w:color w:val="auto"/>
                      <w:kern w:val="2"/>
                      <w:sz w:val="21"/>
                      <w:szCs w:val="21"/>
                    </w:rPr>
                  </w:pPr>
                  <w:r>
                    <w:rPr>
                      <w:rFonts w:ascii="Times New Roman" w:hAnsi="Times New Roman" w:cs="Times New Roman" w:eastAsiaTheme="minorEastAsia"/>
                      <w:b/>
                      <w:bCs/>
                      <w:color w:val="auto"/>
                      <w:kern w:val="2"/>
                      <w:sz w:val="21"/>
                      <w:szCs w:val="21"/>
                    </w:rPr>
                    <w:t>危险目标</w:t>
                  </w:r>
                </w:p>
              </w:tc>
              <w:tc>
                <w:tcPr>
                  <w:tcW w:w="1159" w:type="dxa"/>
                  <w:vAlign w:val="center"/>
                </w:tcPr>
                <w:p>
                  <w:pPr>
                    <w:widowControl w:val="0"/>
                    <w:spacing w:after="0" w:line="276" w:lineRule="auto"/>
                    <w:jc w:val="center"/>
                    <w:rPr>
                      <w:rFonts w:ascii="Times New Roman" w:hAnsi="Times New Roman" w:cs="Times New Roman" w:eastAsiaTheme="minorEastAsia"/>
                      <w:b/>
                      <w:bCs/>
                      <w:color w:val="auto"/>
                      <w:kern w:val="2"/>
                      <w:sz w:val="21"/>
                      <w:szCs w:val="21"/>
                    </w:rPr>
                  </w:pPr>
                  <w:r>
                    <w:rPr>
                      <w:rFonts w:ascii="Times New Roman" w:hAnsi="Times New Roman" w:cs="Times New Roman" w:eastAsiaTheme="minorEastAsia"/>
                      <w:b/>
                      <w:bCs/>
                      <w:color w:val="auto"/>
                      <w:kern w:val="2"/>
                      <w:sz w:val="21"/>
                      <w:szCs w:val="21"/>
                    </w:rPr>
                    <w:t>事故类型</w:t>
                  </w:r>
                </w:p>
              </w:tc>
              <w:tc>
                <w:tcPr>
                  <w:tcW w:w="3341" w:type="dxa"/>
                  <w:vAlign w:val="center"/>
                </w:tcPr>
                <w:p>
                  <w:pPr>
                    <w:widowControl w:val="0"/>
                    <w:spacing w:after="0" w:line="276" w:lineRule="auto"/>
                    <w:jc w:val="center"/>
                    <w:rPr>
                      <w:rFonts w:ascii="Times New Roman" w:hAnsi="Times New Roman" w:cs="Times New Roman" w:eastAsiaTheme="minorEastAsia"/>
                      <w:b/>
                      <w:bCs/>
                      <w:color w:val="auto"/>
                      <w:kern w:val="2"/>
                      <w:sz w:val="21"/>
                      <w:szCs w:val="21"/>
                    </w:rPr>
                  </w:pPr>
                  <w:r>
                    <w:rPr>
                      <w:rFonts w:ascii="Times New Roman" w:hAnsi="Times New Roman" w:cs="Times New Roman" w:eastAsiaTheme="minorEastAsia"/>
                      <w:b/>
                      <w:bCs/>
                      <w:color w:val="auto"/>
                      <w:kern w:val="2"/>
                      <w:sz w:val="21"/>
                      <w:szCs w:val="21"/>
                    </w:rPr>
                    <w:t>事故引发可能原因及后果</w:t>
                  </w:r>
                </w:p>
              </w:tc>
              <w:tc>
                <w:tcPr>
                  <w:tcW w:w="2725" w:type="dxa"/>
                  <w:vAlign w:val="center"/>
                </w:tcPr>
                <w:p>
                  <w:pPr>
                    <w:widowControl w:val="0"/>
                    <w:spacing w:after="0" w:line="276" w:lineRule="auto"/>
                    <w:jc w:val="center"/>
                    <w:rPr>
                      <w:rFonts w:ascii="Times New Roman" w:hAnsi="Times New Roman" w:cs="Times New Roman" w:eastAsiaTheme="minorEastAsia"/>
                      <w:b/>
                      <w:bCs/>
                      <w:color w:val="auto"/>
                      <w:kern w:val="2"/>
                      <w:sz w:val="21"/>
                      <w:szCs w:val="21"/>
                    </w:rPr>
                  </w:pPr>
                  <w:r>
                    <w:rPr>
                      <w:rFonts w:ascii="Times New Roman" w:hAnsi="Times New Roman" w:cs="Times New Roman" w:eastAsiaTheme="minorEastAsia"/>
                      <w:b/>
                      <w:bCs/>
                      <w:color w:val="auto"/>
                      <w:kern w:val="2"/>
                      <w:sz w:val="21"/>
                      <w:szCs w:val="21"/>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危险废物暂存点</w:t>
                  </w:r>
                </w:p>
              </w:tc>
              <w:tc>
                <w:tcPr>
                  <w:tcW w:w="1159"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泄漏</w:t>
                  </w:r>
                </w:p>
              </w:tc>
              <w:tc>
                <w:tcPr>
                  <w:tcW w:w="3341"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危险废物</w:t>
                  </w:r>
                  <w:r>
                    <w:rPr>
                      <w:rFonts w:hint="eastAsia" w:ascii="Times New Roman" w:hAnsi="Times New Roman" w:cs="Times New Roman" w:eastAsiaTheme="minorEastAsia"/>
                      <w:color w:val="auto"/>
                      <w:kern w:val="2"/>
                      <w:sz w:val="21"/>
                      <w:szCs w:val="21"/>
                      <w:lang w:eastAsia="zh-CN"/>
                    </w:rPr>
                    <w:t>在</w:t>
                  </w:r>
                  <w:r>
                    <w:rPr>
                      <w:rFonts w:ascii="Times New Roman" w:hAnsi="Times New Roman" w:cs="Times New Roman" w:eastAsiaTheme="minorEastAsia"/>
                      <w:color w:val="auto"/>
                      <w:kern w:val="2"/>
                      <w:sz w:val="21"/>
                      <w:szCs w:val="21"/>
                    </w:rPr>
                    <w:t>装卸或存储过程中可能会发生泄漏可能污染地下水，或可能由于恶劣天气影响，导致雨水渗入等</w:t>
                  </w:r>
                </w:p>
              </w:tc>
              <w:tc>
                <w:tcPr>
                  <w:tcW w:w="2725"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储存危险废物必须严实包装，储存场地硬底化，设置漫坡围堰，储存场地选择室内或设置遮雨措施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仓库</w:t>
                  </w:r>
                </w:p>
              </w:tc>
              <w:tc>
                <w:tcPr>
                  <w:tcW w:w="1159"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泄漏</w:t>
                  </w:r>
                </w:p>
              </w:tc>
              <w:tc>
                <w:tcPr>
                  <w:tcW w:w="3341"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hint="eastAsia" w:ascii="Times New Roman" w:hAnsi="Times New Roman" w:cs="Times New Roman" w:eastAsiaTheme="minorEastAsia"/>
                      <w:color w:val="auto"/>
                      <w:kern w:val="2"/>
                      <w:sz w:val="21"/>
                      <w:szCs w:val="21"/>
                      <w:lang w:eastAsia="zh-CN"/>
                    </w:rPr>
                    <w:t>化学品在</w:t>
                  </w:r>
                  <w:r>
                    <w:rPr>
                      <w:rFonts w:ascii="Times New Roman" w:hAnsi="Times New Roman" w:cs="Times New Roman" w:eastAsiaTheme="minorEastAsia"/>
                      <w:color w:val="auto"/>
                      <w:kern w:val="2"/>
                      <w:sz w:val="21"/>
                      <w:szCs w:val="21"/>
                    </w:rPr>
                    <w:t>装卸或存储过程中可能会发生泄漏可能污染地下水，或可能由于恶劣天气影响，导致雨水渗入等</w:t>
                  </w:r>
                </w:p>
              </w:tc>
              <w:tc>
                <w:tcPr>
                  <w:tcW w:w="2725"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储存化学品必须严实包装，储存场地硬底化，设置漫坡围堰，储存场地选择室内或设置遮雨措施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1"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废气收集排放系</w:t>
                  </w:r>
                </w:p>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统</w:t>
                  </w:r>
                </w:p>
              </w:tc>
              <w:tc>
                <w:tcPr>
                  <w:tcW w:w="1159"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废气事故排放</w:t>
                  </w:r>
                </w:p>
              </w:tc>
              <w:tc>
                <w:tcPr>
                  <w:tcW w:w="3341"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设备故障，或管道损坏，会导致</w:t>
                  </w:r>
                </w:p>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废气未经有效收集处理直接排</w:t>
                  </w:r>
                </w:p>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放，影响周边大气环境</w:t>
                  </w:r>
                </w:p>
              </w:tc>
              <w:tc>
                <w:tcPr>
                  <w:tcW w:w="2725"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加强检修维护，确保废气收集系统的正常运行</w:t>
                  </w:r>
                </w:p>
              </w:tc>
            </w:tr>
          </w:tbl>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w:t>
            </w:r>
            <w:r>
              <w:rPr>
                <w:rFonts w:hint="eastAsia" w:ascii="Times New Roman" w:hAnsi="Times New Roman" w:cs="Times New Roman" w:eastAsiaTheme="minorEastAsia"/>
                <w:color w:val="auto"/>
                <w:kern w:val="2"/>
                <w:sz w:val="24"/>
                <w:szCs w:val="24"/>
              </w:rPr>
              <w:t>四</w:t>
            </w:r>
            <w:r>
              <w:rPr>
                <w:rFonts w:ascii="Times New Roman" w:hAnsi="Times New Roman" w:cs="Times New Roman" w:eastAsiaTheme="minorEastAsia"/>
                <w:color w:val="auto"/>
                <w:kern w:val="2"/>
                <w:sz w:val="24"/>
                <w:szCs w:val="24"/>
              </w:rPr>
              <w:t>）源项分析</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风险事故类型分为火灾、爆炸和泄漏三种。结合本项目的工程特征，潜在的风险事故可以分为</w:t>
            </w:r>
            <w:r>
              <w:rPr>
                <w:rFonts w:hint="eastAsia" w:ascii="Times New Roman" w:hAnsi="Times New Roman" w:cs="Times New Roman" w:eastAsiaTheme="minorEastAsia"/>
                <w:color w:val="auto"/>
                <w:kern w:val="2"/>
                <w:sz w:val="24"/>
                <w:szCs w:val="24"/>
              </w:rPr>
              <w:t>四</w:t>
            </w:r>
            <w:r>
              <w:rPr>
                <w:rFonts w:ascii="Times New Roman" w:hAnsi="Times New Roman" w:cs="Times New Roman" w:eastAsiaTheme="minorEastAsia"/>
                <w:color w:val="auto"/>
                <w:kern w:val="2"/>
                <w:sz w:val="24"/>
                <w:szCs w:val="24"/>
              </w:rPr>
              <w:t>大类：一是有化学品的泄漏，造成环境污染；二是</w:t>
            </w:r>
            <w:r>
              <w:rPr>
                <w:rFonts w:hint="eastAsia" w:ascii="Times New Roman" w:hAnsi="Times New Roman" w:cs="Times New Roman" w:eastAsiaTheme="minorEastAsia"/>
                <w:color w:val="auto"/>
                <w:kern w:val="2"/>
                <w:sz w:val="24"/>
                <w:szCs w:val="24"/>
              </w:rPr>
              <w:t>大</w:t>
            </w:r>
            <w:r>
              <w:rPr>
                <w:rFonts w:ascii="Times New Roman" w:hAnsi="Times New Roman" w:cs="Times New Roman" w:eastAsiaTheme="minorEastAsia"/>
                <w:color w:val="auto"/>
                <w:kern w:val="2"/>
                <w:sz w:val="24"/>
                <w:szCs w:val="24"/>
              </w:rPr>
              <w:t>气污染物发生风险事故排放，造成环境污染事故；三是危险废物贮存不当引起的污染；四是因</w:t>
            </w:r>
            <w:r>
              <w:rPr>
                <w:rFonts w:hint="eastAsia" w:ascii="Times New Roman" w:hAnsi="Times New Roman" w:cs="Times New Roman"/>
                <w:color w:val="auto"/>
                <w:kern w:val="2"/>
                <w:sz w:val="24"/>
                <w:szCs w:val="24"/>
                <w:lang w:eastAsia="zh-CN"/>
              </w:rPr>
              <w:t>润滑油、天然气</w:t>
            </w:r>
            <w:r>
              <w:rPr>
                <w:rFonts w:ascii="Times New Roman" w:hAnsi="Times New Roman" w:cs="Times New Roman" w:eastAsiaTheme="minorEastAsia"/>
                <w:color w:val="auto"/>
                <w:kern w:val="2"/>
                <w:sz w:val="24"/>
                <w:szCs w:val="24"/>
              </w:rPr>
              <w:t>泄漏引起火灾，随消防废水进入市政管网或周边水体。</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w:t>
            </w:r>
            <w:r>
              <w:rPr>
                <w:rFonts w:hint="eastAsia" w:ascii="Times New Roman" w:hAnsi="Times New Roman" w:cs="Times New Roman" w:eastAsiaTheme="minorEastAsia"/>
                <w:color w:val="auto"/>
                <w:kern w:val="2"/>
                <w:sz w:val="24"/>
                <w:szCs w:val="24"/>
              </w:rPr>
              <w:t>五</w:t>
            </w:r>
            <w:r>
              <w:rPr>
                <w:rFonts w:ascii="Times New Roman" w:hAnsi="Times New Roman" w:cs="Times New Roman" w:eastAsiaTheme="minorEastAsia"/>
                <w:color w:val="auto"/>
                <w:kern w:val="2"/>
                <w:sz w:val="24"/>
                <w:szCs w:val="24"/>
              </w:rPr>
              <w:t>）风险防范措施</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①公司应当定期对废气收集排放系统定期进行检修维护。</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②储存化学品必须严实包装，储存场地硬底化，设置漫坡围堰，储存场地选择室内或设置遮雨措施</w:t>
            </w:r>
            <w:r>
              <w:rPr>
                <w:rFonts w:hint="eastAsia" w:ascii="Times New Roman" w:hAnsi="Times New Roman" w:cs="Times New Roman" w:eastAsiaTheme="minorEastAsia"/>
                <w:color w:val="auto"/>
                <w:kern w:val="2"/>
                <w:sz w:val="24"/>
                <w:szCs w:val="24"/>
              </w:rPr>
              <w:t>。</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hint="eastAsia" w:ascii="Times New Roman" w:hAnsi="Times New Roman" w:cs="Times New Roman" w:eastAsiaTheme="minorEastAsia"/>
                <w:color w:val="auto"/>
                <w:kern w:val="2"/>
                <w:sz w:val="24"/>
                <w:szCs w:val="24"/>
              </w:rPr>
              <w:t>③</w:t>
            </w:r>
            <w:r>
              <w:rPr>
                <w:rFonts w:ascii="Times New Roman" w:hAnsi="Times New Roman" w:cs="Times New Roman" w:eastAsiaTheme="minorEastAsia"/>
                <w:color w:val="auto"/>
                <w:kern w:val="2"/>
                <w:sz w:val="24"/>
                <w:szCs w:val="24"/>
              </w:rPr>
              <w:t>按照《危险废物贮存污染控制标准》（（GB18597-2001）及2013年修改单）对危险废物暂存场进行设计和建设，同时将危险废物交有相关资质单位处理，做好供应商的管理。同时严格按《危险废物转移联单管理办法》做好转移记录。</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w:t>
            </w:r>
            <w:r>
              <w:rPr>
                <w:rFonts w:hint="eastAsia" w:ascii="Times New Roman" w:hAnsi="Times New Roman" w:cs="Times New Roman" w:eastAsiaTheme="minorEastAsia"/>
                <w:color w:val="auto"/>
                <w:kern w:val="2"/>
                <w:sz w:val="24"/>
                <w:szCs w:val="24"/>
              </w:rPr>
              <w:t>六</w:t>
            </w:r>
            <w:r>
              <w:rPr>
                <w:rFonts w:ascii="Times New Roman" w:hAnsi="Times New Roman" w:cs="Times New Roman" w:eastAsiaTheme="minorEastAsia"/>
                <w:color w:val="auto"/>
                <w:kern w:val="2"/>
                <w:sz w:val="24"/>
                <w:szCs w:val="24"/>
              </w:rPr>
              <w:t>）评价小结</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项目物质不构成重大危险源</w:t>
            </w:r>
            <w:r>
              <w:rPr>
                <w:rFonts w:hint="eastAsia" w:ascii="Times New Roman" w:hAnsi="Times New Roman" w:cs="Times New Roman" w:eastAsiaTheme="minorEastAsia"/>
                <w:color w:val="auto"/>
                <w:kern w:val="2"/>
                <w:sz w:val="24"/>
                <w:szCs w:val="24"/>
              </w:rPr>
              <w:t>，</w:t>
            </w:r>
            <w:r>
              <w:rPr>
                <w:rFonts w:ascii="Times New Roman" w:hAnsi="Times New Roman" w:cs="Times New Roman" w:eastAsiaTheme="minorEastAsia"/>
                <w:color w:val="auto"/>
                <w:kern w:val="2"/>
                <w:sz w:val="24"/>
                <w:szCs w:val="24"/>
              </w:rPr>
              <w:t>企业在落实相应风险防范和控制措施的情况下，总体环境风险可控。</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rPr>
            </w:pPr>
            <w:r>
              <w:rPr>
                <w:rFonts w:ascii="Times New Roman" w:hAnsi="Times New Roman" w:cs="Times New Roman" w:eastAsiaTheme="minorEastAsia"/>
                <w:color w:val="auto"/>
                <w:kern w:val="2"/>
                <w:sz w:val="24"/>
                <w:szCs w:val="24"/>
              </w:rPr>
              <w:t>（</w:t>
            </w:r>
            <w:r>
              <w:rPr>
                <w:rFonts w:hint="eastAsia" w:ascii="Times New Roman" w:hAnsi="Times New Roman" w:cs="Times New Roman" w:eastAsiaTheme="minorEastAsia"/>
                <w:color w:val="auto"/>
                <w:kern w:val="2"/>
                <w:sz w:val="24"/>
                <w:szCs w:val="24"/>
              </w:rPr>
              <w:t>七</w:t>
            </w:r>
            <w:r>
              <w:rPr>
                <w:rFonts w:ascii="Times New Roman" w:hAnsi="Times New Roman" w:cs="Times New Roman" w:eastAsiaTheme="minorEastAsia"/>
                <w:color w:val="auto"/>
                <w:kern w:val="2"/>
                <w:sz w:val="24"/>
                <w:szCs w:val="24"/>
              </w:rPr>
              <w:t>）建设项目环境风险简单分析内容表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项目环境风险简单分析内容表</w:t>
            </w:r>
          </w:p>
          <w:tbl>
            <w:tblPr>
              <w:tblStyle w:val="44"/>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6"/>
              <w:gridCol w:w="1766"/>
              <w:gridCol w:w="1739"/>
              <w:gridCol w:w="1739"/>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建设项目名称</w:t>
                  </w:r>
                </w:p>
              </w:tc>
              <w:tc>
                <w:tcPr>
                  <w:tcW w:w="6984" w:type="dxa"/>
                  <w:gridSpan w:val="4"/>
                  <w:vAlign w:val="center"/>
                </w:tcPr>
                <w:p>
                  <w:pPr>
                    <w:widowControl w:val="0"/>
                    <w:spacing w:after="0" w:line="276" w:lineRule="auto"/>
                    <w:jc w:val="center"/>
                    <w:rPr>
                      <w:rFonts w:hint="eastAsia" w:ascii="Times New Roman" w:hAnsi="Times New Roman" w:cs="Times New Roman" w:eastAsiaTheme="minorEastAsia"/>
                      <w:color w:val="auto"/>
                      <w:kern w:val="2"/>
                      <w:sz w:val="21"/>
                      <w:szCs w:val="21"/>
                      <w:lang w:eastAsia="zh-CN"/>
                    </w:rPr>
                  </w:pPr>
                  <w:r>
                    <w:rPr>
                      <w:rFonts w:hint="eastAsia" w:ascii="Times New Roman" w:hAnsi="Times New Roman" w:cs="Times New Roman"/>
                      <w:color w:val="auto"/>
                      <w:kern w:val="2"/>
                      <w:sz w:val="21"/>
                      <w:szCs w:val="21"/>
                      <w:lang w:eastAsia="zh-CN"/>
                    </w:rPr>
                    <w:t>开平市水口镇方剑卫浴制品厂年产五金卫浴配件44万套新建项目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建设地点</w:t>
                  </w:r>
                </w:p>
              </w:tc>
              <w:tc>
                <w:tcPr>
                  <w:tcW w:w="6984" w:type="dxa"/>
                  <w:gridSpan w:val="4"/>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hint="eastAsia" w:ascii="Times New Roman" w:hAnsi="Times New Roman" w:cs="Times New Roman" w:eastAsiaTheme="minorEastAsia"/>
                      <w:color w:val="auto"/>
                      <w:kern w:val="2"/>
                      <w:sz w:val="21"/>
                      <w:szCs w:val="21"/>
                    </w:rPr>
                    <w:t>开平市水口镇内环东路第三工业园01号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地理坐标</w:t>
                  </w:r>
                </w:p>
              </w:tc>
              <w:tc>
                <w:tcPr>
                  <w:tcW w:w="176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经度</w:t>
                  </w:r>
                </w:p>
              </w:tc>
              <w:tc>
                <w:tcPr>
                  <w:tcW w:w="1739"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hint="eastAsia" w:ascii="Times New Roman" w:hAnsi="Times New Roman" w:cs="Times New Roman" w:eastAsiaTheme="minorEastAsia"/>
                      <w:color w:val="auto"/>
                      <w:kern w:val="2"/>
                      <w:sz w:val="21"/>
                      <w:szCs w:val="21"/>
                    </w:rPr>
                    <w:t>112.781336°</w:t>
                  </w:r>
                </w:p>
              </w:tc>
              <w:tc>
                <w:tcPr>
                  <w:tcW w:w="1739"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纬度</w:t>
                  </w:r>
                </w:p>
              </w:tc>
              <w:tc>
                <w:tcPr>
                  <w:tcW w:w="1740"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hint="eastAsia" w:ascii="Times New Roman" w:hAnsi="Times New Roman" w:cs="Times New Roman" w:eastAsiaTheme="minorEastAsia"/>
                      <w:color w:val="auto"/>
                      <w:kern w:val="2"/>
                      <w:sz w:val="21"/>
                      <w:szCs w:val="21"/>
                    </w:rPr>
                    <w:t>22.459438°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主要危险物质分布</w:t>
                  </w:r>
                </w:p>
              </w:tc>
              <w:tc>
                <w:tcPr>
                  <w:tcW w:w="6984" w:type="dxa"/>
                  <w:gridSpan w:val="4"/>
                  <w:vAlign w:val="center"/>
                </w:tcPr>
                <w:p>
                  <w:pPr>
                    <w:widowControl w:val="0"/>
                    <w:spacing w:after="0" w:line="276" w:lineRule="auto"/>
                    <w:jc w:val="center"/>
                    <w:rPr>
                      <w:rFonts w:hint="eastAsia" w:ascii="Times New Roman" w:hAnsi="Times New Roman" w:cs="Times New Roman" w:eastAsiaTheme="minorEastAsia"/>
                      <w:color w:val="auto"/>
                      <w:kern w:val="2"/>
                      <w:sz w:val="21"/>
                      <w:szCs w:val="21"/>
                      <w:lang w:eastAsia="zh-CN"/>
                    </w:rPr>
                  </w:pPr>
                  <w:r>
                    <w:rPr>
                      <w:rFonts w:hint="eastAsia" w:ascii="Times New Roman" w:hAnsi="Times New Roman" w:cs="Times New Roman"/>
                      <w:color w:val="auto"/>
                      <w:kern w:val="2"/>
                      <w:sz w:val="21"/>
                      <w:szCs w:val="21"/>
                      <w:lang w:eastAsia="zh-CN"/>
                    </w:rPr>
                    <w:t>润滑油，</w:t>
                  </w:r>
                  <w:r>
                    <w:rPr>
                      <w:rFonts w:ascii="Times New Roman" w:hAnsi="Times New Roman" w:cs="Times New Roman" w:eastAsiaTheme="minorEastAsia"/>
                      <w:color w:val="auto"/>
                      <w:kern w:val="2"/>
                      <w:sz w:val="21"/>
                      <w:szCs w:val="21"/>
                    </w:rPr>
                    <w:t>位于</w:t>
                  </w:r>
                  <w:r>
                    <w:rPr>
                      <w:rFonts w:hint="eastAsia" w:ascii="Times New Roman" w:hAnsi="Times New Roman" w:cs="Times New Roman" w:eastAsiaTheme="minorEastAsia"/>
                      <w:color w:val="auto"/>
                      <w:kern w:val="2"/>
                      <w:sz w:val="21"/>
                      <w:szCs w:val="21"/>
                      <w:lang w:eastAsia="zh-CN"/>
                    </w:rPr>
                    <w:t>仓库</w:t>
                  </w:r>
                  <w:r>
                    <w:rPr>
                      <w:rFonts w:hint="eastAsia" w:ascii="Times New Roman" w:hAnsi="Times New Roman" w:cs="Times New Roman"/>
                      <w:color w:val="auto"/>
                      <w:kern w:val="2"/>
                      <w:sz w:val="21"/>
                      <w:szCs w:val="21"/>
                      <w:lang w:eastAsia="zh-CN"/>
                    </w:rPr>
                    <w:t>；管道天然气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2"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环境影响途径及危害后果（大气、地表水、地下水等）</w:t>
                  </w:r>
                </w:p>
              </w:tc>
              <w:tc>
                <w:tcPr>
                  <w:tcW w:w="6984" w:type="dxa"/>
                  <w:gridSpan w:val="4"/>
                  <w:vAlign w:val="center"/>
                </w:tcPr>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①危险废物</w:t>
                  </w:r>
                  <w:r>
                    <w:rPr>
                      <w:rFonts w:hint="eastAsia" w:ascii="Times New Roman" w:hAnsi="Times New Roman" w:cs="Times New Roman" w:eastAsiaTheme="minorEastAsia"/>
                      <w:color w:val="auto"/>
                      <w:kern w:val="2"/>
                      <w:sz w:val="21"/>
                      <w:szCs w:val="21"/>
                      <w:lang w:eastAsia="zh-CN"/>
                    </w:rPr>
                    <w:t>在</w:t>
                  </w:r>
                  <w:r>
                    <w:rPr>
                      <w:rFonts w:ascii="Times New Roman" w:hAnsi="Times New Roman" w:cs="Times New Roman" w:eastAsiaTheme="minorEastAsia"/>
                      <w:color w:val="auto"/>
                      <w:kern w:val="2"/>
                      <w:sz w:val="21"/>
                      <w:szCs w:val="21"/>
                    </w:rPr>
                    <w:t>装卸或存储过程中可能会发生泄漏可能污染地下水，或可能由于恶劣天气影响，导致雨水渗入等</w:t>
                  </w:r>
                  <w:r>
                    <w:rPr>
                      <w:rFonts w:hint="eastAsia" w:ascii="Times New Roman" w:hAnsi="Times New Roman" w:cs="Times New Roman" w:eastAsiaTheme="minorEastAsia"/>
                      <w:color w:val="auto"/>
                      <w:kern w:val="2"/>
                      <w:sz w:val="21"/>
                      <w:szCs w:val="21"/>
                    </w:rPr>
                    <w:t>；</w:t>
                  </w:r>
                </w:p>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②</w:t>
                  </w:r>
                  <w:r>
                    <w:rPr>
                      <w:rFonts w:hint="eastAsia" w:ascii="Times New Roman" w:hAnsi="Times New Roman" w:cs="Times New Roman" w:eastAsiaTheme="minorEastAsia"/>
                      <w:color w:val="auto"/>
                      <w:kern w:val="2"/>
                      <w:sz w:val="21"/>
                      <w:szCs w:val="21"/>
                    </w:rPr>
                    <w:t>化学品在装卸或存储过程中</w:t>
                  </w:r>
                  <w:r>
                    <w:rPr>
                      <w:rFonts w:ascii="Times New Roman" w:hAnsi="Times New Roman" w:cs="Times New Roman" w:eastAsiaTheme="minorEastAsia"/>
                      <w:color w:val="auto"/>
                      <w:kern w:val="2"/>
                      <w:sz w:val="21"/>
                      <w:szCs w:val="21"/>
                    </w:rPr>
                    <w:t>可能会发生泄漏可能污染地下水，或可能由于恶劣天气影响，导致雨水渗入等</w:t>
                  </w:r>
                  <w:r>
                    <w:rPr>
                      <w:rFonts w:hint="eastAsia" w:ascii="Times New Roman" w:hAnsi="Times New Roman" w:cs="Times New Roman" w:eastAsiaTheme="minorEastAsia"/>
                      <w:color w:val="auto"/>
                      <w:kern w:val="2"/>
                      <w:sz w:val="21"/>
                      <w:szCs w:val="21"/>
                    </w:rPr>
                    <w:t>；</w:t>
                  </w:r>
                </w:p>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③设备故障，或管道损坏，会导致废气未经有效收集处理直接排放，影响周边大气环境</w:t>
                  </w:r>
                  <w:r>
                    <w:rPr>
                      <w:rFonts w:hint="eastAsia" w:ascii="Times New Roman" w:hAnsi="Times New Roman" w:cs="Times New Roman" w:eastAsiaTheme="minorEastAsia"/>
                      <w:color w:val="auto"/>
                      <w:kern w:val="2"/>
                      <w:sz w:val="21"/>
                      <w:szCs w:val="21"/>
                    </w:rPr>
                    <w:t>；</w:t>
                  </w:r>
                </w:p>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④因</w:t>
                  </w:r>
                  <w:r>
                    <w:rPr>
                      <w:rFonts w:hint="eastAsia" w:ascii="Times New Roman" w:hAnsi="Times New Roman" w:cs="Times New Roman"/>
                      <w:color w:val="auto"/>
                      <w:kern w:val="2"/>
                      <w:sz w:val="21"/>
                      <w:szCs w:val="21"/>
                      <w:lang w:eastAsia="zh-CN"/>
                    </w:rPr>
                    <w:t>润滑油、天然气</w:t>
                  </w:r>
                  <w:r>
                    <w:rPr>
                      <w:rFonts w:ascii="Times New Roman" w:hAnsi="Times New Roman" w:cs="Times New Roman" w:eastAsiaTheme="minorEastAsia"/>
                      <w:color w:val="auto"/>
                      <w:kern w:val="2"/>
                      <w:sz w:val="21"/>
                      <w:szCs w:val="21"/>
                    </w:rPr>
                    <w:t>泄漏引起火灾，随消防废水进入市政管网或周边水体。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0"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风险防范措施要求</w:t>
                  </w:r>
                </w:p>
              </w:tc>
              <w:tc>
                <w:tcPr>
                  <w:tcW w:w="6984" w:type="dxa"/>
                  <w:gridSpan w:val="4"/>
                  <w:vAlign w:val="center"/>
                </w:tcPr>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①储存危险废物必须严实包装，储存场地硬底化，设置漫坡围堰，储存场地选择室内或设置遮雨措施</w:t>
                  </w:r>
                </w:p>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②储存化学品必须严实包装，储存场地硬底化，设置漫坡围堰，储存场地选择室内或设置遮雨措施</w:t>
                  </w:r>
                </w:p>
                <w:p>
                  <w:pPr>
                    <w:widowControl w:val="0"/>
                    <w:spacing w:after="0" w:line="276" w:lineRule="auto"/>
                    <w:jc w:val="left"/>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③加强检修维护，确保废气收集系统的正常运行。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2336" w:type="dxa"/>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填表说明（列出项目相关信息及评价说明）</w:t>
                  </w:r>
                </w:p>
              </w:tc>
              <w:tc>
                <w:tcPr>
                  <w:tcW w:w="6984" w:type="dxa"/>
                  <w:gridSpan w:val="4"/>
                  <w:vAlign w:val="center"/>
                </w:tcPr>
                <w:p>
                  <w:pPr>
                    <w:widowControl w:val="0"/>
                    <w:spacing w:after="0" w:line="276" w:lineRule="auto"/>
                    <w:jc w:val="center"/>
                    <w:rPr>
                      <w:rFonts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w:t>
                  </w:r>
                </w:p>
              </w:tc>
            </w:tr>
          </w:tbl>
          <w:p>
            <w:pPr>
              <w:widowControl w:val="0"/>
              <w:numPr>
                <w:ilvl w:val="0"/>
                <w:numId w:val="7"/>
              </w:numPr>
              <w:spacing w:after="0" w:line="360" w:lineRule="auto"/>
              <w:ind w:firstLine="482" w:firstLineChars="200"/>
              <w:jc w:val="left"/>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土壤环境影响分析</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根据《环境影响评价技术导则 土壤环境（试行）》（HJ964-2018），污染影响型项目评价等级是根据土壤环境影响评价项目类别、占地规模与敏感程度进行划分，具体如下：</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（1）占地规模</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项目占地面积为</w:t>
            </w:r>
            <w:r>
              <w:rPr>
                <w:rFonts w:hint="eastAsia" w:ascii="Times New Roman" w:hAnsi="Times New Roman" w:eastAsia="宋体" w:cs="Times New Roman"/>
                <w:color w:val="auto"/>
                <w:kern w:val="2"/>
                <w:sz w:val="24"/>
                <w:szCs w:val="24"/>
                <w:highlight w:val="none"/>
                <w:lang w:val="en-US" w:eastAsia="zh-CN"/>
              </w:rPr>
              <w:t>1700</w:t>
            </w:r>
            <w:r>
              <w:rPr>
                <w:rFonts w:hint="eastAsia" w:ascii="Times New Roman" w:hAnsi="Times New Roman" w:eastAsia="宋体" w:cs="Times New Roman"/>
                <w:color w:val="auto"/>
                <w:kern w:val="2"/>
                <w:sz w:val="24"/>
                <w:szCs w:val="24"/>
                <w:highlight w:val="none"/>
              </w:rPr>
              <w:t>m</w:t>
            </w:r>
            <w:r>
              <w:rPr>
                <w:rFonts w:hint="eastAsia" w:ascii="Times New Roman" w:hAnsi="Times New Roman" w:eastAsia="宋体" w:cs="Times New Roman"/>
                <w:color w:val="auto"/>
                <w:kern w:val="2"/>
                <w:sz w:val="24"/>
                <w:szCs w:val="24"/>
                <w:highlight w:val="none"/>
                <w:vertAlign w:val="superscript"/>
              </w:rPr>
              <w:t>2</w:t>
            </w:r>
            <w:r>
              <w:rPr>
                <w:rFonts w:hint="eastAsia" w:ascii="Times New Roman" w:hAnsi="Times New Roman" w:eastAsia="宋体" w:cs="Times New Roman"/>
                <w:color w:val="auto"/>
                <w:kern w:val="2"/>
                <w:sz w:val="24"/>
                <w:szCs w:val="24"/>
                <w:highlight w:val="none"/>
              </w:rPr>
              <w:t>，用地规模为小型（≤</w:t>
            </w:r>
            <w:r>
              <w:rPr>
                <w:rFonts w:ascii="Times New Roman" w:hAnsi="Times New Roman" w:eastAsia="宋体" w:cs="Times New Roman"/>
                <w:color w:val="auto"/>
                <w:kern w:val="2"/>
                <w:sz w:val="24"/>
                <w:szCs w:val="24"/>
                <w:highlight w:val="none"/>
              </w:rPr>
              <w:t>5 hm</w:t>
            </w:r>
            <w:r>
              <w:rPr>
                <w:rFonts w:ascii="Times New Roman" w:hAnsi="Times New Roman" w:eastAsia="宋体" w:cs="Times New Roman"/>
                <w:color w:val="auto"/>
                <w:kern w:val="2"/>
                <w:sz w:val="24"/>
                <w:szCs w:val="24"/>
                <w:highlight w:val="none"/>
                <w:vertAlign w:val="superscript"/>
              </w:rPr>
              <w:t>2</w:t>
            </w:r>
            <w:r>
              <w:rPr>
                <w:rFonts w:hint="eastAsia" w:ascii="Times New Roman" w:hAnsi="Times New Roman" w:eastAsia="宋体" w:cs="Times New Roman"/>
                <w:color w:val="auto"/>
                <w:kern w:val="2"/>
                <w:sz w:val="24"/>
                <w:szCs w:val="24"/>
                <w:highlight w:val="none"/>
              </w:rPr>
              <w:t>）。</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（2）敏感程度</w:t>
            </w:r>
          </w:p>
          <w:p>
            <w:pPr>
              <w:widowControl w:val="0"/>
              <w:spacing w:after="0" w:line="360" w:lineRule="auto"/>
              <w:ind w:right="170" w:firstLine="470" w:firstLineChars="196"/>
              <w:jc w:val="both"/>
              <w:rPr>
                <w:rFonts w:hint="eastAsia" w:ascii="Times New Roman" w:hAnsi="Times New Roman" w:eastAsia="宋体" w:cs="Times New Roman"/>
                <w:color w:val="auto"/>
                <w:kern w:val="2"/>
                <w:sz w:val="24"/>
                <w:szCs w:val="24"/>
                <w:highlight w:val="none"/>
                <w:lang w:eastAsia="zh-CN"/>
              </w:rPr>
            </w:pPr>
            <w:r>
              <w:rPr>
                <w:rFonts w:ascii="Times New Roman" w:hAnsi="Times New Roman" w:eastAsia="宋体" w:cs="Times New Roman"/>
                <w:color w:val="auto"/>
                <w:kern w:val="2"/>
                <w:sz w:val="24"/>
                <w:szCs w:val="24"/>
                <w:highlight w:val="none"/>
              </w:rPr>
              <w:t>项目属于污染影响型，</w:t>
            </w:r>
            <w:r>
              <w:rPr>
                <w:color w:val="auto"/>
                <w:sz w:val="24"/>
                <w:highlight w:val="none"/>
              </w:rPr>
              <w:t>生产过程中</w:t>
            </w:r>
            <w:r>
              <w:rPr>
                <w:rFonts w:hint="eastAsia"/>
                <w:color w:val="auto"/>
                <w:sz w:val="24"/>
                <w:highlight w:val="none"/>
              </w:rPr>
              <w:t>冷却用水和测试用水循环使用，定期补充，不外排；</w:t>
            </w:r>
            <w:r>
              <w:rPr>
                <w:rFonts w:hint="eastAsia"/>
                <w:color w:val="auto"/>
                <w:sz w:val="24"/>
                <w:highlight w:val="none"/>
                <w:lang w:eastAsia="zh-CN"/>
              </w:rPr>
              <w:t>喷淋废水</w:t>
            </w:r>
            <w:r>
              <w:rPr>
                <w:rFonts w:hint="default" w:ascii="Times New Roman" w:hAnsi="Times New Roman" w:cs="Times New Roman"/>
                <w:color w:val="auto"/>
                <w:sz w:val="24"/>
                <w:szCs w:val="22"/>
                <w:highlight w:val="none"/>
              </w:rPr>
              <w:t>经收集后定期交有资质单位处理，不外排。</w:t>
            </w:r>
            <w:r>
              <w:rPr>
                <w:rFonts w:hint="eastAsia" w:ascii="Times New Roman" w:hAnsi="Times New Roman" w:eastAsia="宋体" w:cs="Times New Roman"/>
                <w:color w:val="auto"/>
                <w:kern w:val="2"/>
                <w:sz w:val="24"/>
                <w:szCs w:val="24"/>
                <w:highlight w:val="none"/>
              </w:rPr>
              <w:t>生活污水经三级化粪池处理后排放到市政污水管网，引至开平市水口污水处理厂处理</w:t>
            </w:r>
            <w:r>
              <w:rPr>
                <w:rFonts w:hint="eastAsia" w:ascii="Times New Roman" w:hAnsi="Times New Roman" w:eastAsia="宋体" w:cs="Times New Roman"/>
                <w:color w:val="auto"/>
                <w:kern w:val="2"/>
                <w:sz w:val="24"/>
                <w:szCs w:val="24"/>
                <w:highlight w:val="none"/>
                <w:lang w:eastAsia="zh-CN"/>
              </w:rPr>
              <w:t>；危险废物暂存区将严格按照《危险废物贮存污染控制标准》（GB18597-2001）及其2013年修改单中的要求建设和维护使用，做好防渗处理。</w:t>
            </w:r>
          </w:p>
          <w:p>
            <w:pPr>
              <w:widowControl w:val="0"/>
              <w:spacing w:after="0" w:line="360" w:lineRule="auto"/>
              <w:ind w:firstLine="480" w:firstLineChars="200"/>
              <w:jc w:val="both"/>
              <w:rPr>
                <w:rFonts w:hint="eastAsia" w:ascii="Times New Roman" w:hAnsi="宋体" w:eastAsia="宋体" w:cs="Times New Roman"/>
                <w:color w:val="FF0000"/>
                <w:kern w:val="2"/>
                <w:sz w:val="24"/>
                <w:szCs w:val="24"/>
                <w:highlight w:val="none"/>
              </w:rPr>
            </w:pPr>
            <w:r>
              <w:rPr>
                <w:rFonts w:hint="eastAsia" w:ascii="Times New Roman" w:hAnsi="Times New Roman" w:eastAsia="宋体" w:cs="Times New Roman"/>
                <w:color w:val="auto"/>
                <w:kern w:val="2"/>
                <w:sz w:val="24"/>
                <w:szCs w:val="24"/>
                <w:highlight w:val="none"/>
                <w:lang w:eastAsia="zh-CN"/>
              </w:rPr>
              <w:t>项目生产过程中</w:t>
            </w:r>
            <w:r>
              <w:rPr>
                <w:rFonts w:ascii="Times New Roman" w:hAnsi="Times New Roman" w:eastAsia="宋体" w:cs="Times New Roman"/>
                <w:color w:val="auto"/>
                <w:kern w:val="2"/>
                <w:sz w:val="24"/>
                <w:szCs w:val="24"/>
                <w:highlight w:val="none"/>
              </w:rPr>
              <w:t>有</w:t>
            </w:r>
            <w:r>
              <w:rPr>
                <w:rFonts w:hint="eastAsia" w:ascii="Times New Roman" w:hAnsi="Times New Roman" w:eastAsia="宋体" w:cs="Times New Roman"/>
                <w:color w:val="auto"/>
                <w:kern w:val="2"/>
                <w:sz w:val="24"/>
                <w:szCs w:val="24"/>
                <w:highlight w:val="none"/>
                <w:lang w:eastAsia="zh-CN"/>
              </w:rPr>
              <w:t>非甲烷总烃、</w:t>
            </w:r>
            <w:r>
              <w:rPr>
                <w:rFonts w:ascii="Times New Roman" w:hAnsi="Times New Roman" w:eastAsia="宋体" w:cs="Times New Roman"/>
                <w:color w:val="auto"/>
                <w:kern w:val="2"/>
                <w:sz w:val="24"/>
                <w:szCs w:val="24"/>
                <w:highlight w:val="none"/>
              </w:rPr>
              <w:t>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、烟尘</w:t>
            </w:r>
            <w:r>
              <w:rPr>
                <w:rFonts w:hint="eastAsia" w:ascii="Times New Roman" w:hAnsi="Times New Roman" w:eastAsia="宋体"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rPr>
              <w:t>粉尘</w:t>
            </w:r>
            <w:r>
              <w:rPr>
                <w:rFonts w:ascii="Times New Roman" w:hAnsi="Times New Roman" w:eastAsia="宋体" w:cs="Times New Roman"/>
                <w:color w:val="auto"/>
                <w:kern w:val="2"/>
                <w:sz w:val="24"/>
                <w:szCs w:val="24"/>
                <w:highlight w:val="none"/>
              </w:rPr>
              <w:t>的产生和排放，故主要污染物为大气污染物（</w:t>
            </w:r>
            <w:r>
              <w:rPr>
                <w:rFonts w:hint="eastAsia" w:ascii="Times New Roman" w:hAnsi="Times New Roman" w:eastAsia="宋体" w:cs="Times New Roman"/>
                <w:color w:val="auto"/>
                <w:kern w:val="2"/>
                <w:sz w:val="24"/>
                <w:szCs w:val="24"/>
                <w:highlight w:val="none"/>
                <w:lang w:eastAsia="zh-CN"/>
              </w:rPr>
              <w:t>非甲烷总烃、</w:t>
            </w:r>
            <w:r>
              <w:rPr>
                <w:rFonts w:ascii="Times New Roman" w:hAnsi="Times New Roman" w:eastAsia="宋体" w:cs="Times New Roman"/>
                <w:color w:val="auto"/>
                <w:kern w:val="2"/>
                <w:sz w:val="24"/>
                <w:szCs w:val="24"/>
                <w:highlight w:val="none"/>
              </w:rPr>
              <w:t>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lang w:val="en-US" w:eastAsia="zh-CN"/>
              </w:rPr>
              <w:t>PM</w:t>
            </w:r>
            <w:r>
              <w:rPr>
                <w:rFonts w:hint="eastAsia" w:ascii="Times New Roman" w:hAnsi="Times New Roman" w:eastAsia="宋体" w:cs="Times New Roman"/>
                <w:color w:val="auto"/>
                <w:kern w:val="2"/>
                <w:sz w:val="24"/>
                <w:szCs w:val="24"/>
                <w:highlight w:val="none"/>
                <w:vertAlign w:val="subscript"/>
                <w:lang w:val="en-US" w:eastAsia="zh-CN"/>
              </w:rPr>
              <w:t>10</w:t>
            </w:r>
            <w:r>
              <w:rPr>
                <w:rFonts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lang w:val="en-US" w:eastAsia="zh-CN"/>
              </w:rPr>
              <w:t>TSP</w:t>
            </w:r>
            <w:r>
              <w:rPr>
                <w:rFonts w:ascii="Times New Roman" w:hAnsi="Times New Roman" w:eastAsia="宋体" w:cs="Times New Roman"/>
                <w:color w:val="auto"/>
                <w:kern w:val="2"/>
                <w:sz w:val="24"/>
                <w:szCs w:val="24"/>
                <w:highlight w:val="none"/>
              </w:rPr>
              <w:t>），影响途径为大气沉降。项目排放方式为</w:t>
            </w:r>
            <w:r>
              <w:rPr>
                <w:rFonts w:hint="eastAsia" w:ascii="Times New Roman" w:hAnsi="Times New Roman" w:eastAsia="宋体" w:cs="Times New Roman"/>
                <w:color w:val="auto"/>
                <w:kern w:val="2"/>
                <w:sz w:val="24"/>
                <w:szCs w:val="24"/>
                <w:highlight w:val="none"/>
                <w:lang w:eastAsia="zh-CN"/>
              </w:rPr>
              <w:t>分为点源和面源</w:t>
            </w:r>
            <w:r>
              <w:rPr>
                <w:rFonts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rPr>
              <w:t>根据大气估算模式预测，点源</w:t>
            </w:r>
            <w:r>
              <w:rPr>
                <w:rFonts w:hint="eastAsia" w:ascii="Times New Roman" w:hAnsi="Times New Roman" w:eastAsia="宋体" w:cs="Times New Roman"/>
                <w:color w:val="auto"/>
                <w:kern w:val="2"/>
                <w:sz w:val="24"/>
                <w:szCs w:val="24"/>
                <w:highlight w:val="none"/>
                <w:lang w:eastAsia="zh-CN"/>
              </w:rPr>
              <w:t>最大地面浓度</w:t>
            </w:r>
            <w:r>
              <w:rPr>
                <w:rFonts w:hint="eastAsia" w:ascii="Times New Roman" w:hAnsi="Times New Roman" w:eastAsia="宋体" w:cs="Times New Roman"/>
                <w:color w:val="auto"/>
                <w:kern w:val="2"/>
                <w:sz w:val="24"/>
                <w:szCs w:val="24"/>
                <w:highlight w:val="none"/>
              </w:rPr>
              <w:t>距离为</w:t>
            </w:r>
            <w:r>
              <w:rPr>
                <w:rFonts w:hint="eastAsia" w:ascii="Times New Roman" w:hAnsi="Times New Roman" w:eastAsia="宋体" w:cs="Times New Roman"/>
                <w:color w:val="auto"/>
                <w:kern w:val="2"/>
                <w:sz w:val="24"/>
                <w:szCs w:val="24"/>
                <w:highlight w:val="none"/>
                <w:lang w:val="en-US" w:eastAsia="zh-CN"/>
              </w:rPr>
              <w:t>80</w:t>
            </w:r>
            <w:r>
              <w:rPr>
                <w:rFonts w:hint="eastAsia" w:ascii="Times New Roman" w:hAnsi="Times New Roman" w:eastAsia="宋体" w:cs="Times New Roman"/>
                <w:color w:val="auto"/>
                <w:kern w:val="2"/>
                <w:sz w:val="24"/>
                <w:szCs w:val="24"/>
                <w:highlight w:val="none"/>
              </w:rPr>
              <w:t>m；面源</w:t>
            </w:r>
            <w:r>
              <w:rPr>
                <w:rFonts w:hint="eastAsia" w:ascii="Times New Roman" w:hAnsi="Times New Roman" w:eastAsia="宋体" w:cs="Times New Roman"/>
                <w:color w:val="auto"/>
                <w:kern w:val="2"/>
                <w:sz w:val="24"/>
                <w:szCs w:val="24"/>
                <w:highlight w:val="none"/>
                <w:lang w:eastAsia="zh-CN"/>
              </w:rPr>
              <w:t>最大地面浓度</w:t>
            </w:r>
            <w:r>
              <w:rPr>
                <w:rFonts w:hint="eastAsia" w:ascii="Times New Roman" w:hAnsi="Times New Roman" w:eastAsia="宋体" w:cs="Times New Roman"/>
                <w:color w:val="auto"/>
                <w:kern w:val="2"/>
                <w:sz w:val="24"/>
                <w:szCs w:val="24"/>
                <w:highlight w:val="none"/>
              </w:rPr>
              <w:t>距离为</w:t>
            </w:r>
            <w:r>
              <w:rPr>
                <w:rFonts w:hint="eastAsia" w:ascii="Times New Roman" w:hAnsi="Times New Roman" w:eastAsia="宋体" w:cs="Times New Roman"/>
                <w:color w:val="auto"/>
                <w:kern w:val="2"/>
                <w:sz w:val="24"/>
                <w:szCs w:val="24"/>
                <w:highlight w:val="none"/>
                <w:lang w:val="en-US" w:eastAsia="zh-CN"/>
              </w:rPr>
              <w:t>31</w:t>
            </w:r>
            <w:r>
              <w:rPr>
                <w:rFonts w:hint="eastAsia" w:ascii="Times New Roman" w:hAnsi="Times New Roman" w:eastAsia="宋体" w:cs="Times New Roman"/>
                <w:color w:val="auto"/>
                <w:kern w:val="2"/>
                <w:sz w:val="24"/>
                <w:szCs w:val="24"/>
                <w:highlight w:val="none"/>
              </w:rPr>
              <w:t>m。</w:t>
            </w:r>
            <w:r>
              <w:rPr>
                <w:rFonts w:ascii="Times New Roman" w:hAnsi="Times New Roman" w:eastAsia="宋体" w:cs="Times New Roman"/>
                <w:color w:val="auto"/>
                <w:kern w:val="2"/>
                <w:sz w:val="24"/>
                <w:szCs w:val="24"/>
                <w:highlight w:val="none"/>
              </w:rPr>
              <w:t>则本次项目土壤敏感区判定范围的“周边”以</w:t>
            </w:r>
            <w:r>
              <w:rPr>
                <w:rFonts w:hint="eastAsia" w:ascii="Times New Roman" w:hAnsi="Times New Roman" w:eastAsia="宋体" w:cs="Times New Roman"/>
                <w:color w:val="auto"/>
                <w:kern w:val="2"/>
                <w:sz w:val="24"/>
                <w:szCs w:val="24"/>
                <w:highlight w:val="none"/>
                <w:lang w:eastAsia="zh-CN"/>
              </w:rPr>
              <w:t>最大地面浓度</w:t>
            </w:r>
            <w:r>
              <w:rPr>
                <w:rFonts w:hint="eastAsia" w:ascii="Times New Roman" w:hAnsi="Times New Roman" w:eastAsia="宋体" w:cs="Times New Roman"/>
                <w:color w:val="auto"/>
                <w:kern w:val="2"/>
                <w:sz w:val="24"/>
                <w:szCs w:val="24"/>
                <w:highlight w:val="none"/>
              </w:rPr>
              <w:t>对应</w:t>
            </w:r>
            <w:r>
              <w:rPr>
                <w:rFonts w:ascii="Times New Roman" w:hAnsi="Times New Roman" w:eastAsia="宋体" w:cs="Times New Roman"/>
                <w:color w:val="auto"/>
                <w:kern w:val="2"/>
                <w:sz w:val="24"/>
                <w:szCs w:val="24"/>
                <w:highlight w:val="none"/>
              </w:rPr>
              <w:t>的离源距离</w:t>
            </w:r>
            <w:r>
              <w:rPr>
                <w:rFonts w:hint="eastAsia" w:ascii="Times New Roman" w:hAnsi="Times New Roman" w:eastAsia="宋体" w:cs="Times New Roman"/>
                <w:color w:val="auto"/>
                <w:kern w:val="2"/>
                <w:sz w:val="24"/>
                <w:szCs w:val="24"/>
                <w:highlight w:val="none"/>
                <w:lang w:val="en-US" w:eastAsia="zh-CN"/>
              </w:rPr>
              <w:t>80</w:t>
            </w:r>
            <w:r>
              <w:rPr>
                <w:rFonts w:ascii="Times New Roman" w:hAnsi="Times New Roman" w:eastAsia="宋体" w:cs="Times New Roman"/>
                <w:color w:val="auto"/>
                <w:kern w:val="2"/>
                <w:sz w:val="24"/>
                <w:szCs w:val="24"/>
                <w:highlight w:val="none"/>
              </w:rPr>
              <w:t>米计，项目厂界</w:t>
            </w:r>
            <w:r>
              <w:rPr>
                <w:rFonts w:hint="eastAsia" w:ascii="Times New Roman" w:hAnsi="Times New Roman" w:eastAsia="宋体" w:cs="Times New Roman"/>
                <w:color w:val="auto"/>
                <w:kern w:val="2"/>
                <w:sz w:val="24"/>
                <w:szCs w:val="24"/>
                <w:highlight w:val="none"/>
                <w:lang w:eastAsia="zh-CN"/>
              </w:rPr>
              <w:t>周边</w:t>
            </w:r>
            <w:r>
              <w:rPr>
                <w:rFonts w:hint="eastAsia" w:ascii="Times New Roman" w:hAnsi="Times New Roman" w:eastAsia="宋体" w:cs="Times New Roman"/>
                <w:color w:val="auto"/>
                <w:kern w:val="2"/>
                <w:sz w:val="24"/>
                <w:szCs w:val="24"/>
                <w:highlight w:val="none"/>
                <w:lang w:val="en-US" w:eastAsia="zh-CN"/>
              </w:rPr>
              <w:t>80</w:t>
            </w:r>
            <w:r>
              <w:rPr>
                <w:rFonts w:ascii="Times New Roman" w:hAnsi="Times New Roman" w:eastAsia="宋体" w:cs="Times New Roman"/>
                <w:color w:val="auto"/>
                <w:kern w:val="2"/>
                <w:sz w:val="24"/>
                <w:szCs w:val="24"/>
                <w:highlight w:val="none"/>
              </w:rPr>
              <w:t>米内无耕地、园地、牧草地、饮用水水源地或居民区、学校、医院、疗养院、养老院等土壤环境敏感目标</w:t>
            </w:r>
            <w:r>
              <w:rPr>
                <w:rFonts w:hint="eastAsia" w:ascii="Times New Roman" w:hAnsi="Times New Roman" w:eastAsia="宋体" w:cs="Times New Roman"/>
                <w:color w:val="auto"/>
                <w:kern w:val="2"/>
                <w:sz w:val="24"/>
                <w:szCs w:val="24"/>
                <w:highlight w:val="none"/>
                <w:lang w:eastAsia="zh-CN"/>
              </w:rPr>
              <w:t>（西南面</w:t>
            </w:r>
            <w:r>
              <w:rPr>
                <w:rFonts w:hint="eastAsia" w:ascii="Times New Roman" w:hAnsi="Times New Roman" w:eastAsia="宋体" w:cs="Times New Roman"/>
                <w:color w:val="auto"/>
                <w:kern w:val="2"/>
                <w:sz w:val="24"/>
                <w:szCs w:val="24"/>
                <w:highlight w:val="none"/>
                <w:lang w:val="en-US" w:eastAsia="zh-CN"/>
              </w:rPr>
              <w:t>82m为工业区出租屋），</w:t>
            </w:r>
            <w:r>
              <w:rPr>
                <w:rFonts w:ascii="Times New Roman" w:hAnsi="Times New Roman" w:eastAsia="宋体" w:cs="Times New Roman"/>
                <w:color w:val="auto"/>
                <w:kern w:val="2"/>
                <w:sz w:val="24"/>
                <w:szCs w:val="24"/>
                <w:highlight w:val="none"/>
              </w:rPr>
              <w:t>则项目周边的敏感程度为不敏感。</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（3）项目类别</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根据《环境影响评价技术导则 土壤环境（试行）》（HJ964-2018）附录A：“土壤环境影响评价项目类别”，如下表：</w:t>
            </w:r>
          </w:p>
          <w:p>
            <w:pPr>
              <w:widowControl/>
              <w:numPr>
                <w:ilvl w:val="0"/>
                <w:numId w:val="2"/>
              </w:numPr>
              <w:tabs>
                <w:tab w:val="left" w:pos="420"/>
              </w:tabs>
              <w:adjustRightInd w:val="0"/>
              <w:snapToGrid w:val="0"/>
              <w:spacing w:after="0" w:line="360" w:lineRule="auto"/>
              <w:ind w:left="0" w:firstLine="471"/>
              <w:jc w:val="center"/>
              <w:rPr>
                <w:rFonts w:ascii="Times New Roman" w:hAnsi="Times New Roman" w:eastAsia="宋体" w:cs="Times New Roman"/>
                <w:b/>
                <w:color w:val="auto"/>
                <w:kern w:val="0"/>
                <w:sz w:val="21"/>
                <w:szCs w:val="21"/>
                <w:highlight w:val="none"/>
              </w:rPr>
            </w:pPr>
            <w:r>
              <w:rPr>
                <w:rFonts w:ascii="Times New Roman" w:hAnsi="Times New Roman" w:eastAsia="宋体" w:cs="Times New Roman"/>
                <w:b/>
                <w:color w:val="auto"/>
                <w:kern w:val="0"/>
                <w:sz w:val="21"/>
                <w:szCs w:val="21"/>
                <w:highlight w:val="none"/>
              </w:rPr>
              <w:t>土壤环境影响评价项目类别表</w:t>
            </w:r>
          </w:p>
          <w:tbl>
            <w:tblPr>
              <w:tblStyle w:val="43"/>
              <w:tblW w:w="93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2118"/>
              <w:gridCol w:w="1350"/>
              <w:gridCol w:w="1395"/>
              <w:gridCol w:w="1364"/>
              <w:gridCol w:w="1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6" w:type="dxa"/>
                  <w:vMerge w:val="restart"/>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行业类别</w:t>
                  </w:r>
                </w:p>
              </w:tc>
              <w:tc>
                <w:tcPr>
                  <w:tcW w:w="6227" w:type="dxa"/>
                  <w:gridSpan w:val="4"/>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项目类别</w:t>
                  </w:r>
                </w:p>
              </w:tc>
              <w:tc>
                <w:tcPr>
                  <w:tcW w:w="1557" w:type="dxa"/>
                  <w:vMerge w:val="restart"/>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6" w:type="dxa"/>
                  <w:vMerge w:val="continue"/>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p>
              </w:tc>
              <w:tc>
                <w:tcPr>
                  <w:tcW w:w="2118"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Ⅰ类</w:t>
                  </w:r>
                </w:p>
              </w:tc>
              <w:tc>
                <w:tcPr>
                  <w:tcW w:w="1350"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Ⅱ类</w:t>
                  </w:r>
                </w:p>
              </w:tc>
              <w:tc>
                <w:tcPr>
                  <w:tcW w:w="1395"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Ⅲ类</w:t>
                  </w:r>
                </w:p>
              </w:tc>
              <w:tc>
                <w:tcPr>
                  <w:tcW w:w="1364"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Ⅳ类</w:t>
                  </w:r>
                </w:p>
              </w:tc>
              <w:tc>
                <w:tcPr>
                  <w:tcW w:w="1557" w:type="dxa"/>
                  <w:vMerge w:val="continue"/>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6" w:type="dxa"/>
                  <w:tcBorders>
                    <w:tl2br w:val="nil"/>
                    <w:tr2bl w:val="nil"/>
                  </w:tcBorders>
                  <w:vAlign w:val="center"/>
                </w:tcPr>
                <w:p>
                  <w:pPr>
                    <w:widowControl w:val="0"/>
                    <w:autoSpaceDE w:val="0"/>
                    <w:autoSpaceDN w:val="0"/>
                    <w:adjustRightInd w:val="0"/>
                    <w:spacing w:after="0" w:line="240" w:lineRule="auto"/>
                    <w:jc w:val="center"/>
                    <w:rPr>
                      <w:rFonts w:ascii="宋体" w:hAnsi="宋体" w:eastAsia="宋体" w:cs="Times New Roman"/>
                      <w:color w:val="auto"/>
                      <w:kern w:val="2"/>
                      <w:sz w:val="21"/>
                      <w:szCs w:val="21"/>
                      <w:highlight w:val="none"/>
                    </w:rPr>
                  </w:pPr>
                  <w:r>
                    <w:rPr>
                      <w:rFonts w:hint="eastAsia" w:ascii="宋体" w:hAnsi="Times New Roman" w:eastAsia="宋体" w:cs="宋体"/>
                      <w:color w:val="auto"/>
                      <w:kern w:val="0"/>
                      <w:sz w:val="21"/>
                      <w:szCs w:val="21"/>
                      <w:highlight w:val="none"/>
                    </w:rPr>
                    <w:t>设备制造、金属制品、汽车制造及其他用品制造</w:t>
                  </w:r>
                </w:p>
              </w:tc>
              <w:tc>
                <w:tcPr>
                  <w:tcW w:w="2118" w:type="dxa"/>
                  <w:tcBorders>
                    <w:tl2br w:val="nil"/>
                    <w:tr2bl w:val="nil"/>
                  </w:tcBorders>
                  <w:vAlign w:val="center"/>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有电镀工艺的；金属制品表面处理及热处理加工的；使用有机涂层的（喷粉、喷塑和电泳除外）；有钝化工艺的热镀锌</w:t>
                  </w:r>
                </w:p>
              </w:tc>
              <w:tc>
                <w:tcPr>
                  <w:tcW w:w="1350" w:type="dxa"/>
                  <w:tcBorders>
                    <w:tl2br w:val="nil"/>
                    <w:tr2bl w:val="nil"/>
                  </w:tcBorders>
                  <w:vAlign w:val="center"/>
                </w:tcPr>
                <w:p>
                  <w:pPr>
                    <w:widowControl w:val="0"/>
                    <w:autoSpaceDE w:val="0"/>
                    <w:autoSpaceDN w:val="0"/>
                    <w:adjustRightInd w:val="0"/>
                    <w:spacing w:after="0" w:line="240" w:lineRule="auto"/>
                    <w:jc w:val="center"/>
                    <w:rPr>
                      <w:rFonts w:ascii="宋体" w:hAnsi="宋体" w:eastAsia="宋体" w:cs="Times New Roman"/>
                      <w:color w:val="auto"/>
                      <w:kern w:val="2"/>
                      <w:sz w:val="21"/>
                      <w:szCs w:val="21"/>
                      <w:highlight w:val="none"/>
                    </w:rPr>
                  </w:pPr>
                  <w:r>
                    <w:rPr>
                      <w:rFonts w:hint="eastAsia" w:ascii="宋体" w:hAnsi="Times New Roman" w:eastAsia="宋体" w:cs="宋体"/>
                      <w:color w:val="auto"/>
                      <w:kern w:val="0"/>
                      <w:sz w:val="21"/>
                      <w:szCs w:val="21"/>
                      <w:highlight w:val="none"/>
                    </w:rPr>
                    <w:t>有化学处理工艺的</w:t>
                  </w:r>
                </w:p>
              </w:tc>
              <w:tc>
                <w:tcPr>
                  <w:tcW w:w="1395" w:type="dxa"/>
                  <w:tcBorders>
                    <w:tl2br w:val="nil"/>
                    <w:tr2bl w:val="nil"/>
                  </w:tcBorders>
                  <w:vAlign w:val="center"/>
                </w:tcPr>
                <w:p>
                  <w:pPr>
                    <w:widowControl w:val="0"/>
                    <w:autoSpaceDE w:val="0"/>
                    <w:autoSpaceDN w:val="0"/>
                    <w:adjustRightInd w:val="0"/>
                    <w:spacing w:after="0" w:line="240" w:lineRule="auto"/>
                    <w:jc w:val="center"/>
                    <w:rPr>
                      <w:rFonts w:ascii="宋体" w:hAnsi="宋体" w:eastAsia="宋体" w:cs="Times New Roman"/>
                      <w:color w:val="auto"/>
                      <w:kern w:val="2"/>
                      <w:sz w:val="21"/>
                      <w:szCs w:val="21"/>
                      <w:highlight w:val="none"/>
                    </w:rPr>
                  </w:pPr>
                  <w:r>
                    <w:rPr>
                      <w:rFonts w:hint="eastAsia" w:ascii="宋体" w:hAnsi="Times New Roman" w:eastAsia="宋体" w:cs="宋体"/>
                      <w:color w:val="auto"/>
                      <w:kern w:val="0"/>
                      <w:sz w:val="21"/>
                      <w:szCs w:val="21"/>
                      <w:highlight w:val="none"/>
                    </w:rPr>
                    <w:t>其他</w:t>
                  </w:r>
                </w:p>
              </w:tc>
              <w:tc>
                <w:tcPr>
                  <w:tcW w:w="1364" w:type="dxa"/>
                  <w:tcBorders>
                    <w:tl2br w:val="nil"/>
                    <w:tr2bl w:val="nil"/>
                  </w:tcBorders>
                  <w:vAlign w:val="center"/>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p>
              </w:tc>
              <w:tc>
                <w:tcPr>
                  <w:tcW w:w="1557" w:type="dxa"/>
                  <w:tcBorders>
                    <w:tl2br w:val="nil"/>
                    <w:tr2bl w:val="nil"/>
                  </w:tcBorders>
                  <w:vAlign w:val="center"/>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项目主要从事卫浴五金配件的加工生产，属于金属制品行业</w:t>
                  </w:r>
                  <w:r>
                    <w:rPr>
                      <w:rFonts w:hint="eastAsia" w:ascii="宋体" w:hAnsi="Times New Roman" w:eastAsia="宋体" w:cs="宋体"/>
                      <w:color w:val="auto"/>
                      <w:kern w:val="0"/>
                      <w:sz w:val="21"/>
                      <w:szCs w:val="21"/>
                      <w:highlight w:val="none"/>
                    </w:rPr>
                    <w:t>，故项目为</w:t>
                  </w:r>
                  <w:r>
                    <w:rPr>
                      <w:rFonts w:hint="eastAsia" w:ascii="宋体" w:hAnsi="宋体" w:eastAsia="宋体" w:cs="Times New Roman"/>
                      <w:color w:val="auto"/>
                      <w:kern w:val="2"/>
                      <w:sz w:val="21"/>
                      <w:szCs w:val="21"/>
                      <w:highlight w:val="none"/>
                    </w:rPr>
                    <w:t>Ⅲ类项目</w:t>
                  </w:r>
                </w:p>
              </w:tc>
            </w:tr>
          </w:tbl>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（4）评价等级</w:t>
            </w:r>
          </w:p>
          <w:p>
            <w:pPr>
              <w:widowControl/>
              <w:numPr>
                <w:ilvl w:val="0"/>
                <w:numId w:val="2"/>
              </w:numPr>
              <w:tabs>
                <w:tab w:val="left" w:pos="420"/>
              </w:tabs>
              <w:adjustRightInd w:val="0"/>
              <w:snapToGrid w:val="0"/>
              <w:spacing w:after="0" w:line="360" w:lineRule="auto"/>
              <w:ind w:left="0" w:firstLine="471"/>
              <w:jc w:val="center"/>
              <w:rPr>
                <w:rFonts w:ascii="Times New Roman" w:hAnsi="Times New Roman" w:eastAsia="宋体" w:cs="Times New Roman"/>
                <w:b/>
                <w:color w:val="auto"/>
                <w:kern w:val="0"/>
                <w:sz w:val="21"/>
                <w:szCs w:val="21"/>
                <w:highlight w:val="none"/>
              </w:rPr>
            </w:pPr>
            <w:r>
              <w:rPr>
                <w:rFonts w:hint="eastAsia" w:ascii="Times New Roman" w:hAnsi="Times New Roman" w:eastAsia="宋体" w:cs="Times New Roman"/>
                <w:b/>
                <w:color w:val="auto"/>
                <w:kern w:val="0"/>
                <w:sz w:val="21"/>
                <w:szCs w:val="21"/>
                <w:highlight w:val="none"/>
              </w:rPr>
              <w:t>污染影响型评价工作等级划分表</w:t>
            </w:r>
          </w:p>
          <w:tbl>
            <w:tblPr>
              <w:tblStyle w:val="43"/>
              <w:tblW w:w="91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6"/>
              <w:gridCol w:w="769"/>
              <w:gridCol w:w="836"/>
              <w:gridCol w:w="837"/>
              <w:gridCol w:w="838"/>
              <w:gridCol w:w="838"/>
              <w:gridCol w:w="837"/>
              <w:gridCol w:w="837"/>
              <w:gridCol w:w="838"/>
              <w:gridCol w:w="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6" w:type="dxa"/>
                  <w:vMerge w:val="restart"/>
                  <w:tcBorders>
                    <w:tl2br w:val="nil"/>
                    <w:tr2bl w:val="nil"/>
                  </w:tcBorders>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占地规模</w:t>
                  </w:r>
                </w:p>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评价工作等级</w:t>
                  </w:r>
                </w:p>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敏感程度</w:t>
                  </w:r>
                </w:p>
              </w:tc>
              <w:tc>
                <w:tcPr>
                  <w:tcW w:w="2442" w:type="dxa"/>
                  <w:gridSpan w:val="3"/>
                  <w:tcBorders>
                    <w:tl2br w:val="nil"/>
                    <w:tr2bl w:val="nil"/>
                  </w:tcBorders>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Ⅰ类</w:t>
                  </w:r>
                </w:p>
              </w:tc>
              <w:tc>
                <w:tcPr>
                  <w:tcW w:w="2513" w:type="dxa"/>
                  <w:gridSpan w:val="3"/>
                  <w:tcBorders>
                    <w:tl2br w:val="nil"/>
                    <w:tr2bl w:val="nil"/>
                  </w:tcBorders>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Ⅱ类</w:t>
                  </w:r>
                </w:p>
              </w:tc>
              <w:tc>
                <w:tcPr>
                  <w:tcW w:w="2513" w:type="dxa"/>
                  <w:gridSpan w:val="3"/>
                  <w:tcBorders>
                    <w:tl2br w:val="nil"/>
                    <w:tr2bl w:val="nil"/>
                  </w:tcBorders>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6" w:type="dxa"/>
                  <w:vMerge w:val="continue"/>
                  <w:tcBorders>
                    <w:tl2br w:val="nil"/>
                    <w:tr2bl w:val="nil"/>
                  </w:tcBorders>
                </w:tcPr>
                <w:p>
                  <w:pPr>
                    <w:widowControl w:val="0"/>
                    <w:spacing w:after="0" w:line="240" w:lineRule="auto"/>
                    <w:jc w:val="center"/>
                    <w:rPr>
                      <w:rFonts w:ascii="宋体" w:hAnsi="宋体" w:eastAsia="宋体" w:cs="Times New Roman"/>
                      <w:b/>
                      <w:color w:val="auto"/>
                      <w:kern w:val="2"/>
                      <w:sz w:val="21"/>
                      <w:szCs w:val="21"/>
                      <w:highlight w:val="none"/>
                    </w:rPr>
                  </w:pPr>
                </w:p>
              </w:tc>
              <w:tc>
                <w:tcPr>
                  <w:tcW w:w="769"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大</w:t>
                  </w:r>
                </w:p>
              </w:tc>
              <w:tc>
                <w:tcPr>
                  <w:tcW w:w="836"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中</w:t>
                  </w:r>
                </w:p>
              </w:tc>
              <w:tc>
                <w:tcPr>
                  <w:tcW w:w="837"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小</w:t>
                  </w:r>
                </w:p>
              </w:tc>
              <w:tc>
                <w:tcPr>
                  <w:tcW w:w="838"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大</w:t>
                  </w:r>
                </w:p>
              </w:tc>
              <w:tc>
                <w:tcPr>
                  <w:tcW w:w="838"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中</w:t>
                  </w:r>
                </w:p>
              </w:tc>
              <w:tc>
                <w:tcPr>
                  <w:tcW w:w="837"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小</w:t>
                  </w:r>
                </w:p>
              </w:tc>
              <w:tc>
                <w:tcPr>
                  <w:tcW w:w="837"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大</w:t>
                  </w:r>
                </w:p>
              </w:tc>
              <w:tc>
                <w:tcPr>
                  <w:tcW w:w="838"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中</w:t>
                  </w:r>
                </w:p>
              </w:tc>
              <w:tc>
                <w:tcPr>
                  <w:tcW w:w="838" w:type="dxa"/>
                  <w:tcBorders>
                    <w:tl2br w:val="nil"/>
                    <w:tr2bl w:val="nil"/>
                  </w:tcBorders>
                  <w:vAlign w:val="center"/>
                </w:tcPr>
                <w:p>
                  <w:pPr>
                    <w:widowControl w:val="0"/>
                    <w:spacing w:after="0" w:line="240" w:lineRule="auto"/>
                    <w:jc w:val="center"/>
                    <w:rPr>
                      <w:rFonts w:ascii="宋体" w:hAnsi="宋体" w:eastAsia="宋体" w:cs="Times New Roman"/>
                      <w:b/>
                      <w:color w:val="auto"/>
                      <w:kern w:val="2"/>
                      <w:sz w:val="21"/>
                      <w:szCs w:val="21"/>
                      <w:highlight w:val="none"/>
                    </w:rPr>
                  </w:pPr>
                  <w:r>
                    <w:rPr>
                      <w:rFonts w:hint="eastAsia" w:ascii="宋体" w:hAnsi="宋体" w:eastAsia="宋体" w:cs="Times New Roman"/>
                      <w:b/>
                      <w:color w:val="auto"/>
                      <w:kern w:val="2"/>
                      <w:sz w:val="21"/>
                      <w:szCs w:val="21"/>
                      <w:highlight w:val="none"/>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636"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敏感</w:t>
                  </w:r>
                </w:p>
              </w:tc>
              <w:tc>
                <w:tcPr>
                  <w:tcW w:w="769"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一级</w:t>
                  </w:r>
                </w:p>
              </w:tc>
              <w:tc>
                <w:tcPr>
                  <w:tcW w:w="836"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一级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一级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636"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较敏感</w:t>
                  </w:r>
                </w:p>
              </w:tc>
              <w:tc>
                <w:tcPr>
                  <w:tcW w:w="769"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一级</w:t>
                  </w:r>
                </w:p>
              </w:tc>
              <w:tc>
                <w:tcPr>
                  <w:tcW w:w="836"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一级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636"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不敏感</w:t>
                  </w:r>
                </w:p>
              </w:tc>
              <w:tc>
                <w:tcPr>
                  <w:tcW w:w="769"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一级</w:t>
                  </w:r>
                </w:p>
              </w:tc>
              <w:tc>
                <w:tcPr>
                  <w:tcW w:w="836"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二级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7"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三级</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p>
              </w:tc>
              <w:tc>
                <w:tcPr>
                  <w:tcW w:w="838" w:type="dxa"/>
                  <w:tcBorders>
                    <w:tl2br w:val="nil"/>
                    <w:tr2bl w:val="nil"/>
                  </w:tcBorders>
                </w:tcPr>
                <w:p>
                  <w:pPr>
                    <w:widowControl w:val="0"/>
                    <w:spacing w:after="0" w:line="240" w:lineRule="auto"/>
                    <w:jc w:val="center"/>
                    <w:rPr>
                      <w:rFonts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9104" w:type="dxa"/>
                  <w:gridSpan w:val="10"/>
                  <w:tcBorders>
                    <w:tl2br w:val="nil"/>
                    <w:tr2bl w:val="nil"/>
                  </w:tcBorders>
                </w:tcPr>
                <w:p>
                  <w:pPr>
                    <w:widowControl w:val="0"/>
                    <w:spacing w:after="0" w:line="240" w:lineRule="auto"/>
                    <w:jc w:val="left"/>
                    <w:rPr>
                      <w:rFonts w:ascii="宋体" w:hAnsi="宋体" w:eastAsia="宋体" w:cs="Times New Roman"/>
                      <w:color w:val="FF0000"/>
                      <w:kern w:val="2"/>
                      <w:sz w:val="21"/>
                      <w:szCs w:val="21"/>
                      <w:highlight w:val="none"/>
                    </w:rPr>
                  </w:pPr>
                  <w:r>
                    <w:rPr>
                      <w:rFonts w:hint="eastAsia" w:ascii="宋体" w:hAnsi="Times New Roman" w:eastAsia="宋体" w:cs="宋体"/>
                      <w:color w:val="auto"/>
                      <w:kern w:val="0"/>
                      <w:sz w:val="18"/>
                      <w:szCs w:val="18"/>
                      <w:highlight w:val="none"/>
                    </w:rPr>
                    <w:t>注：“</w:t>
                  </w:r>
                  <w:r>
                    <w:rPr>
                      <w:rFonts w:ascii="宋体" w:hAnsi="Times New Roman" w:eastAsia="宋体" w:cs="宋体"/>
                      <w:color w:val="auto"/>
                      <w:kern w:val="0"/>
                      <w:sz w:val="18"/>
                      <w:szCs w:val="18"/>
                      <w:highlight w:val="none"/>
                    </w:rPr>
                    <w:t>-</w:t>
                  </w:r>
                  <w:r>
                    <w:rPr>
                      <w:rFonts w:hint="eastAsia" w:ascii="宋体" w:hAnsi="Times New Roman" w:eastAsia="宋体" w:cs="宋体"/>
                      <w:color w:val="auto"/>
                      <w:kern w:val="0"/>
                      <w:sz w:val="18"/>
                      <w:szCs w:val="18"/>
                      <w:highlight w:val="none"/>
                    </w:rPr>
                    <w:t>”表示可不开展土壤环境影响评价工作。</w:t>
                  </w:r>
                </w:p>
              </w:tc>
            </w:tr>
          </w:tbl>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根据项目情况，项目占地规格为小型，敏感程度为较敏感，项目类别为Ⅲ类，因此，项目未列入评价工作等级中，可不开展土壤环境影响评价工作。</w:t>
            </w:r>
          </w:p>
          <w:p>
            <w:pPr>
              <w:widowControl w:val="0"/>
              <w:spacing w:after="0" w:line="360" w:lineRule="auto"/>
              <w:ind w:firstLine="482" w:firstLineChars="200"/>
              <w:jc w:val="left"/>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七</w:t>
            </w:r>
            <w:r>
              <w:rPr>
                <w:rFonts w:ascii="Times New Roman" w:hAnsi="Times New Roman" w:eastAsia="宋体" w:cs="Times New Roman"/>
                <w:b/>
                <w:bCs/>
                <w:color w:val="auto"/>
                <w:kern w:val="2"/>
                <w:sz w:val="24"/>
                <w:szCs w:val="24"/>
                <w:highlight w:val="none"/>
              </w:rPr>
              <w:t>、环境管理和监测计划</w:t>
            </w:r>
          </w:p>
          <w:p>
            <w:pPr>
              <w:widowControl w:val="0"/>
              <w:spacing w:after="0" w:line="360" w:lineRule="auto"/>
              <w:ind w:firstLine="480" w:firstLineChars="200"/>
              <w:jc w:val="left"/>
              <w:rPr>
                <w:rFonts w:ascii="Times New Roman" w:hAnsi="Times New Roman" w:eastAsia="宋体" w:cs="Times New Roman"/>
                <w:color w:val="auto"/>
                <w:kern w:val="2"/>
                <w:sz w:val="21"/>
                <w:szCs w:val="24"/>
                <w:highlight w:val="none"/>
              </w:rPr>
            </w:pPr>
            <w:r>
              <w:rPr>
                <w:rFonts w:ascii="Times New Roman" w:hAnsi="Times New Roman" w:eastAsia="宋体" w:cs="Times New Roman"/>
                <w:color w:val="auto"/>
                <w:kern w:val="2"/>
                <w:sz w:val="24"/>
                <w:szCs w:val="24"/>
                <w:highlight w:val="none"/>
              </w:rPr>
              <w:t>为了及时反映企业排污状况，提供环境管理和污染防治的依据，必须认真落实环境监测工作。开展此工作的环境监测机构，除环保行政主管部门的环境监测站对项目的排污状况和处理设施进行监督性监测、技术指导和考核外，建设单位应设立人员负责开展常规性的工作。根据《排污单位自行监测技术指南总则》（HJ819-2017）相关要求以及针对本项目的特点和环境管理的要求，对气、声等环境要素分别制订出环境监测计划。</w:t>
            </w:r>
          </w:p>
          <w:p>
            <w:pPr>
              <w:widowControl/>
              <w:numPr>
                <w:ilvl w:val="0"/>
                <w:numId w:val="2"/>
              </w:numPr>
              <w:tabs>
                <w:tab w:val="left" w:pos="420"/>
              </w:tabs>
              <w:adjustRightInd w:val="0"/>
              <w:snapToGrid w:val="0"/>
              <w:spacing w:after="0" w:line="360" w:lineRule="auto"/>
              <w:ind w:left="0" w:firstLine="471"/>
              <w:jc w:val="center"/>
              <w:rPr>
                <w:rFonts w:ascii="Times New Roman" w:hAnsi="Times New Roman" w:cs="Times New Roman" w:eastAsiaTheme="minorEastAsia"/>
                <w:b/>
                <w:bCs/>
                <w:color w:val="auto"/>
                <w:kern w:val="0"/>
                <w:sz w:val="21"/>
                <w:szCs w:val="21"/>
                <w:highlight w:val="none"/>
              </w:rPr>
            </w:pPr>
            <w:r>
              <w:rPr>
                <w:rFonts w:ascii="Times New Roman" w:hAnsi="Times New Roman" w:cs="Times New Roman" w:eastAsiaTheme="minorEastAsia"/>
                <w:b/>
                <w:bCs/>
                <w:color w:val="auto"/>
                <w:kern w:val="0"/>
                <w:sz w:val="21"/>
                <w:szCs w:val="21"/>
                <w:highlight w:val="none"/>
              </w:rPr>
              <w:t>环境监测计划及记录信息表</w:t>
            </w:r>
          </w:p>
          <w:tbl>
            <w:tblPr>
              <w:tblStyle w:val="43"/>
              <w:tblW w:w="9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448"/>
              <w:gridCol w:w="1466"/>
              <w:gridCol w:w="1350"/>
              <w:gridCol w:w="3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污染物</w:t>
                  </w:r>
                </w:p>
              </w:tc>
              <w:tc>
                <w:tcPr>
                  <w:tcW w:w="1448"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监测点位</w:t>
                  </w:r>
                </w:p>
              </w:tc>
              <w:tc>
                <w:tcPr>
                  <w:tcW w:w="1466"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检测指标</w:t>
                  </w:r>
                </w:p>
              </w:tc>
              <w:tc>
                <w:tcPr>
                  <w:tcW w:w="1350"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监测频次</w:t>
                  </w:r>
                </w:p>
              </w:tc>
              <w:tc>
                <w:tcPr>
                  <w:tcW w:w="3967"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vMerge w:val="restart"/>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废气</w:t>
                  </w:r>
                </w:p>
              </w:tc>
              <w:tc>
                <w:tcPr>
                  <w:tcW w:w="1448" w:type="dxa"/>
                  <w:shd w:val="clear" w:color="auto" w:fill="auto"/>
                  <w:vAlign w:val="center"/>
                </w:tcPr>
                <w:p>
                  <w:pPr>
                    <w:widowControl w:val="0"/>
                    <w:autoSpaceDE w:val="0"/>
                    <w:autoSpaceDN w:val="0"/>
                    <w:adjustRightInd w:val="0"/>
                    <w:jc w:val="center"/>
                    <w:textAlignment w:val="baseline"/>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G1红冲</w:t>
                  </w:r>
                  <w:r>
                    <w:rPr>
                      <w:rFonts w:ascii="Times New Roman" w:hAnsi="Times New Roman" w:eastAsia="宋体" w:cs="Times New Roman"/>
                      <w:color w:val="auto"/>
                      <w:kern w:val="2"/>
                      <w:sz w:val="21"/>
                      <w:szCs w:val="21"/>
                      <w:highlight w:val="none"/>
                      <w:lang w:val="en-US" w:eastAsia="zh-CN" w:bidi="ar-SA"/>
                    </w:rPr>
                    <w:t>工序排气口</w:t>
                  </w:r>
                </w:p>
              </w:tc>
              <w:tc>
                <w:tcPr>
                  <w:tcW w:w="1466"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非甲烷总烃</w:t>
                  </w:r>
                </w:p>
              </w:tc>
              <w:tc>
                <w:tcPr>
                  <w:tcW w:w="1350"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每年一次</w:t>
                  </w:r>
                </w:p>
              </w:tc>
              <w:tc>
                <w:tcPr>
                  <w:tcW w:w="3967" w:type="dxa"/>
                  <w:vMerge w:val="restart"/>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广东省地方标准《大气污染物排放限值》（DB44/27-2001）中第二时段二级标准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vMerge w:val="continue"/>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p>
              </w:tc>
              <w:tc>
                <w:tcPr>
                  <w:tcW w:w="1448" w:type="dxa"/>
                  <w:shd w:val="clear" w:color="auto" w:fill="auto"/>
                  <w:vAlign w:val="center"/>
                </w:tcPr>
                <w:p>
                  <w:pPr>
                    <w:widowControl/>
                    <w:autoSpaceDE w:val="0"/>
                    <w:autoSpaceDN w:val="0"/>
                    <w:adjustRightInd w:val="0"/>
                    <w:spacing w:after="0" w:line="240" w:lineRule="auto"/>
                    <w:jc w:val="center"/>
                    <w:textAlignment w:val="baseline"/>
                    <w:rPr>
                      <w:rFonts w:ascii="Times New Roman" w:hAnsi="Times New Roman" w:cs="Times New Roman" w:eastAsiaTheme="minorEastAsia"/>
                      <w:color w:val="auto"/>
                      <w:kern w:val="2"/>
                      <w:sz w:val="21"/>
                      <w:szCs w:val="21"/>
                      <w:highlight w:val="none"/>
                    </w:rPr>
                  </w:pPr>
                  <w:r>
                    <w:rPr>
                      <w:rFonts w:hint="eastAsia" w:ascii="Times New Roman" w:hAnsi="Times New Roman" w:eastAsia="宋体" w:cs="Times New Roman"/>
                      <w:color w:val="auto"/>
                      <w:kern w:val="2"/>
                      <w:sz w:val="21"/>
                      <w:szCs w:val="21"/>
                      <w:highlight w:val="none"/>
                    </w:rPr>
                    <w:t>G2</w:t>
                  </w:r>
                  <w:r>
                    <w:rPr>
                      <w:rFonts w:ascii="Times New Roman" w:hAnsi="Times New Roman" w:eastAsia="宋体" w:cs="Times New Roman"/>
                      <w:color w:val="auto"/>
                      <w:kern w:val="24"/>
                      <w:sz w:val="21"/>
                      <w:szCs w:val="21"/>
                      <w:highlight w:val="none"/>
                    </w:rPr>
                    <w:t>燃料废气排气口</w:t>
                  </w:r>
                </w:p>
              </w:tc>
              <w:tc>
                <w:tcPr>
                  <w:tcW w:w="1466" w:type="dxa"/>
                  <w:shd w:val="clear" w:color="auto" w:fill="auto"/>
                  <w:vAlign w:val="center"/>
                </w:tcPr>
                <w:p>
                  <w:pPr>
                    <w:widowControl w:val="0"/>
                    <w:spacing w:after="0" w:line="276"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4"/>
                      <w:sz w:val="21"/>
                      <w:szCs w:val="21"/>
                      <w:highlight w:val="none"/>
                    </w:rPr>
                    <w:t>SO</w:t>
                  </w:r>
                  <w:r>
                    <w:rPr>
                      <w:rFonts w:ascii="Times New Roman" w:hAnsi="Times New Roman" w:eastAsia="宋体" w:cs="Times New Roman"/>
                      <w:color w:val="auto"/>
                      <w:kern w:val="24"/>
                      <w:sz w:val="21"/>
                      <w:szCs w:val="21"/>
                      <w:highlight w:val="none"/>
                      <w:vertAlign w:val="subscript"/>
                    </w:rPr>
                    <w:t>2</w:t>
                  </w:r>
                  <w:r>
                    <w:rPr>
                      <w:rFonts w:ascii="Times New Roman" w:hAnsi="Times New Roman" w:cs="Times New Roman" w:eastAsiaTheme="minorEastAsia"/>
                      <w:color w:val="auto"/>
                      <w:kern w:val="2"/>
                      <w:sz w:val="21"/>
                      <w:szCs w:val="21"/>
                      <w:highlight w:val="none"/>
                    </w:rPr>
                    <w:t>、</w:t>
                  </w:r>
                  <w:r>
                    <w:rPr>
                      <w:rFonts w:ascii="Times New Roman" w:hAnsi="Times New Roman" w:eastAsia="宋体" w:cs="Times New Roman"/>
                      <w:color w:val="auto"/>
                      <w:kern w:val="24"/>
                      <w:sz w:val="21"/>
                      <w:szCs w:val="21"/>
                      <w:highlight w:val="none"/>
                    </w:rPr>
                    <w:t>NO</w:t>
                  </w:r>
                  <w:r>
                    <w:rPr>
                      <w:rFonts w:ascii="Times New Roman" w:hAnsi="Times New Roman" w:eastAsia="Times New Roman" w:cs="Times New Roman"/>
                      <w:color w:val="auto"/>
                      <w:kern w:val="2"/>
                      <w:sz w:val="21"/>
                      <w:szCs w:val="24"/>
                      <w:highlight w:val="none"/>
                      <w:vertAlign w:val="subscript"/>
                    </w:rPr>
                    <w:t>2</w:t>
                  </w:r>
                  <w:r>
                    <w:rPr>
                      <w:rFonts w:ascii="Times New Roman" w:hAnsi="Times New Roman" w:cs="Times New Roman" w:eastAsiaTheme="minorEastAsia"/>
                      <w:color w:val="auto"/>
                      <w:kern w:val="2"/>
                      <w:sz w:val="21"/>
                      <w:szCs w:val="21"/>
                      <w:highlight w:val="none"/>
                    </w:rPr>
                    <w:t>、</w:t>
                  </w:r>
                  <w:r>
                    <w:rPr>
                      <w:rFonts w:ascii="Times New Roman" w:hAnsi="Times New Roman" w:eastAsia="宋体" w:cs="Times New Roman"/>
                      <w:color w:val="auto"/>
                      <w:kern w:val="24"/>
                      <w:sz w:val="21"/>
                      <w:szCs w:val="21"/>
                      <w:highlight w:val="none"/>
                    </w:rPr>
                    <w:t>TSP</w:t>
                  </w:r>
                </w:p>
              </w:tc>
              <w:tc>
                <w:tcPr>
                  <w:tcW w:w="1350"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每年一次</w:t>
                  </w:r>
                </w:p>
              </w:tc>
              <w:tc>
                <w:tcPr>
                  <w:tcW w:w="3967" w:type="dxa"/>
                  <w:vMerge w:val="continue"/>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vMerge w:val="continue"/>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p>
              </w:tc>
              <w:tc>
                <w:tcPr>
                  <w:tcW w:w="1448"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hint="eastAsia" w:ascii="Times New Roman" w:hAnsi="Times New Roman" w:eastAsia="宋体" w:cs="Times New Roman"/>
                      <w:color w:val="auto"/>
                      <w:kern w:val="2"/>
                      <w:sz w:val="21"/>
                      <w:szCs w:val="21"/>
                      <w:highlight w:val="none"/>
                    </w:rPr>
                    <w:t>G3</w:t>
                  </w:r>
                  <w:r>
                    <w:rPr>
                      <w:rFonts w:ascii="Times New Roman" w:hAnsi="Times New Roman" w:eastAsia="宋体" w:cs="Times New Roman"/>
                      <w:color w:val="auto"/>
                      <w:kern w:val="2"/>
                      <w:sz w:val="21"/>
                      <w:szCs w:val="21"/>
                      <w:highlight w:val="none"/>
                    </w:rPr>
                    <w:t>抛光工序排气口</w:t>
                  </w:r>
                </w:p>
              </w:tc>
              <w:tc>
                <w:tcPr>
                  <w:tcW w:w="1466" w:type="dxa"/>
                  <w:shd w:val="clear" w:color="auto" w:fill="auto"/>
                  <w:vAlign w:val="center"/>
                </w:tcPr>
                <w:p>
                  <w:pPr>
                    <w:widowControl w:val="0"/>
                    <w:spacing w:after="0" w:line="276" w:lineRule="auto"/>
                    <w:jc w:val="center"/>
                    <w:rPr>
                      <w:rFonts w:ascii="Times New Roman" w:hAnsi="Times New Roman" w:eastAsia="宋体" w:cs="Times New Roman"/>
                      <w:bCs/>
                      <w:color w:val="auto"/>
                      <w:kern w:val="2"/>
                      <w:sz w:val="21"/>
                      <w:szCs w:val="21"/>
                      <w:highlight w:val="none"/>
                    </w:rPr>
                  </w:pPr>
                  <w:r>
                    <w:rPr>
                      <w:rFonts w:hint="eastAsia" w:ascii="Times New Roman" w:hAnsi="Times New Roman" w:eastAsia="宋体" w:cs="Times New Roman"/>
                      <w:color w:val="auto"/>
                      <w:kern w:val="24"/>
                      <w:sz w:val="21"/>
                      <w:szCs w:val="21"/>
                      <w:highlight w:val="none"/>
                    </w:rPr>
                    <w:t>PM</w:t>
                  </w:r>
                  <w:r>
                    <w:rPr>
                      <w:rFonts w:hint="eastAsia" w:ascii="Times New Roman" w:hAnsi="Times New Roman" w:eastAsia="宋体" w:cs="Times New Roman"/>
                      <w:color w:val="auto"/>
                      <w:kern w:val="24"/>
                      <w:sz w:val="21"/>
                      <w:szCs w:val="21"/>
                      <w:highlight w:val="none"/>
                      <w:vertAlign w:val="subscript"/>
                    </w:rPr>
                    <w:t>10</w:t>
                  </w:r>
                </w:p>
              </w:tc>
              <w:tc>
                <w:tcPr>
                  <w:tcW w:w="1350"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每年一次</w:t>
                  </w:r>
                </w:p>
              </w:tc>
              <w:tc>
                <w:tcPr>
                  <w:tcW w:w="3967" w:type="dxa"/>
                  <w:vMerge w:val="continue"/>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vMerge w:val="continue"/>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p>
              </w:tc>
              <w:tc>
                <w:tcPr>
                  <w:tcW w:w="1448"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厂界上风向1个，下风向3个</w:t>
                  </w:r>
                </w:p>
              </w:tc>
              <w:tc>
                <w:tcPr>
                  <w:tcW w:w="1466"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非甲烷总烃、</w:t>
                  </w:r>
                  <w:r>
                    <w:rPr>
                      <w:rFonts w:ascii="Times New Roman" w:hAnsi="Times New Roman" w:eastAsia="宋体" w:cs="Times New Roman"/>
                      <w:color w:val="auto"/>
                      <w:kern w:val="24"/>
                      <w:sz w:val="21"/>
                      <w:szCs w:val="21"/>
                      <w:highlight w:val="none"/>
                    </w:rPr>
                    <w:t>SO</w:t>
                  </w:r>
                  <w:r>
                    <w:rPr>
                      <w:rFonts w:ascii="Times New Roman" w:hAnsi="Times New Roman" w:eastAsia="宋体" w:cs="Times New Roman"/>
                      <w:color w:val="auto"/>
                      <w:kern w:val="24"/>
                      <w:sz w:val="21"/>
                      <w:szCs w:val="21"/>
                      <w:highlight w:val="none"/>
                      <w:vertAlign w:val="subscript"/>
                    </w:rPr>
                    <w:t>2</w:t>
                  </w:r>
                  <w:r>
                    <w:rPr>
                      <w:rFonts w:ascii="Times New Roman" w:hAnsi="Times New Roman" w:cs="Times New Roman" w:eastAsiaTheme="minorEastAsia"/>
                      <w:color w:val="auto"/>
                      <w:kern w:val="2"/>
                      <w:sz w:val="21"/>
                      <w:szCs w:val="21"/>
                      <w:highlight w:val="none"/>
                    </w:rPr>
                    <w:t>、</w:t>
                  </w:r>
                  <w:r>
                    <w:rPr>
                      <w:rFonts w:ascii="Times New Roman" w:hAnsi="Times New Roman" w:eastAsia="宋体" w:cs="Times New Roman"/>
                      <w:color w:val="auto"/>
                      <w:kern w:val="24"/>
                      <w:sz w:val="21"/>
                      <w:szCs w:val="21"/>
                      <w:highlight w:val="none"/>
                    </w:rPr>
                    <w:t>NO</w:t>
                  </w:r>
                  <w:r>
                    <w:rPr>
                      <w:rFonts w:ascii="Times New Roman" w:hAnsi="Times New Roman" w:eastAsia="Times New Roman" w:cs="Times New Roman"/>
                      <w:color w:val="auto"/>
                      <w:kern w:val="2"/>
                      <w:sz w:val="21"/>
                      <w:szCs w:val="24"/>
                      <w:highlight w:val="none"/>
                      <w:vertAlign w:val="subscript"/>
                    </w:rPr>
                    <w:t>2</w:t>
                  </w:r>
                  <w:r>
                    <w:rPr>
                      <w:rFonts w:ascii="Times New Roman" w:hAnsi="Times New Roman" w:cs="Times New Roman" w:eastAsiaTheme="minorEastAsia"/>
                      <w:color w:val="auto"/>
                      <w:kern w:val="2"/>
                      <w:sz w:val="21"/>
                      <w:szCs w:val="21"/>
                      <w:highlight w:val="none"/>
                    </w:rPr>
                    <w:t>、TSP</w:t>
                  </w:r>
                </w:p>
              </w:tc>
              <w:tc>
                <w:tcPr>
                  <w:tcW w:w="1350"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每年一次</w:t>
                  </w:r>
                </w:p>
              </w:tc>
              <w:tc>
                <w:tcPr>
                  <w:tcW w:w="3967"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广东省地方标准《大气污染物排放限值》（DB44/ 27-2001）第二时段无组织排放监控浓度限值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867" w:type="dxa"/>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废水</w:t>
                  </w:r>
                </w:p>
              </w:tc>
              <w:tc>
                <w:tcPr>
                  <w:tcW w:w="1448"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生活污水处理设施出口</w:t>
                  </w:r>
                </w:p>
              </w:tc>
              <w:tc>
                <w:tcPr>
                  <w:tcW w:w="1466"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eastAsia="宋体" w:cs="Times New Roman"/>
                      <w:color w:val="auto"/>
                      <w:kern w:val="2"/>
                      <w:sz w:val="21"/>
                      <w:szCs w:val="21"/>
                      <w:highlight w:val="none"/>
                    </w:rPr>
                    <w:t>COD</w:t>
                  </w:r>
                  <w:r>
                    <w:rPr>
                      <w:rFonts w:ascii="Times New Roman" w:hAnsi="Times New Roman" w:eastAsia="宋体" w:cs="Times New Roman"/>
                      <w:color w:val="auto"/>
                      <w:kern w:val="2"/>
                      <w:sz w:val="21"/>
                      <w:szCs w:val="21"/>
                      <w:highlight w:val="none"/>
                      <w:vertAlign w:val="subscript"/>
                    </w:rPr>
                    <w:t>cr</w:t>
                  </w:r>
                  <w:r>
                    <w:rPr>
                      <w:rFonts w:ascii="Times New Roman" w:hAnsi="Times New Roman" w:eastAsia="宋体" w:cs="Times New Roman"/>
                      <w:color w:val="auto"/>
                      <w:kern w:val="2"/>
                      <w:sz w:val="21"/>
                      <w:szCs w:val="21"/>
                      <w:highlight w:val="none"/>
                    </w:rPr>
                    <w:t>、BOD</w:t>
                  </w:r>
                  <w:r>
                    <w:rPr>
                      <w:rFonts w:ascii="Times New Roman" w:hAnsi="Times New Roman" w:eastAsia="宋体" w:cs="Times New Roman"/>
                      <w:color w:val="auto"/>
                      <w:kern w:val="2"/>
                      <w:sz w:val="21"/>
                      <w:szCs w:val="21"/>
                      <w:highlight w:val="none"/>
                      <w:vertAlign w:val="subscript"/>
                    </w:rPr>
                    <w:t>5</w:t>
                  </w:r>
                  <w:r>
                    <w:rPr>
                      <w:rFonts w:ascii="Times New Roman" w:hAnsi="Times New Roman" w:eastAsia="宋体" w:cs="Times New Roman"/>
                      <w:color w:val="auto"/>
                      <w:kern w:val="2"/>
                      <w:sz w:val="21"/>
                      <w:szCs w:val="21"/>
                      <w:highlight w:val="none"/>
                    </w:rPr>
                    <w:t>、SS、NH</w:t>
                  </w:r>
                  <w:r>
                    <w:rPr>
                      <w:rFonts w:ascii="Times New Roman" w:hAnsi="Times New Roman" w:eastAsia="宋体" w:cs="Times New Roman"/>
                      <w:color w:val="auto"/>
                      <w:kern w:val="2"/>
                      <w:sz w:val="21"/>
                      <w:szCs w:val="21"/>
                      <w:highlight w:val="none"/>
                      <w:vertAlign w:val="subscript"/>
                    </w:rPr>
                    <w:t>3</w:t>
                  </w:r>
                  <w:r>
                    <w:rPr>
                      <w:rFonts w:ascii="Times New Roman" w:hAnsi="Times New Roman" w:eastAsia="宋体" w:cs="Times New Roman"/>
                      <w:color w:val="auto"/>
                      <w:kern w:val="2"/>
                      <w:sz w:val="21"/>
                      <w:szCs w:val="21"/>
                      <w:highlight w:val="none"/>
                    </w:rPr>
                    <w:t>-N</w:t>
                  </w:r>
                </w:p>
              </w:tc>
              <w:tc>
                <w:tcPr>
                  <w:tcW w:w="1350"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每年一次</w:t>
                  </w:r>
                </w:p>
              </w:tc>
              <w:tc>
                <w:tcPr>
                  <w:tcW w:w="3967" w:type="dxa"/>
                  <w:shd w:val="clear" w:color="auto" w:fill="auto"/>
                  <w:vAlign w:val="center"/>
                </w:tcPr>
                <w:p>
                  <w:pPr>
                    <w:widowControl w:val="0"/>
                    <w:spacing w:after="0" w:line="240"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广东省地方标准《水污染物排放限值》（DB44/26-2001）第二时段三级标准和</w:t>
                  </w:r>
                  <w:r>
                    <w:rPr>
                      <w:rFonts w:hint="eastAsia" w:ascii="Times New Roman" w:hAnsi="Times New Roman" w:cs="Times New Roman" w:eastAsiaTheme="minorEastAsia"/>
                      <w:color w:val="auto"/>
                      <w:kern w:val="2"/>
                      <w:sz w:val="21"/>
                      <w:szCs w:val="21"/>
                      <w:highlight w:val="none"/>
                      <w:lang w:eastAsia="zh-CN"/>
                    </w:rPr>
                    <w:t>《污水排入城镇下水道水质标准》(GB/T31962-2015 )B级标准</w:t>
                  </w:r>
                  <w:r>
                    <w:rPr>
                      <w:rFonts w:ascii="Times New Roman" w:hAnsi="Times New Roman" w:cs="Times New Roman" w:eastAsiaTheme="minorEastAsia"/>
                      <w:color w:val="auto"/>
                      <w:kern w:val="2"/>
                      <w:sz w:val="21"/>
                      <w:szCs w:val="21"/>
                      <w:highlight w:val="none"/>
                    </w:rPr>
                    <w:t>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7" w:type="dxa"/>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噪声</w:t>
                  </w:r>
                </w:p>
              </w:tc>
              <w:tc>
                <w:tcPr>
                  <w:tcW w:w="1448"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厂界四周</w:t>
                  </w:r>
                </w:p>
              </w:tc>
              <w:tc>
                <w:tcPr>
                  <w:tcW w:w="1466"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等效连续A声级</w:t>
                  </w:r>
                </w:p>
              </w:tc>
              <w:tc>
                <w:tcPr>
                  <w:tcW w:w="1350"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每年一次</w:t>
                  </w:r>
                </w:p>
              </w:tc>
              <w:tc>
                <w:tcPr>
                  <w:tcW w:w="3967" w:type="dxa"/>
                  <w:shd w:val="clear" w:color="auto" w:fill="auto"/>
                  <w:vAlign w:val="center"/>
                </w:tcPr>
                <w:p>
                  <w:pPr>
                    <w:widowControl w:val="0"/>
                    <w:spacing w:after="0" w:line="276" w:lineRule="auto"/>
                    <w:jc w:val="center"/>
                    <w:rPr>
                      <w:rFonts w:ascii="Times New Roman" w:hAnsi="Times New Roman" w:cs="Times New Roman" w:eastAsiaTheme="minorEastAsia"/>
                      <w:color w:val="auto"/>
                      <w:kern w:val="2"/>
                      <w:sz w:val="21"/>
                      <w:szCs w:val="21"/>
                      <w:highlight w:val="none"/>
                    </w:rPr>
                  </w:pPr>
                  <w:r>
                    <w:rPr>
                      <w:rFonts w:ascii="Times New Roman" w:hAnsi="Times New Roman" w:cs="Times New Roman" w:eastAsiaTheme="minorEastAsia"/>
                      <w:color w:val="auto"/>
                      <w:kern w:val="2"/>
                      <w:sz w:val="21"/>
                      <w:szCs w:val="21"/>
                      <w:highlight w:val="none"/>
                    </w:rPr>
                    <w:t>《工业企业厂界环境噪声排放标准》(GB12348</w:t>
                  </w:r>
                  <w:r>
                    <w:rPr>
                      <w:rFonts w:hint="eastAsia" w:ascii="Times New Roman" w:hAnsi="Times New Roman" w:cs="Times New Roman" w:eastAsiaTheme="minorEastAsia"/>
                      <w:color w:val="auto"/>
                      <w:kern w:val="2"/>
                      <w:sz w:val="21"/>
                      <w:szCs w:val="21"/>
                      <w:highlight w:val="none"/>
                    </w:rPr>
                    <w:t>-</w:t>
                  </w:r>
                  <w:r>
                    <w:rPr>
                      <w:rFonts w:ascii="Times New Roman" w:hAnsi="Times New Roman" w:cs="Times New Roman" w:eastAsiaTheme="minorEastAsia"/>
                      <w:color w:val="auto"/>
                      <w:kern w:val="2"/>
                      <w:sz w:val="21"/>
                      <w:szCs w:val="21"/>
                      <w:highlight w:val="none"/>
                    </w:rPr>
                    <w:t>2008)</w:t>
                  </w:r>
                  <w:r>
                    <w:rPr>
                      <w:rFonts w:hint="eastAsia" w:ascii="Times New Roman" w:hAnsi="Times New Roman" w:cs="Times New Roman"/>
                      <w:color w:val="auto"/>
                      <w:kern w:val="2"/>
                      <w:sz w:val="21"/>
                      <w:szCs w:val="21"/>
                      <w:highlight w:val="none"/>
                      <w:lang w:eastAsia="zh-CN"/>
                    </w:rPr>
                    <w:t>3类</w:t>
                  </w:r>
                  <w:r>
                    <w:rPr>
                      <w:rFonts w:ascii="Times New Roman" w:hAnsi="Times New Roman" w:cs="Times New Roman" w:eastAsiaTheme="minorEastAsia"/>
                      <w:color w:val="auto"/>
                      <w:kern w:val="2"/>
                      <w:sz w:val="21"/>
                      <w:szCs w:val="21"/>
                      <w:highlight w:val="none"/>
                    </w:rPr>
                    <w:t>标准</w:t>
                  </w:r>
                </w:p>
              </w:tc>
            </w:tr>
          </w:tbl>
          <w:p>
            <w:pPr>
              <w:widowControl w:val="0"/>
              <w:adjustRightInd w:val="0"/>
              <w:snapToGrid w:val="0"/>
              <w:spacing w:after="0" w:line="360" w:lineRule="auto"/>
              <w:ind w:firstLine="482" w:firstLineChars="200"/>
              <w:jc w:val="both"/>
              <w:rPr>
                <w:rFonts w:hint="eastAsia" w:ascii="宋体" w:hAnsi="宋体" w:eastAsia="宋体" w:cs="Times New Roman"/>
                <w:b/>
                <w:color w:val="auto"/>
                <w:kern w:val="2"/>
                <w:sz w:val="24"/>
                <w:szCs w:val="24"/>
                <w:highlight w:val="none"/>
                <w:lang w:val="en-US" w:eastAsia="zh-CN"/>
              </w:rPr>
            </w:pPr>
          </w:p>
          <w:p>
            <w:pPr>
              <w:widowControl w:val="0"/>
              <w:adjustRightInd w:val="0"/>
              <w:snapToGrid w:val="0"/>
              <w:spacing w:after="0" w:line="360" w:lineRule="auto"/>
              <w:ind w:firstLine="482" w:firstLineChars="200"/>
              <w:jc w:val="both"/>
              <w:rPr>
                <w:rFonts w:hint="eastAsia" w:ascii="宋体" w:hAnsi="宋体" w:eastAsia="宋体" w:cs="Times New Roman"/>
                <w:b/>
                <w:color w:val="auto"/>
                <w:kern w:val="2"/>
                <w:sz w:val="24"/>
                <w:szCs w:val="24"/>
                <w:highlight w:val="none"/>
                <w:lang w:val="en-US" w:eastAsia="zh-CN"/>
              </w:rPr>
            </w:pPr>
            <w:r>
              <w:rPr>
                <w:rFonts w:hint="eastAsia" w:ascii="宋体" w:hAnsi="宋体" w:eastAsia="宋体" w:cs="Times New Roman"/>
                <w:b/>
                <w:color w:val="auto"/>
                <w:kern w:val="2"/>
                <w:sz w:val="24"/>
                <w:szCs w:val="24"/>
                <w:highlight w:val="none"/>
                <w:lang w:val="en-US" w:eastAsia="zh-CN"/>
              </w:rPr>
              <w:t>八、环保投资</w:t>
            </w:r>
          </w:p>
          <w:p>
            <w:pPr>
              <w:widowControl w:val="0"/>
              <w:adjustRightInd w:val="0"/>
              <w:snapToGrid w:val="0"/>
              <w:spacing w:after="0" w:line="360" w:lineRule="auto"/>
              <w:ind w:firstLine="480" w:firstLineChars="200"/>
              <w:jc w:val="both"/>
              <w:rPr>
                <w:rFonts w:hint="default" w:ascii="Times New Roman" w:hAnsi="Times New Roman" w:eastAsia="宋体" w:cs="Times New Roman"/>
                <w:b w:val="0"/>
                <w:bCs/>
                <w:color w:val="auto"/>
                <w:kern w:val="2"/>
                <w:sz w:val="24"/>
                <w:szCs w:val="24"/>
                <w:highlight w:val="none"/>
              </w:rPr>
            </w:pPr>
            <w:r>
              <w:rPr>
                <w:rFonts w:hint="default" w:ascii="Times New Roman" w:hAnsi="Times New Roman" w:eastAsia="宋体" w:cs="Times New Roman"/>
                <w:b w:val="0"/>
                <w:bCs/>
                <w:color w:val="auto"/>
                <w:kern w:val="2"/>
                <w:sz w:val="24"/>
                <w:szCs w:val="24"/>
                <w:highlight w:val="none"/>
              </w:rPr>
              <w:t>根据项目投资及行业特性，本项目拟环保投资总额为20万元，具体项目见下表。</w:t>
            </w:r>
          </w:p>
          <w:p>
            <w:pPr>
              <w:widowControl/>
              <w:numPr>
                <w:ilvl w:val="0"/>
                <w:numId w:val="2"/>
              </w:numPr>
              <w:tabs>
                <w:tab w:val="left" w:pos="420"/>
              </w:tabs>
              <w:adjustRightInd w:val="0"/>
              <w:snapToGrid w:val="0"/>
              <w:spacing w:line="240" w:lineRule="auto"/>
              <w:ind w:left="0" w:firstLine="471"/>
              <w:jc w:val="center"/>
              <w:rPr>
                <w:rFonts w:hint="eastAsia"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本项目环保投资一览表</w:t>
            </w:r>
          </w:p>
          <w:tbl>
            <w:tblPr>
              <w:tblStyle w:val="43"/>
              <w:tblW w:w="92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257"/>
              <w:gridCol w:w="1556"/>
              <w:gridCol w:w="4626"/>
              <w:gridCol w:w="1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b/>
                      <w:color w:val="auto"/>
                      <w:kern w:val="0"/>
                      <w:sz w:val="21"/>
                      <w:szCs w:val="21"/>
                      <w:highlight w:val="none"/>
                    </w:rPr>
                  </w:pPr>
                  <w:r>
                    <w:rPr>
                      <w:rFonts w:hint="eastAsia" w:ascii="Times New Roman" w:hAnsi="宋体" w:eastAsia="宋体" w:cs="Times New Roman"/>
                      <w:b/>
                      <w:color w:val="auto"/>
                      <w:kern w:val="0"/>
                      <w:sz w:val="21"/>
                      <w:szCs w:val="21"/>
                      <w:highlight w:val="none"/>
                    </w:rPr>
                    <w:t>序号</w:t>
                  </w:r>
                </w:p>
              </w:tc>
              <w:tc>
                <w:tcPr>
                  <w:tcW w:w="2813" w:type="dxa"/>
                  <w:gridSpan w:val="2"/>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b/>
                      <w:color w:val="auto"/>
                      <w:kern w:val="0"/>
                      <w:sz w:val="21"/>
                      <w:szCs w:val="21"/>
                      <w:highlight w:val="none"/>
                    </w:rPr>
                  </w:pPr>
                  <w:r>
                    <w:rPr>
                      <w:rFonts w:hint="eastAsia" w:ascii="Times New Roman" w:hAnsi="Times New Roman" w:eastAsia="宋体" w:cs="Times New Roman"/>
                      <w:b/>
                      <w:color w:val="auto"/>
                      <w:kern w:val="0"/>
                      <w:sz w:val="21"/>
                      <w:szCs w:val="21"/>
                      <w:highlight w:val="none"/>
                    </w:rPr>
                    <w:t>污染源</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hint="eastAsia" w:ascii="Times New Roman" w:hAnsi="宋体" w:eastAsia="宋体" w:cs="Times New Roman"/>
                      <w:b/>
                      <w:color w:val="auto"/>
                      <w:kern w:val="0"/>
                      <w:sz w:val="21"/>
                      <w:szCs w:val="21"/>
                      <w:highlight w:val="none"/>
                    </w:rPr>
                    <w:t>主要环保措施</w:t>
                  </w:r>
                </w:p>
              </w:tc>
              <w:tc>
                <w:tcPr>
                  <w:tcW w:w="1372"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hint="eastAsia" w:ascii="Times New Roman" w:hAnsi="宋体" w:eastAsia="宋体" w:cs="Times New Roman"/>
                      <w:b/>
                      <w:color w:val="auto"/>
                      <w:kern w:val="0"/>
                      <w:sz w:val="21"/>
                      <w:szCs w:val="21"/>
                      <w:highlight w:val="none"/>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57" w:type="dxa"/>
                  <w:vMerge w:val="restart"/>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w:t>
                  </w:r>
                </w:p>
              </w:tc>
              <w:tc>
                <w:tcPr>
                  <w:tcW w:w="1257" w:type="dxa"/>
                  <w:vMerge w:val="restart"/>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大气污染物</w:t>
                  </w: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宋体" w:eastAsia="宋体" w:cs="Times New Roman"/>
                      <w:color w:val="auto"/>
                      <w:kern w:val="2"/>
                      <w:sz w:val="21"/>
                      <w:szCs w:val="21"/>
                      <w:highlight w:val="none"/>
                      <w:lang w:val="en-US" w:eastAsia="zh-CN"/>
                    </w:rPr>
                  </w:pPr>
                  <w:r>
                    <w:rPr>
                      <w:rFonts w:hint="eastAsia" w:ascii="Times New Roman" w:hAnsi="宋体" w:eastAsia="宋体" w:cs="Times New Roman"/>
                      <w:color w:val="auto"/>
                      <w:kern w:val="2"/>
                      <w:sz w:val="21"/>
                      <w:szCs w:val="21"/>
                      <w:highlight w:val="none"/>
                      <w:lang w:val="en-US" w:eastAsia="zh-CN"/>
                    </w:rPr>
                    <w:t>开料、机加工工序</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eastAsia="zh-CN"/>
                    </w:rPr>
                    <w:t>加强机械通风措施</w:t>
                  </w:r>
                </w:p>
              </w:tc>
              <w:tc>
                <w:tcPr>
                  <w:tcW w:w="1372" w:type="dxa"/>
                  <w:tcBorders>
                    <w:top w:val="single" w:color="auto" w:sz="4" w:space="0"/>
                    <w:left w:val="single" w:color="auto" w:sz="4" w:space="0"/>
                    <w:right w:val="single" w:color="auto" w:sz="4" w:space="0"/>
                  </w:tcBorders>
                  <w:vAlign w:val="center"/>
                </w:tcPr>
                <w:p>
                  <w:pPr>
                    <w:widowControl w:val="0"/>
                    <w:spacing w:after="0" w:line="336" w:lineRule="auto"/>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center"/>
                    <w:rPr>
                      <w:rFonts w:hint="eastAsia" w:ascii="Times New Roman" w:hAnsi="Times New Roman" w:eastAsia="宋体" w:cs="Times New Roman"/>
                      <w:color w:val="auto"/>
                      <w:kern w:val="2"/>
                      <w:sz w:val="21"/>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hint="eastAsia" w:ascii="Times New Roman" w:hAnsi="宋体" w:eastAsia="宋体" w:cs="Times New Roman"/>
                      <w:color w:val="auto"/>
                      <w:kern w:val="2"/>
                      <w:sz w:val="21"/>
                      <w:szCs w:val="21"/>
                      <w:highlight w:val="none"/>
                      <w:lang w:val="en-US" w:eastAsia="zh-CN"/>
                    </w:rPr>
                  </w:pPr>
                  <w:r>
                    <w:rPr>
                      <w:rFonts w:hint="eastAsia" w:ascii="Times New Roman" w:hAnsi="宋体" w:eastAsia="宋体" w:cs="Times New Roman"/>
                      <w:color w:val="auto"/>
                      <w:kern w:val="2"/>
                      <w:sz w:val="21"/>
                      <w:szCs w:val="21"/>
                      <w:highlight w:val="none"/>
                      <w:lang w:val="en-US" w:eastAsia="zh-CN"/>
                    </w:rPr>
                    <w:t>红冲</w:t>
                  </w:r>
                  <w:r>
                    <w:rPr>
                      <w:rFonts w:ascii="Times New Roman" w:hAnsi="宋体" w:eastAsia="宋体" w:cs="Times New Roman"/>
                      <w:color w:val="auto"/>
                      <w:kern w:val="2"/>
                      <w:sz w:val="21"/>
                      <w:szCs w:val="21"/>
                      <w:highlight w:val="none"/>
                      <w:lang w:val="en-US" w:eastAsia="zh-CN"/>
                    </w:rPr>
                    <w:t>工序</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设置集气装置将废气进行收集后引至</w:t>
                  </w:r>
                  <w:r>
                    <w:rPr>
                      <w:rFonts w:hint="eastAsia" w:ascii="Times New Roman" w:hAnsi="宋体" w:eastAsia="宋体" w:cs="Times New Roman"/>
                      <w:color w:val="auto"/>
                      <w:kern w:val="2"/>
                      <w:sz w:val="21"/>
                      <w:szCs w:val="21"/>
                      <w:highlight w:val="none"/>
                      <w:lang w:eastAsia="zh-CN"/>
                    </w:rPr>
                    <w:t>水喷淋</w:t>
                  </w:r>
                  <w:r>
                    <w:rPr>
                      <w:rFonts w:hint="eastAsia" w:ascii="Times New Roman" w:hAnsi="宋体" w:eastAsia="宋体" w:cs="Times New Roman"/>
                      <w:color w:val="auto"/>
                      <w:kern w:val="2"/>
                      <w:sz w:val="21"/>
                      <w:szCs w:val="21"/>
                      <w:highlight w:val="none"/>
                      <w:lang w:val="en-US" w:eastAsia="zh-CN"/>
                    </w:rPr>
                    <w:t>+活性炭吸附装置</w:t>
                  </w:r>
                  <w:r>
                    <w:rPr>
                      <w:rFonts w:ascii="Times New Roman" w:hAnsi="Times New Roman" w:eastAsia="宋体" w:cs="Times New Roman"/>
                      <w:color w:val="auto"/>
                      <w:kern w:val="2"/>
                      <w:sz w:val="21"/>
                      <w:szCs w:val="21"/>
                      <w:highlight w:val="none"/>
                    </w:rPr>
                    <w:t>进行处理</w:t>
                  </w:r>
                  <w:r>
                    <w:rPr>
                      <w:rFonts w:hint="eastAsia" w:ascii="Times New Roman" w:hAnsi="Times New Roman" w:eastAsia="宋体" w:cs="Times New Roman"/>
                      <w:color w:val="auto"/>
                      <w:kern w:val="2"/>
                      <w:sz w:val="21"/>
                      <w:szCs w:val="21"/>
                      <w:highlight w:val="none"/>
                    </w:rPr>
                    <w:t>后高空排放</w:t>
                  </w:r>
                </w:p>
              </w:tc>
              <w:tc>
                <w:tcPr>
                  <w:tcW w:w="1372" w:type="dxa"/>
                  <w:tcBorders>
                    <w:top w:val="single" w:color="auto" w:sz="4" w:space="0"/>
                    <w:left w:val="single" w:color="auto" w:sz="4" w:space="0"/>
                    <w:right w:val="single" w:color="auto" w:sz="4" w:space="0"/>
                  </w:tcBorders>
                  <w:vAlign w:val="center"/>
                </w:tcPr>
                <w:p>
                  <w:pPr>
                    <w:widowControl w:val="0"/>
                    <w:spacing w:after="0" w:line="336" w:lineRule="auto"/>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16</w:t>
                  </w:r>
                  <w:r>
                    <w:rPr>
                      <w:rFonts w:hint="eastAsia" w:ascii="Times New Roman" w:hAnsi="Times New Roman" w:eastAsia="宋体" w:cs="Times New Roman"/>
                      <w:color w:val="auto"/>
                      <w:kern w:val="0"/>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宋体" w:eastAsia="宋体" w:cs="Times New Roman"/>
                      <w:color w:val="auto"/>
                      <w:kern w:val="2"/>
                      <w:sz w:val="21"/>
                      <w:szCs w:val="21"/>
                      <w:highlight w:val="none"/>
                    </w:rPr>
                  </w:pPr>
                  <w:r>
                    <w:rPr>
                      <w:rFonts w:hint="eastAsia" w:ascii="Times New Roman" w:hAnsi="宋体" w:eastAsia="宋体" w:cs="Times New Roman"/>
                      <w:color w:val="auto"/>
                      <w:kern w:val="2"/>
                      <w:sz w:val="21"/>
                      <w:szCs w:val="21"/>
                      <w:highlight w:val="none"/>
                    </w:rPr>
                    <w:t>燃料废气</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napToGrid w:val="0"/>
                    <w:spacing w:after="0" w:line="240" w:lineRule="auto"/>
                    <w:jc w:val="center"/>
                    <w:rPr>
                      <w:rFonts w:ascii="Times New Roman" w:hAnsi="Times New Roman"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设置</w:t>
                  </w:r>
                  <w:r>
                    <w:rPr>
                      <w:rFonts w:ascii="Times New Roman" w:hAnsi="宋体" w:eastAsia="宋体" w:cs="Times New Roman"/>
                      <w:color w:val="auto"/>
                      <w:kern w:val="2"/>
                      <w:sz w:val="21"/>
                      <w:szCs w:val="21"/>
                      <w:highlight w:val="none"/>
                    </w:rPr>
                    <w:t>集气装置收集后引至楼顶高空排放</w:t>
                  </w:r>
                </w:p>
              </w:tc>
              <w:tc>
                <w:tcPr>
                  <w:tcW w:w="1372" w:type="dxa"/>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宋体" w:eastAsia="宋体" w:cs="Times New Roman"/>
                      <w:color w:val="auto"/>
                      <w:kern w:val="2"/>
                      <w:sz w:val="21"/>
                      <w:szCs w:val="21"/>
                      <w:highlight w:val="none"/>
                      <w:lang w:val="en-US" w:eastAsia="zh-CN"/>
                    </w:rPr>
                  </w:pPr>
                  <w:r>
                    <w:rPr>
                      <w:rFonts w:ascii="Times New Roman" w:hAnsi="宋体" w:eastAsia="宋体" w:cs="Times New Roman"/>
                      <w:color w:val="auto"/>
                      <w:kern w:val="2"/>
                      <w:sz w:val="21"/>
                      <w:szCs w:val="21"/>
                      <w:highlight w:val="none"/>
                      <w:lang w:val="en-US" w:eastAsia="zh-CN"/>
                    </w:rPr>
                    <w:t>抛光工序</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设置集气装置将粉尘收集后引至布袋除尘装置进行处理后高空排放</w:t>
                  </w:r>
                </w:p>
              </w:tc>
              <w:tc>
                <w:tcPr>
                  <w:tcW w:w="1372" w:type="dxa"/>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5</w:t>
                  </w:r>
                  <w:r>
                    <w:rPr>
                      <w:rFonts w:hint="eastAsia" w:ascii="Times New Roman" w:hAnsi="Times New Roman" w:eastAsia="宋体" w:cs="Times New Roman"/>
                      <w:color w:val="auto"/>
                      <w:kern w:val="0"/>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57" w:type="dxa"/>
                  <w:vMerge w:val="restart"/>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w:t>
                  </w:r>
                </w:p>
              </w:tc>
              <w:tc>
                <w:tcPr>
                  <w:tcW w:w="1257" w:type="dxa"/>
                  <w:vMerge w:val="restart"/>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宋体" w:eastAsia="宋体" w:cs="Times New Roman"/>
                      <w:color w:val="auto"/>
                      <w:kern w:val="0"/>
                      <w:sz w:val="21"/>
                      <w:szCs w:val="21"/>
                      <w:highlight w:val="none"/>
                    </w:rPr>
                    <w:t>水污染物</w:t>
                  </w: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hint="eastAsia" w:ascii="Times New Roman" w:hAnsi="宋体" w:eastAsia="宋体" w:cs="Times New Roman"/>
                      <w:color w:val="auto"/>
                      <w:kern w:val="2"/>
                      <w:sz w:val="21"/>
                      <w:szCs w:val="21"/>
                      <w:highlight w:val="none"/>
                      <w:lang w:eastAsia="zh-CN"/>
                    </w:rPr>
                  </w:pPr>
                  <w:r>
                    <w:rPr>
                      <w:rFonts w:hint="eastAsia" w:ascii="Times New Roman" w:hAnsi="宋体" w:eastAsia="宋体" w:cs="Times New Roman"/>
                      <w:color w:val="auto"/>
                      <w:kern w:val="2"/>
                      <w:sz w:val="21"/>
                      <w:szCs w:val="21"/>
                      <w:highlight w:val="none"/>
                      <w:lang w:eastAsia="zh-CN"/>
                    </w:rPr>
                    <w:t>测试用水</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循环使用，定期补充，不外排</w:t>
                  </w:r>
                </w:p>
              </w:tc>
              <w:tc>
                <w:tcPr>
                  <w:tcW w:w="1372" w:type="dxa"/>
                  <w:tcBorders>
                    <w:top w:val="single" w:color="auto" w:sz="4" w:space="0"/>
                    <w:left w:val="single" w:color="auto" w:sz="4" w:space="0"/>
                    <w:right w:val="single" w:color="auto" w:sz="4" w:space="0"/>
                  </w:tcBorders>
                  <w:vAlign w:val="center"/>
                </w:tcPr>
                <w:p>
                  <w:pPr>
                    <w:widowControl w:val="0"/>
                    <w:spacing w:after="0" w:line="336" w:lineRule="auto"/>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center"/>
                    <w:rPr>
                      <w:rFonts w:hint="eastAsia" w:ascii="Times New Roman" w:hAnsi="宋体" w:eastAsia="宋体" w:cs="Times New Roman"/>
                      <w:color w:val="auto"/>
                      <w:kern w:val="0"/>
                      <w:sz w:val="21"/>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lang w:eastAsia="zh-CN"/>
                    </w:rPr>
                    <w:t>喷淋用水</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hint="eastAsia" w:ascii="Times New Roman" w:hAnsi="宋体" w:eastAsia="宋体" w:cs="Times New Roman"/>
                      <w:color w:val="auto"/>
                      <w:kern w:val="2"/>
                      <w:sz w:val="21"/>
                      <w:szCs w:val="21"/>
                      <w:highlight w:val="none"/>
                    </w:rPr>
                  </w:pPr>
                  <w:r>
                    <w:rPr>
                      <w:rFonts w:hint="eastAsia" w:ascii="Times New Roman" w:hAnsi="宋体" w:eastAsia="宋体" w:cs="Times New Roman"/>
                      <w:color w:val="auto"/>
                      <w:kern w:val="2"/>
                      <w:sz w:val="21"/>
                      <w:szCs w:val="21"/>
                      <w:highlight w:val="none"/>
                    </w:rPr>
                    <w:t>经收集后定期交有资质单位处理，不外</w:t>
                  </w:r>
                  <w:r>
                    <w:rPr>
                      <w:rFonts w:hint="eastAsia" w:ascii="Times New Roman" w:hAnsi="Times New Roman" w:eastAsia="宋体" w:cs="Times New Roman"/>
                      <w:color w:val="auto"/>
                      <w:kern w:val="2"/>
                      <w:sz w:val="21"/>
                      <w:szCs w:val="21"/>
                      <w:highlight w:val="none"/>
                      <w:lang w:eastAsia="zh-CN"/>
                    </w:rPr>
                    <w:t>排</w:t>
                  </w:r>
                </w:p>
              </w:tc>
              <w:tc>
                <w:tcPr>
                  <w:tcW w:w="1372" w:type="dxa"/>
                  <w:tcBorders>
                    <w:left w:val="single" w:color="auto" w:sz="4" w:space="0"/>
                    <w:right w:val="single" w:color="auto" w:sz="4" w:space="0"/>
                  </w:tcBorders>
                  <w:vAlign w:val="center"/>
                </w:tcPr>
                <w:p>
                  <w:pPr>
                    <w:widowControl w:val="0"/>
                    <w:spacing w:after="0" w:line="336" w:lineRule="auto"/>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center"/>
                    <w:rPr>
                      <w:rFonts w:hint="eastAsia" w:ascii="Times New Roman" w:hAnsi="宋体" w:eastAsia="宋体" w:cs="Times New Roman"/>
                      <w:color w:val="auto"/>
                      <w:kern w:val="0"/>
                      <w:sz w:val="21"/>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生活污水</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hint="eastAsia" w:ascii="Times New Roman" w:hAnsi="宋体" w:eastAsia="宋体" w:cs="Times New Roman"/>
                      <w:color w:val="auto"/>
                      <w:kern w:val="2"/>
                      <w:sz w:val="21"/>
                      <w:szCs w:val="21"/>
                      <w:highlight w:val="none"/>
                    </w:rPr>
                  </w:pPr>
                  <w:r>
                    <w:rPr>
                      <w:rFonts w:hint="eastAsia" w:ascii="Times New Roman" w:hAnsi="宋体" w:eastAsia="宋体" w:cs="Times New Roman"/>
                      <w:color w:val="auto"/>
                      <w:kern w:val="2"/>
                      <w:sz w:val="21"/>
                      <w:szCs w:val="21"/>
                      <w:highlight w:val="none"/>
                    </w:rPr>
                    <w:t>经</w:t>
                  </w:r>
                  <w:r>
                    <w:rPr>
                      <w:rFonts w:ascii="Times New Roman" w:hAnsi="宋体" w:eastAsia="宋体" w:cs="Times New Roman"/>
                      <w:color w:val="auto"/>
                      <w:kern w:val="2"/>
                      <w:sz w:val="21"/>
                      <w:szCs w:val="21"/>
                      <w:highlight w:val="none"/>
                    </w:rPr>
                    <w:t>三级化粪池</w:t>
                  </w:r>
                  <w:r>
                    <w:rPr>
                      <w:rFonts w:hint="eastAsia" w:ascii="Times New Roman" w:hAnsi="宋体" w:eastAsia="宋体" w:cs="Times New Roman"/>
                      <w:color w:val="auto"/>
                      <w:kern w:val="2"/>
                      <w:sz w:val="21"/>
                      <w:szCs w:val="21"/>
                      <w:highlight w:val="none"/>
                    </w:rPr>
                    <w:t>预</w:t>
                  </w:r>
                  <w:r>
                    <w:rPr>
                      <w:rFonts w:ascii="Times New Roman" w:hAnsi="宋体" w:eastAsia="宋体" w:cs="Times New Roman"/>
                      <w:color w:val="auto"/>
                      <w:kern w:val="2"/>
                      <w:sz w:val="21"/>
                      <w:szCs w:val="21"/>
                      <w:highlight w:val="none"/>
                    </w:rPr>
                    <w:t>处理</w:t>
                  </w:r>
                  <w:r>
                    <w:rPr>
                      <w:rFonts w:hint="eastAsia" w:ascii="Times New Roman" w:hAnsi="宋体" w:eastAsia="宋体" w:cs="Times New Roman"/>
                      <w:color w:val="auto"/>
                      <w:kern w:val="2"/>
                      <w:sz w:val="21"/>
                      <w:szCs w:val="21"/>
                      <w:highlight w:val="none"/>
                    </w:rPr>
                    <w:t>后排入市政污水管网</w:t>
                  </w:r>
                </w:p>
              </w:tc>
              <w:tc>
                <w:tcPr>
                  <w:tcW w:w="1372" w:type="dxa"/>
                  <w:tcBorders>
                    <w:left w:val="single" w:color="auto" w:sz="4" w:space="0"/>
                    <w:bottom w:val="single" w:color="auto" w:sz="4" w:space="0"/>
                    <w:right w:val="single" w:color="auto" w:sz="4" w:space="0"/>
                  </w:tcBorders>
                  <w:vAlign w:val="center"/>
                </w:tcPr>
                <w:p>
                  <w:pPr>
                    <w:widowControl w:val="0"/>
                    <w:spacing w:after="0" w:line="336" w:lineRule="auto"/>
                    <w:jc w:val="center"/>
                    <w:rPr>
                      <w:rFonts w:hint="eastAsia"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457" w:type="dxa"/>
                  <w:vMerge w:val="restart"/>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w:t>
                  </w:r>
                </w:p>
              </w:tc>
              <w:tc>
                <w:tcPr>
                  <w:tcW w:w="1257" w:type="dxa"/>
                  <w:vMerge w:val="restart"/>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宋体" w:eastAsia="宋体" w:cs="Times New Roman"/>
                      <w:color w:val="auto"/>
                      <w:kern w:val="0"/>
                      <w:sz w:val="21"/>
                      <w:szCs w:val="21"/>
                      <w:highlight w:val="none"/>
                    </w:rPr>
                  </w:pPr>
                  <w:r>
                    <w:rPr>
                      <w:rFonts w:hint="eastAsia" w:ascii="Times New Roman" w:hAnsi="宋体" w:eastAsia="宋体" w:cs="Times New Roman"/>
                      <w:color w:val="auto"/>
                      <w:kern w:val="0"/>
                      <w:sz w:val="21"/>
                      <w:szCs w:val="21"/>
                      <w:highlight w:val="none"/>
                    </w:rPr>
                    <w:t>固体废物</w:t>
                  </w:r>
                </w:p>
              </w:tc>
              <w:tc>
                <w:tcPr>
                  <w:tcW w:w="155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生活垃圾</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环卫部门处理</w:t>
                  </w:r>
                </w:p>
              </w:tc>
              <w:tc>
                <w:tcPr>
                  <w:tcW w:w="1372"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both"/>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both"/>
                    <w:rPr>
                      <w:rFonts w:ascii="Times New Roman" w:hAnsi="宋体" w:eastAsia="宋体" w:cs="Times New Roman"/>
                      <w:color w:val="auto"/>
                      <w:kern w:val="0"/>
                      <w:sz w:val="21"/>
                      <w:szCs w:val="21"/>
                      <w:highlight w:val="none"/>
                    </w:rPr>
                  </w:pPr>
                </w:p>
              </w:tc>
              <w:tc>
                <w:tcPr>
                  <w:tcW w:w="1556" w:type="dxa"/>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一般工业固废</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交专业公司回收处理</w:t>
                  </w:r>
                </w:p>
              </w:tc>
              <w:tc>
                <w:tcPr>
                  <w:tcW w:w="1372"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457" w:type="dxa"/>
                  <w:vMerge w:val="continue"/>
                  <w:tcBorders>
                    <w:left w:val="single" w:color="auto" w:sz="4" w:space="0"/>
                    <w:right w:val="single" w:color="auto" w:sz="4" w:space="0"/>
                  </w:tcBorders>
                  <w:vAlign w:val="center"/>
                </w:tcPr>
                <w:p>
                  <w:pPr>
                    <w:widowControl w:val="0"/>
                    <w:spacing w:after="0" w:line="336" w:lineRule="auto"/>
                    <w:jc w:val="both"/>
                    <w:rPr>
                      <w:rFonts w:ascii="Times New Roman" w:hAnsi="Times New Roman" w:eastAsia="宋体" w:cs="Times New Roman"/>
                      <w:color w:val="auto"/>
                      <w:kern w:val="0"/>
                      <w:sz w:val="21"/>
                      <w:szCs w:val="21"/>
                      <w:highlight w:val="none"/>
                    </w:rPr>
                  </w:pPr>
                </w:p>
              </w:tc>
              <w:tc>
                <w:tcPr>
                  <w:tcW w:w="1257" w:type="dxa"/>
                  <w:vMerge w:val="continue"/>
                  <w:tcBorders>
                    <w:left w:val="single" w:color="auto" w:sz="4" w:space="0"/>
                    <w:right w:val="single" w:color="auto" w:sz="4" w:space="0"/>
                  </w:tcBorders>
                  <w:vAlign w:val="center"/>
                </w:tcPr>
                <w:p>
                  <w:pPr>
                    <w:widowControl w:val="0"/>
                    <w:spacing w:after="0" w:line="336" w:lineRule="auto"/>
                    <w:jc w:val="both"/>
                    <w:rPr>
                      <w:rFonts w:ascii="Times New Roman" w:hAnsi="宋体" w:eastAsia="宋体" w:cs="Times New Roman"/>
                      <w:color w:val="auto"/>
                      <w:kern w:val="0"/>
                      <w:sz w:val="21"/>
                      <w:szCs w:val="21"/>
                      <w:highlight w:val="none"/>
                    </w:rPr>
                  </w:pPr>
                </w:p>
              </w:tc>
              <w:tc>
                <w:tcPr>
                  <w:tcW w:w="1556" w:type="dxa"/>
                  <w:tcBorders>
                    <w:top w:val="single" w:color="auto" w:sz="4" w:space="0"/>
                    <w:left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危险废物</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交给有危险废物处置资质单位处置</w:t>
                  </w:r>
                </w:p>
              </w:tc>
              <w:tc>
                <w:tcPr>
                  <w:tcW w:w="1372"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2</w:t>
                  </w:r>
                  <w:r>
                    <w:rPr>
                      <w:rFonts w:hint="eastAsia" w:ascii="Times New Roman" w:hAnsi="Times New Roman" w:eastAsia="宋体" w:cs="Times New Roman"/>
                      <w:color w:val="auto"/>
                      <w:kern w:val="0"/>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w:t>
                  </w:r>
                </w:p>
              </w:tc>
              <w:tc>
                <w:tcPr>
                  <w:tcW w:w="2813" w:type="dxa"/>
                  <w:gridSpan w:val="2"/>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噪声</w:t>
                  </w:r>
                </w:p>
              </w:tc>
              <w:tc>
                <w:tcPr>
                  <w:tcW w:w="462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稳固设备，安装消声器，设置隔音门窗，设置单独隔声间，定期对各种机械设备进行维护与保养，适时添加润滑油</w:t>
                  </w:r>
                </w:p>
              </w:tc>
              <w:tc>
                <w:tcPr>
                  <w:tcW w:w="1372"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widowControl w:val="0"/>
                    <w:spacing w:after="0" w:line="336"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w:t>
                  </w:r>
                </w:p>
              </w:tc>
              <w:tc>
                <w:tcPr>
                  <w:tcW w:w="7439" w:type="dxa"/>
                  <w:gridSpan w:val="3"/>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合计</w:t>
                  </w:r>
                </w:p>
              </w:tc>
              <w:tc>
                <w:tcPr>
                  <w:tcW w:w="1372"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30.0</w:t>
                  </w:r>
                </w:p>
              </w:tc>
            </w:tr>
          </w:tbl>
          <w:p>
            <w:pPr>
              <w:widowControl w:val="0"/>
              <w:adjustRightInd w:val="0"/>
              <w:snapToGrid w:val="0"/>
              <w:spacing w:after="0" w:line="360" w:lineRule="auto"/>
              <w:ind w:firstLine="482" w:firstLineChars="200"/>
              <w:jc w:val="both"/>
              <w:rPr>
                <w:rFonts w:ascii="Times New Roman" w:hAnsi="Times New Roman" w:eastAsia="宋体" w:cs="Times New Roman"/>
                <w:color w:val="auto"/>
                <w:kern w:val="2"/>
                <w:sz w:val="21"/>
                <w:szCs w:val="24"/>
                <w:highlight w:val="none"/>
              </w:rPr>
            </w:pPr>
            <w:r>
              <w:rPr>
                <w:rFonts w:hint="eastAsia" w:ascii="宋体" w:hAnsi="宋体" w:eastAsia="宋体" w:cs="Times New Roman"/>
                <w:b/>
                <w:color w:val="auto"/>
                <w:kern w:val="2"/>
                <w:sz w:val="24"/>
                <w:szCs w:val="24"/>
                <w:highlight w:val="none"/>
              </w:rPr>
              <w:t>九、项目 “三同时”环境保护验收情况见下表：</w:t>
            </w:r>
          </w:p>
          <w:p>
            <w:pPr>
              <w:widowControl/>
              <w:numPr>
                <w:ilvl w:val="0"/>
                <w:numId w:val="2"/>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建设项目“三同时”环境保护验收一览表</w:t>
            </w:r>
          </w:p>
          <w:tbl>
            <w:tblPr>
              <w:tblStyle w:val="43"/>
              <w:tblW w:w="941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57" w:type="dxa"/>
                <w:bottom w:w="57" w:type="dxa"/>
                <w:right w:w="57" w:type="dxa"/>
              </w:tblCellMar>
            </w:tblPr>
            <w:tblGrid>
              <w:gridCol w:w="543"/>
              <w:gridCol w:w="1210"/>
              <w:gridCol w:w="2798"/>
              <w:gridCol w:w="2558"/>
              <w:gridCol w:w="23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53" w:hRule="atLeast"/>
                <w:jc w:val="center"/>
              </w:trPr>
              <w:tc>
                <w:tcPr>
                  <w:tcW w:w="543" w:type="dxa"/>
                  <w:tcBorders>
                    <w:top w:val="single" w:color="auto" w:sz="4" w:space="0"/>
                    <w:left w:val="single" w:color="auto" w:sz="4" w:space="0"/>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项目</w:t>
                  </w:r>
                </w:p>
              </w:tc>
              <w:tc>
                <w:tcPr>
                  <w:tcW w:w="1210" w:type="dxa"/>
                  <w:tcBorders>
                    <w:top w:val="single" w:color="auto" w:sz="4" w:space="0"/>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污染源</w:t>
                  </w:r>
                </w:p>
              </w:tc>
              <w:tc>
                <w:tcPr>
                  <w:tcW w:w="2798" w:type="dxa"/>
                  <w:tcBorders>
                    <w:top w:val="single" w:color="auto" w:sz="4" w:space="0"/>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防治措施</w:t>
                  </w:r>
                </w:p>
              </w:tc>
              <w:tc>
                <w:tcPr>
                  <w:tcW w:w="2558" w:type="dxa"/>
                  <w:tcBorders>
                    <w:top w:val="single" w:color="auto" w:sz="4" w:space="0"/>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规模</w:t>
                  </w:r>
                </w:p>
              </w:tc>
              <w:tc>
                <w:tcPr>
                  <w:tcW w:w="2302" w:type="dxa"/>
                  <w:tcBorders>
                    <w:top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b/>
                      <w:color w:val="auto"/>
                      <w:kern w:val="2"/>
                      <w:sz w:val="21"/>
                      <w:szCs w:val="21"/>
                      <w:highlight w:val="none"/>
                    </w:rPr>
                  </w:pPr>
                  <w:r>
                    <w:rPr>
                      <w:rFonts w:ascii="Times New Roman" w:hAnsi="Times New Roman" w:eastAsia="宋体" w:cs="Times New Roman"/>
                      <w:b/>
                      <w:color w:val="auto"/>
                      <w:kern w:val="2"/>
                      <w:sz w:val="21"/>
                      <w:szCs w:val="21"/>
                      <w:highlight w:val="none"/>
                    </w:rPr>
                    <w:t>验收要求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741" w:hRule="atLeast"/>
                <w:jc w:val="center"/>
              </w:trPr>
              <w:tc>
                <w:tcPr>
                  <w:tcW w:w="543" w:type="dxa"/>
                  <w:vMerge w:val="restart"/>
                  <w:tcBorders>
                    <w:left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废气</w:t>
                  </w:r>
                </w:p>
              </w:tc>
              <w:tc>
                <w:tcPr>
                  <w:tcW w:w="1210" w:type="dxa"/>
                  <w:tcBorders>
                    <w:bottom w:val="single" w:color="auto" w:sz="4" w:space="0"/>
                  </w:tcBorders>
                  <w:vAlign w:val="center"/>
                </w:tcPr>
                <w:p>
                  <w:pPr>
                    <w:widowControl w:val="0"/>
                    <w:autoSpaceDE w:val="0"/>
                    <w:autoSpaceDN w:val="0"/>
                    <w:adjustRightInd w:val="0"/>
                    <w:jc w:val="center"/>
                    <w:textAlignment w:val="baseline"/>
                    <w:rPr>
                      <w:rFonts w:ascii="Times New Roman" w:hAnsi="Times New Roman" w:eastAsia="宋体" w:cs="Times New Roman"/>
                      <w:color w:val="auto"/>
                      <w:kern w:val="24"/>
                      <w:sz w:val="21"/>
                      <w:szCs w:val="21"/>
                      <w:highlight w:val="none"/>
                      <w:lang w:val="en-US" w:eastAsia="zh-CN" w:bidi="ar-SA"/>
                    </w:rPr>
                  </w:pPr>
                  <w:r>
                    <w:rPr>
                      <w:rFonts w:hint="eastAsia" w:ascii="Times New Roman" w:hAnsi="Times New Roman" w:eastAsia="宋体" w:cs="Times New Roman"/>
                      <w:color w:val="auto"/>
                      <w:kern w:val="24"/>
                      <w:sz w:val="21"/>
                      <w:szCs w:val="21"/>
                      <w:highlight w:val="none"/>
                      <w:lang w:val="en-US" w:eastAsia="zh-CN" w:bidi="ar-SA"/>
                    </w:rPr>
                    <w:t>开料、机加工工序</w:t>
                  </w:r>
                </w:p>
              </w:tc>
              <w:tc>
                <w:tcPr>
                  <w:tcW w:w="2798" w:type="dxa"/>
                  <w:tcBorders>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eastAsia="zh-CN"/>
                    </w:rPr>
                    <w:t>加强机械通风措施</w:t>
                  </w:r>
                </w:p>
              </w:tc>
              <w:tc>
                <w:tcPr>
                  <w:tcW w:w="2558" w:type="dxa"/>
                  <w:tcBorders>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lang w:eastAsia="zh-CN"/>
                    </w:rPr>
                    <w:t>粉尘</w:t>
                  </w:r>
                  <w:r>
                    <w:rPr>
                      <w:rFonts w:hint="eastAsia" w:ascii="Times New Roman" w:hAnsi="Times New Roman" w:eastAsia="宋体" w:cs="Times New Roman"/>
                      <w:color w:val="auto"/>
                      <w:kern w:val="2"/>
                      <w:sz w:val="21"/>
                      <w:szCs w:val="24"/>
                      <w:highlight w:val="none"/>
                    </w:rPr>
                    <w:t>无组织排放，0.025t/a</w:t>
                  </w:r>
                </w:p>
              </w:tc>
              <w:tc>
                <w:tcPr>
                  <w:tcW w:w="2302" w:type="dxa"/>
                  <w:tcBorders>
                    <w:bottom w:val="single" w:color="auto" w:sz="4" w:space="0"/>
                    <w:right w:val="single" w:color="auto" w:sz="4" w:space="0"/>
                  </w:tcBorders>
                  <w:vAlign w:val="center"/>
                </w:tcPr>
                <w:p>
                  <w:pPr>
                    <w:widowControl w:val="0"/>
                    <w:spacing w:after="0" w:line="216" w:lineRule="auto"/>
                    <w:jc w:val="center"/>
                    <w:rPr>
                      <w:rFonts w:ascii="Times New Roman" w:hAnsi="Times New Roman" w:eastAsia="宋体" w:cs="Times New Roman"/>
                      <w:color w:val="FF0000"/>
                      <w:kern w:val="2"/>
                      <w:sz w:val="21"/>
                      <w:szCs w:val="21"/>
                      <w:highlight w:val="none"/>
                    </w:rPr>
                  </w:pPr>
                  <w:r>
                    <w:rPr>
                      <w:rFonts w:ascii="Times New Roman" w:hAnsi="Times New Roman" w:eastAsia="宋体" w:cs="Times New Roman"/>
                      <w:color w:val="auto"/>
                      <w:kern w:val="2"/>
                      <w:sz w:val="21"/>
                      <w:szCs w:val="21"/>
                      <w:highlight w:val="none"/>
                    </w:rPr>
                    <w:t>达到广东省地方标准《大气污染物排放限值》（DB44/27-2001）中第二时段无组织排放监控浓度限值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675" w:hRule="atLeast"/>
                <w:jc w:val="center"/>
              </w:trPr>
              <w:tc>
                <w:tcPr>
                  <w:tcW w:w="543" w:type="dxa"/>
                  <w:vMerge w:val="continue"/>
                  <w:tcBorders>
                    <w:left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p>
              </w:tc>
              <w:tc>
                <w:tcPr>
                  <w:tcW w:w="1210" w:type="dxa"/>
                  <w:tcBorders>
                    <w:top w:val="single" w:color="auto" w:sz="4" w:space="0"/>
                    <w:bottom w:val="single" w:color="auto" w:sz="4" w:space="0"/>
                  </w:tcBorders>
                  <w:vAlign w:val="center"/>
                </w:tcPr>
                <w:p>
                  <w:pPr>
                    <w:widowControl w:val="0"/>
                    <w:autoSpaceDE w:val="0"/>
                    <w:autoSpaceDN w:val="0"/>
                    <w:adjustRightIn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红冲</w:t>
                  </w:r>
                  <w:r>
                    <w:rPr>
                      <w:rFonts w:ascii="Times New Roman" w:hAnsi="Times New Roman" w:eastAsia="宋体" w:cs="Times New Roman"/>
                      <w:color w:val="auto"/>
                      <w:kern w:val="2"/>
                      <w:sz w:val="21"/>
                      <w:szCs w:val="21"/>
                      <w:highlight w:val="none"/>
                      <w:lang w:val="en-US" w:eastAsia="zh-CN" w:bidi="ar-SA"/>
                    </w:rPr>
                    <w:t>工序</w:t>
                  </w:r>
                </w:p>
              </w:tc>
              <w:tc>
                <w:tcPr>
                  <w:tcW w:w="2798" w:type="dxa"/>
                  <w:tcBorders>
                    <w:top w:val="single" w:color="auto" w:sz="4" w:space="0"/>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FF0000"/>
                      <w:kern w:val="2"/>
                      <w:sz w:val="21"/>
                      <w:szCs w:val="21"/>
                      <w:highlight w:val="none"/>
                    </w:rPr>
                  </w:pPr>
                  <w:r>
                    <w:rPr>
                      <w:rFonts w:hint="eastAsia" w:ascii="Times New Roman" w:hAnsi="Times New Roman" w:eastAsia="宋体" w:cs="Times New Roman"/>
                      <w:color w:val="auto"/>
                      <w:kern w:val="2"/>
                      <w:sz w:val="21"/>
                      <w:szCs w:val="21"/>
                      <w:highlight w:val="none"/>
                    </w:rPr>
                    <w:t>设置集气装置将废气进行收集后引至</w:t>
                  </w:r>
                  <w:r>
                    <w:rPr>
                      <w:rFonts w:hint="eastAsia" w:ascii="Times New Roman" w:hAnsi="宋体" w:eastAsia="宋体" w:cs="Times New Roman"/>
                      <w:color w:val="auto"/>
                      <w:kern w:val="2"/>
                      <w:sz w:val="21"/>
                      <w:szCs w:val="21"/>
                      <w:highlight w:val="none"/>
                      <w:lang w:eastAsia="zh-CN"/>
                    </w:rPr>
                    <w:t>水喷淋</w:t>
                  </w:r>
                  <w:r>
                    <w:rPr>
                      <w:rFonts w:hint="eastAsia" w:ascii="Times New Roman" w:hAnsi="宋体" w:eastAsia="宋体" w:cs="Times New Roman"/>
                      <w:color w:val="auto"/>
                      <w:kern w:val="2"/>
                      <w:sz w:val="21"/>
                      <w:szCs w:val="21"/>
                      <w:highlight w:val="none"/>
                      <w:lang w:val="en-US" w:eastAsia="zh-CN"/>
                    </w:rPr>
                    <w:t>+活性炭吸附装置</w:t>
                  </w:r>
                  <w:r>
                    <w:rPr>
                      <w:rFonts w:ascii="Times New Roman" w:hAnsi="Times New Roman" w:eastAsia="宋体" w:cs="Times New Roman"/>
                      <w:color w:val="auto"/>
                      <w:kern w:val="2"/>
                      <w:sz w:val="21"/>
                      <w:szCs w:val="21"/>
                      <w:highlight w:val="none"/>
                    </w:rPr>
                    <w:t>进行处理</w:t>
                  </w:r>
                  <w:r>
                    <w:rPr>
                      <w:rFonts w:hint="eastAsia" w:ascii="Times New Roman" w:hAnsi="Times New Roman" w:eastAsia="宋体" w:cs="Times New Roman"/>
                      <w:color w:val="auto"/>
                      <w:kern w:val="2"/>
                      <w:sz w:val="21"/>
                      <w:szCs w:val="21"/>
                      <w:highlight w:val="none"/>
                    </w:rPr>
                    <w:t>后高空排放</w:t>
                  </w:r>
                </w:p>
              </w:tc>
              <w:tc>
                <w:tcPr>
                  <w:tcW w:w="2558" w:type="dxa"/>
                  <w:tcBorders>
                    <w:top w:val="single" w:color="auto" w:sz="4" w:space="0"/>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非甲烷总烃有组织：</w:t>
                  </w:r>
                  <w:r>
                    <w:rPr>
                      <w:rFonts w:hint="eastAsia" w:ascii="Times New Roman" w:hAnsi="Times New Roman" w:eastAsia="宋体" w:cs="Times New Roman"/>
                      <w:color w:val="auto"/>
                      <w:kern w:val="2"/>
                      <w:sz w:val="21"/>
                      <w:szCs w:val="24"/>
                      <w:highlight w:val="none"/>
                      <w:lang w:val="en-US" w:eastAsia="zh-CN"/>
                    </w:rPr>
                    <w:t>0.702</w:t>
                  </w:r>
                  <w:r>
                    <w:rPr>
                      <w:rFonts w:hint="eastAsia" w:ascii="Times New Roman" w:hAnsi="Times New Roman" w:eastAsia="宋体" w:cs="Times New Roman"/>
                      <w:color w:val="auto"/>
                      <w:kern w:val="2"/>
                      <w:sz w:val="21"/>
                      <w:szCs w:val="24"/>
                      <w:highlight w:val="none"/>
                    </w:rPr>
                    <w:t>mg/m</w:t>
                  </w:r>
                  <w:r>
                    <w:rPr>
                      <w:rFonts w:hint="eastAsia" w:ascii="Times New Roman" w:hAnsi="Times New Roman" w:eastAsia="宋体" w:cs="Times New Roman"/>
                      <w:color w:val="auto"/>
                      <w:kern w:val="2"/>
                      <w:sz w:val="21"/>
                      <w:szCs w:val="24"/>
                      <w:highlight w:val="none"/>
                      <w:vertAlign w:val="superscript"/>
                    </w:rPr>
                    <w:t>3</w:t>
                  </w:r>
                  <w:r>
                    <w:rPr>
                      <w:rFonts w:hint="eastAsia" w:ascii="Times New Roman" w:hAnsi="Times New Roman" w:eastAsia="宋体" w:cs="Times New Roman"/>
                      <w:color w:val="auto"/>
                      <w:kern w:val="2"/>
                      <w:sz w:val="21"/>
                      <w:szCs w:val="24"/>
                      <w:highlight w:val="none"/>
                      <w:lang w:val="en-US" w:eastAsia="zh-CN"/>
                    </w:rPr>
                    <w:t>、0.032</w:t>
                  </w:r>
                  <w:r>
                    <w:rPr>
                      <w:rFonts w:hint="eastAsia" w:ascii="Times New Roman" w:hAnsi="Times New Roman" w:eastAsia="宋体" w:cs="Times New Roman"/>
                      <w:color w:val="auto"/>
                      <w:kern w:val="2"/>
                      <w:sz w:val="21"/>
                      <w:szCs w:val="24"/>
                      <w:highlight w:val="none"/>
                    </w:rPr>
                    <w:t>t</w:t>
                  </w:r>
                  <w:r>
                    <w:rPr>
                      <w:rFonts w:ascii="Times New Roman" w:hAnsi="Times New Roman" w:eastAsia="宋体" w:cs="Times New Roman"/>
                      <w:color w:val="auto"/>
                      <w:kern w:val="2"/>
                      <w:sz w:val="21"/>
                      <w:szCs w:val="24"/>
                      <w:highlight w:val="none"/>
                    </w:rPr>
                    <w:t>/a</w:t>
                  </w:r>
                </w:p>
                <w:p>
                  <w:pPr>
                    <w:widowControl w:val="0"/>
                    <w:spacing w:after="0" w:line="240" w:lineRule="auto"/>
                    <w:jc w:val="center"/>
                    <w:rPr>
                      <w:rFonts w:hint="eastAsia"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无组织：</w:t>
                  </w:r>
                  <w:r>
                    <w:rPr>
                      <w:rFonts w:hint="eastAsia" w:ascii="Times New Roman" w:hAnsi="Times New Roman" w:eastAsia="宋体" w:cs="Times New Roman"/>
                      <w:color w:val="auto"/>
                      <w:kern w:val="2"/>
                      <w:sz w:val="21"/>
                      <w:szCs w:val="24"/>
                      <w:highlight w:val="none"/>
                      <w:lang w:val="en-US" w:eastAsia="zh-CN"/>
                    </w:rPr>
                    <w:t>0.04</w:t>
                  </w:r>
                  <w:r>
                    <w:rPr>
                      <w:rFonts w:hint="eastAsia" w:ascii="Times New Roman" w:hAnsi="Times New Roman" w:eastAsia="宋体" w:cs="Times New Roman"/>
                      <w:color w:val="auto"/>
                      <w:kern w:val="2"/>
                      <w:sz w:val="21"/>
                      <w:szCs w:val="24"/>
                      <w:highlight w:val="none"/>
                    </w:rPr>
                    <w:t>t</w:t>
                  </w:r>
                  <w:r>
                    <w:rPr>
                      <w:rFonts w:ascii="Times New Roman" w:hAnsi="Times New Roman" w:eastAsia="宋体" w:cs="Times New Roman"/>
                      <w:color w:val="auto"/>
                      <w:kern w:val="2"/>
                      <w:sz w:val="21"/>
                      <w:szCs w:val="24"/>
                      <w:highlight w:val="none"/>
                    </w:rPr>
                    <w:t>/a</w:t>
                  </w:r>
                </w:p>
              </w:tc>
              <w:tc>
                <w:tcPr>
                  <w:tcW w:w="2302" w:type="dxa"/>
                  <w:vMerge w:val="restart"/>
                  <w:tcBorders>
                    <w:top w:val="single" w:color="auto" w:sz="4" w:space="0"/>
                    <w:right w:val="single" w:color="auto" w:sz="4" w:space="0"/>
                  </w:tcBorders>
                  <w:vAlign w:val="center"/>
                </w:tcPr>
                <w:p>
                  <w:pPr>
                    <w:widowControl w:val="0"/>
                    <w:spacing w:after="0" w:line="216"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达到广东省地方标准《大气污染物排放限值》（DB44/27-2001）中第二时段二级标准和第二时段无组织排放监控浓度限值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156" w:hRule="atLeast"/>
                <w:jc w:val="center"/>
              </w:trPr>
              <w:tc>
                <w:tcPr>
                  <w:tcW w:w="543" w:type="dxa"/>
                  <w:vMerge w:val="continue"/>
                  <w:tcBorders>
                    <w:left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p>
              </w:tc>
              <w:tc>
                <w:tcPr>
                  <w:tcW w:w="1210" w:type="dxa"/>
                  <w:tcBorders>
                    <w:bottom w:val="single" w:color="auto" w:sz="4" w:space="0"/>
                  </w:tcBorders>
                  <w:vAlign w:val="center"/>
                </w:tcPr>
                <w:p>
                  <w:pPr>
                    <w:widowControl/>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4"/>
                      <w:sz w:val="21"/>
                      <w:szCs w:val="21"/>
                      <w:highlight w:val="none"/>
                    </w:rPr>
                    <w:t>燃料废气</w:t>
                  </w:r>
                </w:p>
              </w:tc>
              <w:tc>
                <w:tcPr>
                  <w:tcW w:w="2798" w:type="dxa"/>
                  <w:tcBorders>
                    <w:bottom w:val="single" w:color="auto" w:sz="4" w:space="0"/>
                  </w:tcBorders>
                  <w:vAlign w:val="center"/>
                </w:tcPr>
                <w:p>
                  <w:pPr>
                    <w:widowControl w:val="0"/>
                    <w:snapToGrid w:val="0"/>
                    <w:spacing w:after="0" w:line="240" w:lineRule="auto"/>
                    <w:jc w:val="center"/>
                    <w:rPr>
                      <w:rFonts w:ascii="Times New Roman" w:hAnsi="Times New Roman" w:eastAsia="宋体" w:cs="Times New Roman"/>
                      <w:color w:val="FF0000"/>
                      <w:kern w:val="2"/>
                      <w:sz w:val="21"/>
                      <w:szCs w:val="21"/>
                      <w:highlight w:val="none"/>
                    </w:rPr>
                  </w:pPr>
                  <w:r>
                    <w:rPr>
                      <w:rFonts w:hint="eastAsia" w:ascii="宋体" w:hAnsi="宋体" w:eastAsia="宋体" w:cs="Times New Roman"/>
                      <w:color w:val="auto"/>
                      <w:kern w:val="2"/>
                      <w:sz w:val="21"/>
                      <w:szCs w:val="21"/>
                      <w:highlight w:val="none"/>
                    </w:rPr>
                    <w:t>设置</w:t>
                  </w:r>
                  <w:r>
                    <w:rPr>
                      <w:rFonts w:ascii="Times New Roman" w:hAnsi="宋体" w:eastAsia="宋体" w:cs="Times New Roman"/>
                      <w:color w:val="auto"/>
                      <w:kern w:val="2"/>
                      <w:sz w:val="21"/>
                      <w:szCs w:val="21"/>
                      <w:highlight w:val="none"/>
                    </w:rPr>
                    <w:t>集气装置收集后引至楼顶高空排放</w:t>
                  </w:r>
                </w:p>
              </w:tc>
              <w:tc>
                <w:tcPr>
                  <w:tcW w:w="2558" w:type="dxa"/>
                  <w:tcBorders>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SO</w:t>
                  </w:r>
                  <w:r>
                    <w:rPr>
                      <w:rFonts w:hint="eastAsia" w:ascii="Times New Roman" w:hAnsi="Times New Roman" w:eastAsia="宋体" w:cs="Times New Roman"/>
                      <w:color w:val="auto"/>
                      <w:kern w:val="2"/>
                      <w:sz w:val="21"/>
                      <w:szCs w:val="24"/>
                      <w:highlight w:val="none"/>
                      <w:vertAlign w:val="subscript"/>
                    </w:rPr>
                    <w:t>2</w:t>
                  </w:r>
                  <w:r>
                    <w:rPr>
                      <w:rFonts w:hint="eastAsia" w:ascii="Times New Roman" w:hAnsi="Times New Roman" w:eastAsia="宋体" w:cs="Times New Roman"/>
                      <w:color w:val="auto"/>
                      <w:kern w:val="2"/>
                      <w:sz w:val="21"/>
                      <w:szCs w:val="24"/>
                      <w:highlight w:val="none"/>
                    </w:rPr>
                    <w:t>有组织：</w:t>
                  </w:r>
                  <w:r>
                    <w:rPr>
                      <w:rFonts w:hint="eastAsia" w:ascii="Times New Roman" w:hAnsi="Times New Roman" w:eastAsia="宋体" w:cs="Times New Roman"/>
                      <w:color w:val="auto"/>
                      <w:kern w:val="2"/>
                      <w:sz w:val="21"/>
                      <w:szCs w:val="24"/>
                      <w:highlight w:val="none"/>
                      <w:lang w:val="en-US" w:eastAsia="zh-CN"/>
                    </w:rPr>
                    <w:t>29.356</w:t>
                  </w:r>
                  <w:r>
                    <w:rPr>
                      <w:rFonts w:hint="eastAsia" w:ascii="Times New Roman" w:hAnsi="Times New Roman" w:eastAsia="宋体" w:cs="Times New Roman"/>
                      <w:color w:val="auto"/>
                      <w:kern w:val="2"/>
                      <w:sz w:val="21"/>
                      <w:szCs w:val="24"/>
                      <w:highlight w:val="none"/>
                    </w:rPr>
                    <w:t>mg/m</w:t>
                  </w:r>
                  <w:r>
                    <w:rPr>
                      <w:rFonts w:hint="eastAsia" w:ascii="Times New Roman" w:hAnsi="Times New Roman" w:eastAsia="宋体" w:cs="Times New Roman"/>
                      <w:color w:val="auto"/>
                      <w:kern w:val="2"/>
                      <w:sz w:val="21"/>
                      <w:szCs w:val="24"/>
                      <w:highlight w:val="none"/>
                      <w:vertAlign w:val="superscript"/>
                    </w:rPr>
                    <w:t>3</w:t>
                  </w:r>
                  <w:r>
                    <w:rPr>
                      <w:rFonts w:hint="eastAsia" w:ascii="Times New Roman" w:hAnsi="Times New Roman" w:eastAsia="宋体" w:cs="Times New Roman"/>
                      <w:color w:val="auto"/>
                      <w:kern w:val="2"/>
                      <w:sz w:val="21"/>
                      <w:szCs w:val="24"/>
                      <w:highlight w:val="none"/>
                      <w:lang w:val="en-US" w:eastAsia="zh-CN"/>
                    </w:rPr>
                    <w:t>、</w:t>
                  </w:r>
                </w:p>
                <w:p>
                  <w:pPr>
                    <w:widowControl w:val="0"/>
                    <w:spacing w:after="0" w:line="240" w:lineRule="auto"/>
                    <w:jc w:val="center"/>
                    <w:rPr>
                      <w:rFonts w:hint="eastAsia"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0.020t/a；NO</w:t>
                  </w:r>
                  <w:r>
                    <w:rPr>
                      <w:rFonts w:hint="eastAsia" w:ascii="Times New Roman" w:hAnsi="Times New Roman" w:eastAsia="宋体" w:cs="Times New Roman"/>
                      <w:color w:val="auto"/>
                      <w:kern w:val="2"/>
                      <w:sz w:val="21"/>
                      <w:szCs w:val="24"/>
                      <w:highlight w:val="none"/>
                      <w:vertAlign w:val="subscript"/>
                      <w:lang w:val="en-US" w:eastAsia="zh-CN"/>
                    </w:rPr>
                    <w:t>X</w:t>
                  </w:r>
                  <w:r>
                    <w:rPr>
                      <w:rFonts w:hint="eastAsia" w:ascii="Times New Roman" w:hAnsi="Times New Roman" w:eastAsia="宋体" w:cs="Times New Roman"/>
                      <w:color w:val="auto"/>
                      <w:kern w:val="2"/>
                      <w:sz w:val="21"/>
                      <w:szCs w:val="24"/>
                      <w:highlight w:val="none"/>
                      <w:lang w:val="en-US" w:eastAsia="zh-CN"/>
                    </w:rPr>
                    <w:t>有组织：46.235mg/m</w:t>
                  </w:r>
                  <w:r>
                    <w:rPr>
                      <w:rFonts w:hint="eastAsia" w:ascii="Times New Roman" w:hAnsi="Times New Roman" w:eastAsia="宋体" w:cs="Times New Roman"/>
                      <w:color w:val="auto"/>
                      <w:kern w:val="2"/>
                      <w:sz w:val="21"/>
                      <w:szCs w:val="24"/>
                      <w:highlight w:val="none"/>
                      <w:vertAlign w:val="superscript"/>
                      <w:lang w:val="en-US" w:eastAsia="zh-CN"/>
                    </w:rPr>
                    <w:t>3</w:t>
                  </w:r>
                  <w:r>
                    <w:rPr>
                      <w:rFonts w:hint="eastAsia" w:ascii="Times New Roman" w:hAnsi="Times New Roman" w:eastAsia="宋体" w:cs="Times New Roman"/>
                      <w:color w:val="auto"/>
                      <w:kern w:val="2"/>
                      <w:sz w:val="21"/>
                      <w:szCs w:val="24"/>
                      <w:highlight w:val="none"/>
                      <w:lang w:val="en-US" w:eastAsia="zh-CN"/>
                    </w:rPr>
                    <w:t>、0.032t/a；</w:t>
                  </w:r>
                </w:p>
                <w:p>
                  <w:pPr>
                    <w:widowControl w:val="0"/>
                    <w:spacing w:after="0" w:line="240" w:lineRule="auto"/>
                    <w:jc w:val="center"/>
                    <w:rPr>
                      <w:rFonts w:hint="eastAsia"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烟尘有组织：</w:t>
                  </w:r>
                  <w:r>
                    <w:rPr>
                      <w:rFonts w:hint="eastAsia" w:ascii="Times New Roman" w:hAnsi="Times New Roman" w:eastAsia="宋体" w:cs="Times New Roman"/>
                      <w:color w:val="auto"/>
                      <w:kern w:val="2"/>
                      <w:sz w:val="21"/>
                      <w:szCs w:val="24"/>
                      <w:highlight w:val="none"/>
                      <w:lang w:val="en-US" w:eastAsia="zh-CN"/>
                    </w:rPr>
                    <w:t>17.613</w:t>
                  </w:r>
                  <w:r>
                    <w:rPr>
                      <w:rFonts w:hint="eastAsia" w:ascii="Times New Roman" w:hAnsi="Times New Roman" w:eastAsia="宋体" w:cs="Times New Roman"/>
                      <w:color w:val="auto"/>
                      <w:kern w:val="2"/>
                      <w:sz w:val="21"/>
                      <w:szCs w:val="24"/>
                      <w:highlight w:val="none"/>
                    </w:rPr>
                    <w:t>mg/m</w:t>
                  </w:r>
                  <w:r>
                    <w:rPr>
                      <w:rFonts w:hint="eastAsia" w:ascii="Times New Roman" w:hAnsi="Times New Roman" w:eastAsia="宋体" w:cs="Times New Roman"/>
                      <w:color w:val="auto"/>
                      <w:kern w:val="2"/>
                      <w:sz w:val="21"/>
                      <w:szCs w:val="24"/>
                      <w:highlight w:val="none"/>
                      <w:vertAlign w:val="superscript"/>
                    </w:rPr>
                    <w:t>3</w:t>
                  </w:r>
                  <w:r>
                    <w:rPr>
                      <w:rFonts w:hint="eastAsia" w:ascii="Times New Roman" w:hAnsi="Times New Roman" w:eastAsia="宋体" w:cs="Times New Roman"/>
                      <w:color w:val="auto"/>
                      <w:kern w:val="2"/>
                      <w:sz w:val="21"/>
                      <w:szCs w:val="24"/>
                      <w:highlight w:val="none"/>
                      <w:lang w:val="en-US" w:eastAsia="zh-CN"/>
                    </w:rPr>
                    <w:t>、</w:t>
                  </w:r>
                </w:p>
                <w:p>
                  <w:pPr>
                    <w:widowControl w:val="0"/>
                    <w:spacing w:after="0" w:line="240" w:lineRule="auto"/>
                    <w:jc w:val="center"/>
                    <w:rPr>
                      <w:rFonts w:hint="eastAsia"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lang w:val="en-US" w:eastAsia="zh-CN"/>
                    </w:rPr>
                    <w:t>0.012</w:t>
                  </w:r>
                  <w:r>
                    <w:rPr>
                      <w:rFonts w:hint="eastAsia" w:ascii="Times New Roman" w:hAnsi="Times New Roman" w:eastAsia="宋体" w:cs="Times New Roman"/>
                      <w:color w:val="auto"/>
                      <w:kern w:val="2"/>
                      <w:sz w:val="21"/>
                      <w:szCs w:val="24"/>
                      <w:highlight w:val="none"/>
                    </w:rPr>
                    <w:t>t/a</w:t>
                  </w:r>
                </w:p>
              </w:tc>
              <w:tc>
                <w:tcPr>
                  <w:tcW w:w="2302" w:type="dxa"/>
                  <w:vMerge w:val="continue"/>
                  <w:tcBorders>
                    <w:right w:val="single" w:color="auto" w:sz="4" w:space="0"/>
                  </w:tcBorders>
                  <w:vAlign w:val="center"/>
                </w:tcPr>
                <w:p>
                  <w:pPr>
                    <w:widowControl w:val="0"/>
                    <w:spacing w:after="0" w:line="216" w:lineRule="auto"/>
                    <w:jc w:val="center"/>
                    <w:rPr>
                      <w:rFonts w:ascii="Times New Roman" w:hAnsi="Times New Roman" w:eastAsia="宋体" w:cs="Times New Roman"/>
                      <w:color w:val="auto"/>
                      <w:kern w:val="2"/>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377" w:hRule="atLeast"/>
                <w:jc w:val="center"/>
              </w:trPr>
              <w:tc>
                <w:tcPr>
                  <w:tcW w:w="543" w:type="dxa"/>
                  <w:vMerge w:val="continue"/>
                  <w:tcBorders>
                    <w:left w:val="single" w:color="auto" w:sz="4" w:space="0"/>
                  </w:tcBorders>
                  <w:vAlign w:val="center"/>
                </w:tcPr>
                <w:p>
                  <w:pPr>
                    <w:widowControl w:val="0"/>
                    <w:spacing w:after="0" w:line="240" w:lineRule="auto"/>
                    <w:jc w:val="both"/>
                    <w:rPr>
                      <w:rFonts w:ascii="Times New Roman" w:hAnsi="Times New Roman" w:eastAsia="宋体" w:cs="Times New Roman"/>
                      <w:color w:val="FF0000"/>
                      <w:kern w:val="2"/>
                      <w:sz w:val="21"/>
                      <w:szCs w:val="21"/>
                      <w:highlight w:val="none"/>
                    </w:rPr>
                  </w:pPr>
                </w:p>
              </w:tc>
              <w:tc>
                <w:tcPr>
                  <w:tcW w:w="1210" w:type="dxa"/>
                  <w:tcBorders>
                    <w:bottom w:val="single" w:color="auto" w:sz="4" w:space="0"/>
                  </w:tcBorders>
                  <w:vAlign w:val="center"/>
                </w:tcPr>
                <w:p>
                  <w:pPr>
                    <w:widowControl w:val="0"/>
                    <w:autoSpaceDE w:val="0"/>
                    <w:autoSpaceDN w:val="0"/>
                    <w:adjustRightInd w:val="0"/>
                    <w:jc w:val="center"/>
                    <w:textAlignment w:val="baseline"/>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抛光工序</w:t>
                  </w:r>
                </w:p>
              </w:tc>
              <w:tc>
                <w:tcPr>
                  <w:tcW w:w="2798" w:type="dxa"/>
                  <w:tcBorders>
                    <w:bottom w:val="single" w:color="auto" w:sz="4" w:space="0"/>
                  </w:tcBorders>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ascii="Times New Roman" w:hAnsi="Times New Roman" w:eastAsia="宋体" w:cs="Times New Roman"/>
                      <w:color w:val="auto"/>
                      <w:kern w:val="2"/>
                      <w:sz w:val="21"/>
                      <w:szCs w:val="21"/>
                      <w:highlight w:val="none"/>
                    </w:rPr>
                    <w:t>设置集气装置将粉尘收集后引至布袋除尘装置进行处理后高空排放</w:t>
                  </w:r>
                </w:p>
              </w:tc>
              <w:tc>
                <w:tcPr>
                  <w:tcW w:w="2558" w:type="dxa"/>
                  <w:tcBorders>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rPr>
                    <w:t>有组织：</w:t>
                  </w:r>
                  <w:r>
                    <w:rPr>
                      <w:rFonts w:hint="eastAsia" w:ascii="Times New Roman" w:hAnsi="Times New Roman" w:eastAsia="宋体" w:cs="Times New Roman"/>
                      <w:color w:val="auto"/>
                      <w:kern w:val="2"/>
                      <w:sz w:val="21"/>
                      <w:szCs w:val="24"/>
                      <w:highlight w:val="none"/>
                      <w:lang w:val="en-US" w:eastAsia="zh-CN"/>
                    </w:rPr>
                    <w:t>0.090</w:t>
                  </w:r>
                  <w:r>
                    <w:rPr>
                      <w:rFonts w:hint="eastAsia" w:ascii="Times New Roman" w:hAnsi="Times New Roman" w:eastAsia="宋体" w:cs="Times New Roman"/>
                      <w:color w:val="auto"/>
                      <w:kern w:val="2"/>
                      <w:sz w:val="21"/>
                      <w:szCs w:val="24"/>
                      <w:highlight w:val="none"/>
                    </w:rPr>
                    <w:t>mg/m</w:t>
                  </w:r>
                  <w:r>
                    <w:rPr>
                      <w:rFonts w:hint="eastAsia" w:ascii="Times New Roman" w:hAnsi="Times New Roman" w:eastAsia="宋体" w:cs="Times New Roman"/>
                      <w:color w:val="auto"/>
                      <w:kern w:val="2"/>
                      <w:sz w:val="21"/>
                      <w:szCs w:val="24"/>
                      <w:highlight w:val="none"/>
                      <w:vertAlign w:val="superscript"/>
                    </w:rPr>
                    <w:t>3</w:t>
                  </w:r>
                </w:p>
                <w:p>
                  <w:pPr>
                    <w:widowControl w:val="0"/>
                    <w:spacing w:after="0" w:line="240" w:lineRule="auto"/>
                    <w:jc w:val="center"/>
                    <w:rPr>
                      <w:rFonts w:hint="eastAsia" w:ascii="Times New Roman" w:hAnsi="Times New Roman" w:eastAsia="宋体" w:cs="Times New Roman"/>
                      <w:color w:val="auto"/>
                      <w:kern w:val="2"/>
                      <w:sz w:val="21"/>
                      <w:szCs w:val="24"/>
                      <w:highlight w:val="none"/>
                    </w:rPr>
                  </w:pPr>
                  <w:r>
                    <w:rPr>
                      <w:rFonts w:hint="eastAsia" w:ascii="Times New Roman" w:hAnsi="Times New Roman" w:eastAsia="宋体" w:cs="Times New Roman"/>
                      <w:color w:val="auto"/>
                      <w:kern w:val="2"/>
                      <w:sz w:val="21"/>
                      <w:szCs w:val="24"/>
                      <w:highlight w:val="none"/>
                      <w:lang w:val="en-US" w:eastAsia="zh-CN"/>
                    </w:rPr>
                    <w:t>0.003</w:t>
                  </w:r>
                  <w:r>
                    <w:rPr>
                      <w:rFonts w:hint="eastAsia" w:ascii="Times New Roman" w:hAnsi="Times New Roman" w:eastAsia="宋体" w:cs="Times New Roman"/>
                      <w:color w:val="auto"/>
                      <w:kern w:val="2"/>
                      <w:sz w:val="21"/>
                      <w:szCs w:val="24"/>
                      <w:highlight w:val="none"/>
                    </w:rPr>
                    <w:t>t/a</w:t>
                  </w:r>
                  <w:r>
                    <w:rPr>
                      <w:rFonts w:hint="eastAsia" w:ascii="Times New Roman" w:hAnsi="Times New Roman" w:eastAsia="宋体" w:cs="Times New Roman"/>
                      <w:color w:val="auto"/>
                      <w:kern w:val="2"/>
                      <w:sz w:val="21"/>
                      <w:szCs w:val="24"/>
                      <w:highlight w:val="none"/>
                      <w:lang w:eastAsia="zh-CN"/>
                    </w:rPr>
                    <w:t>；</w:t>
                  </w:r>
                  <w:r>
                    <w:rPr>
                      <w:rFonts w:hint="eastAsia" w:ascii="Times New Roman" w:hAnsi="Times New Roman" w:eastAsia="宋体" w:cs="Times New Roman"/>
                      <w:color w:val="auto"/>
                      <w:kern w:val="2"/>
                      <w:sz w:val="21"/>
                      <w:szCs w:val="24"/>
                      <w:highlight w:val="none"/>
                    </w:rPr>
                    <w:t>无组织：</w:t>
                  </w:r>
                  <w:r>
                    <w:rPr>
                      <w:rFonts w:hint="eastAsia" w:ascii="Times New Roman" w:hAnsi="Times New Roman" w:eastAsia="宋体" w:cs="Times New Roman"/>
                      <w:color w:val="auto"/>
                      <w:kern w:val="2"/>
                      <w:sz w:val="21"/>
                      <w:szCs w:val="24"/>
                      <w:highlight w:val="none"/>
                      <w:lang w:val="en-US" w:eastAsia="zh-CN"/>
                    </w:rPr>
                    <w:t>0.076</w:t>
                  </w:r>
                  <w:r>
                    <w:rPr>
                      <w:rFonts w:hint="eastAsia" w:ascii="Times New Roman" w:hAnsi="Times New Roman" w:eastAsia="宋体" w:cs="Times New Roman"/>
                      <w:color w:val="auto"/>
                      <w:kern w:val="2"/>
                      <w:sz w:val="21"/>
                      <w:szCs w:val="24"/>
                      <w:highlight w:val="none"/>
                    </w:rPr>
                    <w:t>t/a</w:t>
                  </w:r>
                </w:p>
              </w:tc>
              <w:tc>
                <w:tcPr>
                  <w:tcW w:w="2302" w:type="dxa"/>
                  <w:vMerge w:val="continue"/>
                  <w:tcBorders>
                    <w:bottom w:val="single" w:color="auto" w:sz="4" w:space="0"/>
                    <w:right w:val="single" w:color="auto" w:sz="4" w:space="0"/>
                  </w:tcBorders>
                  <w:vAlign w:val="center"/>
                </w:tcPr>
                <w:p>
                  <w:pPr>
                    <w:widowControl w:val="0"/>
                    <w:spacing w:after="0" w:line="216" w:lineRule="auto"/>
                    <w:jc w:val="center"/>
                    <w:rPr>
                      <w:rFonts w:ascii="Times New Roman" w:hAnsi="Times New Roman" w:eastAsia="宋体" w:cs="Times New Roman"/>
                      <w:color w:val="FF0000"/>
                      <w:kern w:val="2"/>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331" w:hRule="atLeast"/>
                <w:jc w:val="center"/>
              </w:trPr>
              <w:tc>
                <w:tcPr>
                  <w:tcW w:w="543" w:type="dxa"/>
                  <w:vMerge w:val="restart"/>
                  <w:tcBorders>
                    <w:top w:val="single" w:color="auto" w:sz="4" w:space="0"/>
                    <w:left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废水</w:t>
                  </w:r>
                </w:p>
              </w:tc>
              <w:tc>
                <w:tcPr>
                  <w:tcW w:w="1210" w:type="dxa"/>
                  <w:tcBorders>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4"/>
                      <w:position w:val="0"/>
                      <w:sz w:val="21"/>
                      <w:szCs w:val="21"/>
                      <w:highlight w:val="none"/>
                      <w:lang w:val="en-US" w:eastAsia="zh-CN" w:bidi="ar-SA"/>
                    </w:rPr>
                    <w:t>测试用水</w:t>
                  </w:r>
                </w:p>
              </w:tc>
              <w:tc>
                <w:tcPr>
                  <w:tcW w:w="2798" w:type="dxa"/>
                  <w:tcBorders>
                    <w:bottom w:val="single" w:color="auto" w:sz="4" w:space="0"/>
                  </w:tcBorders>
                  <w:vAlign w:val="center"/>
                </w:tcPr>
                <w:p>
                  <w:pPr>
                    <w:widowControl w:val="0"/>
                    <w:spacing w:after="0" w:line="336" w:lineRule="auto"/>
                    <w:jc w:val="center"/>
                    <w:rPr>
                      <w:rFonts w:ascii="Times New Roman" w:hAnsi="Times New Roman" w:eastAsia="宋体" w:cs="Times New Roman"/>
                      <w:bCs/>
                      <w:color w:val="auto"/>
                      <w:kern w:val="0"/>
                      <w:sz w:val="21"/>
                      <w:szCs w:val="21"/>
                      <w:highlight w:val="none"/>
                    </w:rPr>
                  </w:pPr>
                  <w:r>
                    <w:rPr>
                      <w:rFonts w:hint="eastAsia" w:ascii="Times New Roman" w:hAnsi="Times New Roman" w:eastAsia="宋体" w:cs="Times New Roman"/>
                      <w:color w:val="auto"/>
                      <w:kern w:val="2"/>
                      <w:sz w:val="21"/>
                      <w:szCs w:val="21"/>
                      <w:highlight w:val="none"/>
                    </w:rPr>
                    <w:t>循环使用，定期补充，不外排</w:t>
                  </w:r>
                </w:p>
              </w:tc>
              <w:tc>
                <w:tcPr>
                  <w:tcW w:w="2558" w:type="dxa"/>
                  <w:tcBorders>
                    <w:bottom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w:t>
                  </w:r>
                </w:p>
              </w:tc>
              <w:tc>
                <w:tcPr>
                  <w:tcW w:w="2302" w:type="dxa"/>
                  <w:vMerge w:val="restart"/>
                  <w:tcBorders>
                    <w:top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367" w:hRule="atLeast"/>
                <w:jc w:val="center"/>
              </w:trPr>
              <w:tc>
                <w:tcPr>
                  <w:tcW w:w="543" w:type="dxa"/>
                  <w:vMerge w:val="continue"/>
                  <w:tcBorders>
                    <w:left w:val="single" w:color="auto" w:sz="4" w:space="0"/>
                    <w:bottom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p>
              </w:tc>
              <w:tc>
                <w:tcPr>
                  <w:tcW w:w="1210" w:type="dxa"/>
                  <w:tcBorders>
                    <w:top w:val="single" w:color="auto" w:sz="4" w:space="0"/>
                    <w:bottom w:val="single" w:color="auto" w:sz="4" w:space="0"/>
                  </w:tcBorders>
                  <w:vAlign w:val="center"/>
                </w:tcPr>
                <w:p>
                  <w:pPr>
                    <w:widowControl w:val="0"/>
                    <w:spacing w:after="0" w:line="240" w:lineRule="auto"/>
                    <w:jc w:val="center"/>
                    <w:rPr>
                      <w:rFonts w:ascii="Times New Roman" w:hAnsi="宋体" w:eastAsia="宋体" w:cs="Times New Roman"/>
                      <w:color w:val="auto"/>
                      <w:kern w:val="2"/>
                      <w:sz w:val="21"/>
                      <w:szCs w:val="21"/>
                      <w:highlight w:val="none"/>
                    </w:rPr>
                  </w:pPr>
                  <w:r>
                    <w:rPr>
                      <w:rFonts w:hint="default" w:ascii="Times New Roman" w:hAnsi="Times New Roman" w:eastAsia="宋体" w:cs="Times New Roman"/>
                      <w:color w:val="auto"/>
                      <w:kern w:val="24"/>
                      <w:position w:val="0"/>
                      <w:sz w:val="21"/>
                      <w:szCs w:val="21"/>
                      <w:highlight w:val="none"/>
                      <w:lang w:val="en-US" w:eastAsia="zh-CN" w:bidi="ar-SA"/>
                    </w:rPr>
                    <w:t>喷淋废水</w:t>
                  </w:r>
                </w:p>
              </w:tc>
              <w:tc>
                <w:tcPr>
                  <w:tcW w:w="2798" w:type="dxa"/>
                  <w:tcBorders>
                    <w:top w:val="single" w:color="auto" w:sz="4" w:space="0"/>
                    <w:bottom w:val="single" w:color="auto" w:sz="4" w:space="0"/>
                  </w:tcBorders>
                  <w:vAlign w:val="center"/>
                </w:tcPr>
                <w:p>
                  <w:pPr>
                    <w:widowControl w:val="0"/>
                    <w:spacing w:after="0" w:line="240" w:lineRule="auto"/>
                    <w:jc w:val="center"/>
                    <w:rPr>
                      <w:rFonts w:hint="eastAsia" w:ascii="Times New Roman" w:hAnsi="Times New Roman" w:eastAsia="宋体" w:cs="Times New Roman"/>
                      <w:bCs/>
                      <w:color w:val="auto"/>
                      <w:kern w:val="0"/>
                      <w:sz w:val="21"/>
                      <w:szCs w:val="21"/>
                      <w:highlight w:val="none"/>
                    </w:rPr>
                  </w:pPr>
                  <w:r>
                    <w:rPr>
                      <w:rFonts w:hint="eastAsia" w:ascii="Times New Roman" w:hAnsi="宋体" w:eastAsia="宋体" w:cs="Times New Roman"/>
                      <w:color w:val="auto"/>
                      <w:kern w:val="2"/>
                      <w:sz w:val="21"/>
                      <w:szCs w:val="21"/>
                      <w:highlight w:val="none"/>
                    </w:rPr>
                    <w:t>经收集后定期交有资质单位处理，不外</w:t>
                  </w:r>
                  <w:r>
                    <w:rPr>
                      <w:rFonts w:hint="eastAsia" w:ascii="Times New Roman" w:hAnsi="Times New Roman" w:eastAsia="宋体" w:cs="Times New Roman"/>
                      <w:color w:val="auto"/>
                      <w:kern w:val="2"/>
                      <w:sz w:val="21"/>
                      <w:szCs w:val="21"/>
                      <w:highlight w:val="none"/>
                      <w:lang w:eastAsia="zh-CN"/>
                    </w:rPr>
                    <w:t>排</w:t>
                  </w:r>
                </w:p>
              </w:tc>
              <w:tc>
                <w:tcPr>
                  <w:tcW w:w="2558" w:type="dxa"/>
                  <w:tcBorders>
                    <w:top w:val="single" w:color="auto" w:sz="4" w:space="0"/>
                    <w:bottom w:val="single" w:color="auto" w:sz="4" w:space="0"/>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16</w:t>
                  </w:r>
                  <w:r>
                    <w:rPr>
                      <w:rFonts w:ascii="Times New Roman" w:hAnsi="Times New Roman" w:eastAsia="宋体" w:cs="Times New Roman"/>
                      <w:color w:val="auto"/>
                      <w:kern w:val="2"/>
                      <w:sz w:val="21"/>
                      <w:szCs w:val="21"/>
                      <w:highlight w:val="none"/>
                    </w:rPr>
                    <w:t>t/a</w:t>
                  </w:r>
                </w:p>
              </w:tc>
              <w:tc>
                <w:tcPr>
                  <w:tcW w:w="2302" w:type="dxa"/>
                  <w:vMerge w:val="continue"/>
                  <w:tcBorders>
                    <w:bottom w:val="single" w:color="auto" w:sz="4" w:space="0"/>
                    <w:right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032" w:hRule="atLeast"/>
                <w:jc w:val="center"/>
              </w:trPr>
              <w:tc>
                <w:tcPr>
                  <w:tcW w:w="543" w:type="dxa"/>
                  <w:vMerge w:val="continue"/>
                  <w:tcBorders>
                    <w:left w:val="single" w:color="auto" w:sz="4" w:space="0"/>
                    <w:bottom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p>
              </w:tc>
              <w:tc>
                <w:tcPr>
                  <w:tcW w:w="1210" w:type="dxa"/>
                  <w:tcBorders>
                    <w:top w:val="single" w:color="auto" w:sz="4" w:space="0"/>
                  </w:tcBorders>
                  <w:vAlign w:val="center"/>
                </w:tcPr>
                <w:p>
                  <w:pPr>
                    <w:widowControl w:val="0"/>
                    <w:spacing w:after="0" w:line="240" w:lineRule="auto"/>
                    <w:jc w:val="center"/>
                    <w:rPr>
                      <w:rFonts w:ascii="Times New Roman" w:hAnsi="宋体"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生活污水</w:t>
                  </w:r>
                </w:p>
              </w:tc>
              <w:tc>
                <w:tcPr>
                  <w:tcW w:w="2798" w:type="dxa"/>
                  <w:tcBorders>
                    <w:top w:val="single" w:color="auto" w:sz="4" w:space="0"/>
                  </w:tcBorders>
                  <w:vAlign w:val="center"/>
                </w:tcPr>
                <w:p>
                  <w:pPr>
                    <w:widowControl/>
                    <w:suppressAutoHyphens/>
                    <w:overflowPunct w:val="0"/>
                    <w:topLinePunct/>
                    <w:spacing w:before="72" w:after="72" w:line="240" w:lineRule="auto"/>
                    <w:jc w:val="center"/>
                    <w:textAlignment w:val="baseline"/>
                    <w:rPr>
                      <w:rFonts w:hint="eastAsia" w:ascii="Times New Roman" w:hAnsi="Times New Roman" w:eastAsia="宋体"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rPr>
                    <w:t>经三级化粪池预处理后排入市政污水管网</w:t>
                  </w:r>
                </w:p>
              </w:tc>
              <w:tc>
                <w:tcPr>
                  <w:tcW w:w="2558" w:type="dxa"/>
                  <w:tcBorders>
                    <w:top w:val="single" w:color="auto" w:sz="4" w:space="0"/>
                  </w:tcBorders>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345.6</w:t>
                  </w:r>
                  <w:r>
                    <w:rPr>
                      <w:rFonts w:ascii="Times New Roman" w:hAnsi="Times New Roman" w:eastAsia="宋体" w:cs="Times New Roman"/>
                      <w:color w:val="auto"/>
                      <w:kern w:val="2"/>
                      <w:sz w:val="21"/>
                      <w:szCs w:val="21"/>
                      <w:highlight w:val="none"/>
                    </w:rPr>
                    <w:t>t/a</w:t>
                  </w:r>
                </w:p>
              </w:tc>
              <w:tc>
                <w:tcPr>
                  <w:tcW w:w="2302" w:type="dxa"/>
                  <w:tcBorders>
                    <w:top w:val="single" w:color="auto" w:sz="4" w:space="0"/>
                    <w:right w:val="single" w:color="auto" w:sz="4" w:space="0"/>
                  </w:tcBorders>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达到广东省地方标准《水污染物排放限值》（DB44/26-2001）第二时段三级标准和</w:t>
                  </w:r>
                  <w:r>
                    <w:rPr>
                      <w:rFonts w:hint="eastAsia" w:ascii="Times New Roman" w:hAnsi="Times New Roman" w:eastAsia="宋体" w:cs="Times New Roman"/>
                      <w:color w:val="auto"/>
                      <w:kern w:val="2"/>
                      <w:sz w:val="21"/>
                      <w:szCs w:val="21"/>
                      <w:highlight w:val="none"/>
                      <w:lang w:eastAsia="zh-CN"/>
                    </w:rPr>
                    <w:t>《污水排入城镇下水道水质标准》(GB/T31962-2015 )B级标准</w:t>
                  </w:r>
                  <w:r>
                    <w:rPr>
                      <w:rFonts w:hint="eastAsia" w:ascii="Times New Roman" w:hAnsi="Times New Roman" w:eastAsia="宋体" w:cs="Times New Roman"/>
                      <w:color w:val="auto"/>
                      <w:kern w:val="2"/>
                      <w:sz w:val="21"/>
                      <w:szCs w:val="21"/>
                      <w:highlight w:val="none"/>
                    </w:rPr>
                    <w:t>较严者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00" w:hRule="atLeast"/>
                <w:jc w:val="center"/>
              </w:trPr>
              <w:tc>
                <w:tcPr>
                  <w:tcW w:w="543" w:type="dxa"/>
                  <w:vMerge w:val="restart"/>
                  <w:tcBorders>
                    <w:top w:val="single" w:color="auto" w:sz="4" w:space="0"/>
                    <w:left w:val="single" w:color="auto" w:sz="4" w:space="0"/>
                    <w:bottom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固废</w:t>
                  </w:r>
                </w:p>
              </w:tc>
              <w:tc>
                <w:tcPr>
                  <w:tcW w:w="1210" w:type="dxa"/>
                  <w:vAlign w:val="center"/>
                </w:tcPr>
                <w:p>
                  <w:pPr>
                    <w:widowControl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生活垃圾</w:t>
                  </w:r>
                </w:p>
              </w:tc>
              <w:tc>
                <w:tcPr>
                  <w:tcW w:w="2798" w:type="dxa"/>
                  <w:vAlign w:val="center"/>
                </w:tcPr>
                <w:p>
                  <w:pPr>
                    <w:keepNext/>
                    <w:widowControl w:val="0"/>
                    <w:topLinePunct/>
                    <w:autoSpaceDE w:val="0"/>
                    <w:autoSpaceDN w:val="0"/>
                    <w:adjustRightInd w:val="0"/>
                    <w:spacing w:after="0" w:line="240" w:lineRule="auto"/>
                    <w:jc w:val="center"/>
                    <w:textAlignment w:val="baseline"/>
                    <w:rPr>
                      <w:rFonts w:ascii="Times New Roman" w:hAnsi="Times New Roman" w:eastAsia="宋体" w:cs="Times New Roman"/>
                      <w:color w:val="auto"/>
                      <w:kern w:val="0"/>
                      <w:position w:val="-28"/>
                      <w:sz w:val="21"/>
                      <w:szCs w:val="21"/>
                      <w:highlight w:val="none"/>
                    </w:rPr>
                  </w:pPr>
                  <w:r>
                    <w:rPr>
                      <w:rFonts w:ascii="Times New Roman" w:hAnsi="Times New Roman" w:eastAsia="宋体" w:cs="Times New Roman"/>
                      <w:color w:val="auto"/>
                      <w:kern w:val="0"/>
                      <w:sz w:val="21"/>
                      <w:szCs w:val="21"/>
                      <w:highlight w:val="none"/>
                    </w:rPr>
                    <w:t>交环卫部门处理</w:t>
                  </w:r>
                </w:p>
              </w:tc>
              <w:tc>
                <w:tcPr>
                  <w:tcW w:w="2558" w:type="dxa"/>
                  <w:vAlign w:val="center"/>
                </w:tcPr>
                <w:p>
                  <w:pPr>
                    <w:keepNext/>
                    <w:widowControl w:val="0"/>
                    <w:topLinePunct/>
                    <w:autoSpaceDE w:val="0"/>
                    <w:autoSpaceDN w:val="0"/>
                    <w:adjustRightInd w:val="0"/>
                    <w:spacing w:after="0" w:line="240" w:lineRule="auto"/>
                    <w:jc w:val="center"/>
                    <w:textAlignment w:val="baseline"/>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2"/>
                      <w:sz w:val="21"/>
                      <w:szCs w:val="21"/>
                      <w:highlight w:val="none"/>
                      <w:lang w:val="en-US" w:eastAsia="zh-CN"/>
                    </w:rPr>
                    <w:t>4.8</w:t>
                  </w:r>
                  <w:r>
                    <w:rPr>
                      <w:rFonts w:ascii="Times New Roman" w:hAnsi="Times New Roman" w:eastAsia="宋体" w:cs="Times New Roman"/>
                      <w:color w:val="auto"/>
                      <w:kern w:val="0"/>
                      <w:sz w:val="21"/>
                      <w:szCs w:val="21"/>
                      <w:highlight w:val="none"/>
                    </w:rPr>
                    <w:t>t/a</w:t>
                  </w:r>
                </w:p>
              </w:tc>
              <w:tc>
                <w:tcPr>
                  <w:tcW w:w="2302" w:type="dxa"/>
                  <w:vMerge w:val="restart"/>
                  <w:tcBorders>
                    <w:right w:val="single" w:color="auto" w:sz="4" w:space="0"/>
                  </w:tcBorders>
                  <w:vAlign w:val="center"/>
                </w:tcPr>
                <w:p>
                  <w:pPr>
                    <w:widowControl/>
                    <w:adjustRightInd w:val="0"/>
                    <w:spacing w:before="60" w:after="0" w:line="240" w:lineRule="auto"/>
                    <w:jc w:val="center"/>
                    <w:textAlignment w:val="baseline"/>
                    <w:rPr>
                      <w:rFonts w:ascii="Times New Roman" w:hAnsi="Times New Roman" w:eastAsia="宋体" w:cs="Times New Roman"/>
                      <w:bCs/>
                      <w:color w:val="FF0000"/>
                      <w:kern w:val="2"/>
                      <w:sz w:val="21"/>
                      <w:szCs w:val="21"/>
                      <w:highlight w:val="none"/>
                    </w:rPr>
                  </w:pPr>
                  <w:r>
                    <w:rPr>
                      <w:rFonts w:ascii="Times New Roman" w:hAnsi="Times New Roman" w:eastAsia="宋体" w:cs="Times New Roman"/>
                      <w:color w:val="auto"/>
                      <w:kern w:val="0"/>
                      <w:sz w:val="21"/>
                      <w:szCs w:val="21"/>
                      <w:highlight w:val="none"/>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top w:val="single" w:color="auto" w:sz="4" w:space="0"/>
                    <w:left w:val="single" w:color="auto" w:sz="4" w:space="0"/>
                    <w:bottom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p>
              </w:tc>
              <w:tc>
                <w:tcPr>
                  <w:tcW w:w="1210" w:type="dxa"/>
                  <w:vAlign w:val="center"/>
                </w:tcPr>
                <w:p>
                  <w:pPr>
                    <w:widowControl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4"/>
                      <w:position w:val="0"/>
                      <w:sz w:val="21"/>
                      <w:szCs w:val="21"/>
                      <w:highlight w:val="none"/>
                      <w:lang w:val="en-US" w:eastAsia="zh-CN" w:bidi="ar-SA"/>
                    </w:rPr>
                    <w:t>一般固体废物</w:t>
                  </w:r>
                </w:p>
              </w:tc>
              <w:tc>
                <w:tcPr>
                  <w:tcW w:w="2798" w:type="dxa"/>
                  <w:vAlign w:val="center"/>
                </w:tcPr>
                <w:p>
                  <w:pPr>
                    <w:widowControl w:val="0"/>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交专业公司回收处理</w:t>
                  </w:r>
                </w:p>
              </w:tc>
              <w:tc>
                <w:tcPr>
                  <w:tcW w:w="2558" w:type="dxa"/>
                  <w:vAlign w:val="center"/>
                </w:tcPr>
                <w:p>
                  <w:pPr>
                    <w:keepNext/>
                    <w:widowControl w:val="0"/>
                    <w:topLinePunct/>
                    <w:autoSpaceDE w:val="0"/>
                    <w:autoSpaceDN w:val="0"/>
                    <w:adjustRightInd w:val="0"/>
                    <w:spacing w:after="0" w:line="240" w:lineRule="auto"/>
                    <w:jc w:val="center"/>
                    <w:textAlignment w:val="baseline"/>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2"/>
                      <w:sz w:val="21"/>
                      <w:szCs w:val="21"/>
                      <w:highlight w:val="none"/>
                      <w:lang w:val="en-US" w:eastAsia="zh-CN"/>
                    </w:rPr>
                    <w:t>12.325</w:t>
                  </w:r>
                  <w:r>
                    <w:rPr>
                      <w:rFonts w:ascii="Times New Roman" w:hAnsi="Times New Roman" w:eastAsia="宋体" w:cs="Times New Roman"/>
                      <w:color w:val="auto"/>
                      <w:kern w:val="0"/>
                      <w:sz w:val="21"/>
                      <w:szCs w:val="21"/>
                      <w:highlight w:val="none"/>
                    </w:rPr>
                    <w:t>t/a</w:t>
                  </w:r>
                </w:p>
              </w:tc>
              <w:tc>
                <w:tcPr>
                  <w:tcW w:w="2302" w:type="dxa"/>
                  <w:vMerge w:val="continue"/>
                  <w:tcBorders>
                    <w:right w:val="single" w:color="auto" w:sz="4" w:space="0"/>
                  </w:tcBorders>
                  <w:vAlign w:val="center"/>
                </w:tcPr>
                <w:p>
                  <w:pPr>
                    <w:widowControl/>
                    <w:adjustRightInd w:val="0"/>
                    <w:spacing w:before="60" w:after="0" w:line="240" w:lineRule="auto"/>
                    <w:jc w:val="center"/>
                    <w:textAlignment w:val="baseline"/>
                    <w:rPr>
                      <w:rFonts w:ascii="Times New Roman" w:hAnsi="Times New Roman" w:eastAsia="宋体" w:cs="Times New Roman"/>
                      <w:color w:val="FF0000"/>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86" w:hRule="atLeast"/>
                <w:jc w:val="center"/>
              </w:trPr>
              <w:tc>
                <w:tcPr>
                  <w:tcW w:w="543" w:type="dxa"/>
                  <w:vMerge w:val="continue"/>
                  <w:tcBorders>
                    <w:top w:val="single" w:color="auto" w:sz="4" w:space="0"/>
                    <w:left w:val="single" w:color="auto" w:sz="4" w:space="0"/>
                    <w:bottom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p>
              </w:tc>
              <w:tc>
                <w:tcPr>
                  <w:tcW w:w="1210" w:type="dxa"/>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spacing w:val="-2"/>
                      <w:kern w:val="2"/>
                      <w:sz w:val="21"/>
                      <w:szCs w:val="21"/>
                      <w:highlight w:val="none"/>
                    </w:rPr>
                  </w:pPr>
                  <w:r>
                    <w:rPr>
                      <w:rFonts w:hint="eastAsia" w:ascii="Times New Roman" w:hAnsi="宋体" w:eastAsia="宋体" w:cs="Times New Roman"/>
                      <w:color w:val="auto"/>
                      <w:kern w:val="24"/>
                      <w:position w:val="0"/>
                      <w:sz w:val="21"/>
                      <w:szCs w:val="21"/>
                      <w:highlight w:val="none"/>
                      <w:lang w:val="en-US" w:eastAsia="zh-CN" w:bidi="ar-SA"/>
                    </w:rPr>
                    <w:t>危险废物</w:t>
                  </w:r>
                </w:p>
              </w:tc>
              <w:tc>
                <w:tcPr>
                  <w:tcW w:w="2798" w:type="dxa"/>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1"/>
                      <w:szCs w:val="21"/>
                      <w:highlight w:val="none"/>
                      <w:lang w:val="en-US" w:eastAsia="zh-CN" w:bidi="ar-SA"/>
                    </w:rPr>
                  </w:pPr>
                  <w:r>
                    <w:rPr>
                      <w:rFonts w:hint="eastAsia" w:ascii="Times New Roman" w:hAnsi="Times New Roman" w:eastAsia="宋体" w:cs="Times New Roman"/>
                      <w:color w:val="auto"/>
                      <w:kern w:val="24"/>
                      <w:position w:val="0"/>
                      <w:sz w:val="21"/>
                      <w:szCs w:val="21"/>
                      <w:highlight w:val="none"/>
                      <w:lang w:val="en-US" w:eastAsia="zh-CN" w:bidi="ar-SA"/>
                    </w:rPr>
                    <w:t>交给有危险废物处置资质单位处置</w:t>
                  </w:r>
                </w:p>
              </w:tc>
              <w:tc>
                <w:tcPr>
                  <w:tcW w:w="2558" w:type="dxa"/>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1"/>
                      <w:szCs w:val="21"/>
                      <w:highlight w:val="none"/>
                      <w:lang w:val="en-US" w:eastAsia="zh-CN" w:bidi="ar-SA"/>
                    </w:rPr>
                  </w:pPr>
                  <w:r>
                    <w:rPr>
                      <w:rFonts w:hint="eastAsia" w:ascii="Times New Roman" w:hAnsi="Times New Roman" w:eastAsia="宋体" w:cs="Times New Roman"/>
                      <w:color w:val="auto"/>
                      <w:kern w:val="24"/>
                      <w:position w:val="0"/>
                      <w:sz w:val="21"/>
                      <w:szCs w:val="21"/>
                      <w:highlight w:val="none"/>
                      <w:lang w:val="en-US" w:eastAsia="zh-CN" w:bidi="ar-SA"/>
                    </w:rPr>
                    <w:t>1.53t/a</w:t>
                  </w:r>
                </w:p>
              </w:tc>
              <w:tc>
                <w:tcPr>
                  <w:tcW w:w="2302" w:type="dxa"/>
                  <w:vMerge w:val="continue"/>
                  <w:tcBorders>
                    <w:right w:val="single" w:color="auto" w:sz="4" w:space="0"/>
                  </w:tcBorders>
                  <w:vAlign w:val="center"/>
                </w:tcPr>
                <w:p>
                  <w:pPr>
                    <w:widowControl/>
                    <w:adjustRightInd w:val="0"/>
                    <w:spacing w:before="60" w:after="0" w:line="240" w:lineRule="auto"/>
                    <w:jc w:val="center"/>
                    <w:textAlignment w:val="baseline"/>
                    <w:rPr>
                      <w:rFonts w:ascii="Times New Roman" w:hAnsi="Times New Roman" w:eastAsia="宋体" w:cs="Times New Roman"/>
                      <w:color w:val="FF0000"/>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874" w:hRule="atLeast"/>
                <w:jc w:val="center"/>
              </w:trPr>
              <w:tc>
                <w:tcPr>
                  <w:tcW w:w="543" w:type="dxa"/>
                  <w:tcBorders>
                    <w:top w:val="single" w:color="auto" w:sz="4" w:space="0"/>
                    <w:left w:val="single" w:color="auto" w:sz="4" w:space="0"/>
                    <w:bottom w:val="single" w:color="auto" w:sz="4" w:space="0"/>
                  </w:tcBorders>
                  <w:vAlign w:val="center"/>
                </w:tcPr>
                <w:p>
                  <w:pPr>
                    <w:widowControl w:val="0"/>
                    <w:spacing w:after="0" w:line="240" w:lineRule="auto"/>
                    <w:jc w:val="both"/>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噪声</w:t>
                  </w:r>
                </w:p>
              </w:tc>
              <w:tc>
                <w:tcPr>
                  <w:tcW w:w="1210" w:type="dxa"/>
                  <w:tcBorders>
                    <w:bottom w:val="single" w:color="auto" w:sz="4" w:space="0"/>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color w:val="auto"/>
                      <w:kern w:val="2"/>
                      <w:sz w:val="21"/>
                      <w:szCs w:val="21"/>
                      <w:highlight w:val="none"/>
                    </w:rPr>
                    <w:t>设备、机械噪声</w:t>
                  </w:r>
                </w:p>
              </w:tc>
              <w:tc>
                <w:tcPr>
                  <w:tcW w:w="2798" w:type="dxa"/>
                  <w:tcBorders>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使用低噪声设备，合理安排高噪声设备作业时段，采用隔声、消声、减振等措施</w:t>
                  </w:r>
                </w:p>
              </w:tc>
              <w:tc>
                <w:tcPr>
                  <w:tcW w:w="2558" w:type="dxa"/>
                  <w:tcBorders>
                    <w:bottom w:val="single" w:color="auto" w:sz="4" w:space="0"/>
                  </w:tcBorders>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噪声值</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rPr>
                    <w:t>6</w:t>
                  </w:r>
                  <w:r>
                    <w:rPr>
                      <w:rFonts w:ascii="Times New Roman" w:hAnsi="Times New Roman" w:eastAsia="宋体" w:cs="Times New Roman"/>
                      <w:color w:val="auto"/>
                      <w:kern w:val="2"/>
                      <w:sz w:val="21"/>
                      <w:szCs w:val="21"/>
                      <w:highlight w:val="none"/>
                    </w:rPr>
                    <w:t>5dB(A)</w:t>
                  </w:r>
                </w:p>
              </w:tc>
              <w:tc>
                <w:tcPr>
                  <w:tcW w:w="2302" w:type="dxa"/>
                  <w:tcBorders>
                    <w:bottom w:val="single" w:color="auto" w:sz="4" w:space="0"/>
                    <w:right w:val="single" w:color="auto" w:sz="4" w:space="0"/>
                  </w:tcBorders>
                  <w:vAlign w:val="center"/>
                </w:tcPr>
                <w:p>
                  <w:pPr>
                    <w:widowControl w:val="0"/>
                    <w:spacing w:after="0" w:line="240" w:lineRule="auto"/>
                    <w:jc w:val="center"/>
                    <w:rPr>
                      <w:rFonts w:ascii="Times New Roman" w:hAnsi="Times New Roman" w:eastAsia="宋体" w:cs="Times New Roman"/>
                      <w:bCs/>
                      <w:color w:val="auto"/>
                      <w:kern w:val="2"/>
                      <w:sz w:val="21"/>
                      <w:szCs w:val="21"/>
                      <w:highlight w:val="none"/>
                    </w:rPr>
                  </w:pPr>
                  <w:r>
                    <w:rPr>
                      <w:rFonts w:ascii="Times New Roman" w:hAnsi="Times New Roman" w:eastAsia="宋体" w:cs="Times New Roman"/>
                      <w:bCs/>
                      <w:color w:val="auto"/>
                      <w:kern w:val="2"/>
                      <w:sz w:val="21"/>
                      <w:szCs w:val="21"/>
                      <w:highlight w:val="none"/>
                    </w:rPr>
                    <w:t>达到《工业企业厂界环境噪声排放标准》（GB12348-2008）</w:t>
                  </w:r>
                  <w:r>
                    <w:rPr>
                      <w:rFonts w:hint="eastAsia" w:ascii="Times New Roman" w:hAnsi="Times New Roman" w:eastAsia="宋体" w:cs="Times New Roman"/>
                      <w:bCs/>
                      <w:color w:val="auto"/>
                      <w:kern w:val="2"/>
                      <w:sz w:val="21"/>
                      <w:szCs w:val="21"/>
                      <w:highlight w:val="none"/>
                      <w:lang w:eastAsia="zh-CN"/>
                    </w:rPr>
                    <w:t>3类</w:t>
                  </w:r>
                  <w:r>
                    <w:rPr>
                      <w:rFonts w:ascii="Times New Roman" w:hAnsi="Times New Roman" w:eastAsia="宋体" w:cs="Times New Roman"/>
                      <w:bCs/>
                      <w:color w:val="auto"/>
                      <w:kern w:val="2"/>
                      <w:sz w:val="21"/>
                      <w:szCs w:val="21"/>
                      <w:highlight w:val="none"/>
                    </w:rPr>
                    <w:t>标准</w:t>
                  </w:r>
                </w:p>
              </w:tc>
            </w:tr>
          </w:tbl>
          <w:p>
            <w:pPr>
              <w:pStyle w:val="2"/>
              <w:rPr>
                <w:rFonts w:hint="eastAsia" w:ascii="Times New Roman" w:hAnsi="Times New Roman" w:eastAsia="宋体" w:cs="Times New Roman"/>
                <w:b/>
                <w:color w:val="auto"/>
                <w:kern w:val="0"/>
                <w:sz w:val="21"/>
                <w:szCs w:val="21"/>
                <w:highlight w:val="none"/>
                <w:lang w:val="en-US" w:eastAsia="zh-CN" w:bidi="ar-SA"/>
              </w:rPr>
            </w:pPr>
          </w:p>
          <w:p>
            <w:pPr>
              <w:pStyle w:val="4"/>
              <w:rPr>
                <w:rFonts w:hint="eastAsia" w:ascii="Times New Roman" w:hAnsi="Times New Roman" w:eastAsia="宋体" w:cs="Times New Roman"/>
                <w:b/>
                <w:color w:val="auto"/>
                <w:kern w:val="0"/>
                <w:sz w:val="21"/>
                <w:szCs w:val="21"/>
                <w:highlight w:val="none"/>
                <w:lang w:val="en-US" w:eastAsia="zh-CN" w:bidi="ar-SA"/>
              </w:rPr>
            </w:pPr>
          </w:p>
          <w:p>
            <w:pPr>
              <w:pStyle w:val="5"/>
              <w:rPr>
                <w:rFonts w:hint="eastAsia" w:ascii="Times New Roman" w:hAnsi="Times New Roman" w:eastAsia="宋体" w:cs="Times New Roman"/>
                <w:b/>
                <w:color w:val="auto"/>
                <w:kern w:val="0"/>
                <w:sz w:val="21"/>
                <w:szCs w:val="21"/>
                <w:highlight w:val="none"/>
                <w:lang w:val="en-US" w:eastAsia="zh-CN" w:bidi="ar-SA"/>
              </w:rPr>
            </w:pPr>
          </w:p>
          <w:p>
            <w:pPr>
              <w:pStyle w:val="6"/>
              <w:rPr>
                <w:rFonts w:hint="eastAsia" w:ascii="Times New Roman" w:hAnsi="Times New Roman" w:eastAsia="宋体" w:cs="Times New Roman"/>
                <w:b/>
                <w:color w:val="auto"/>
                <w:kern w:val="0"/>
                <w:sz w:val="21"/>
                <w:szCs w:val="21"/>
                <w:highlight w:val="none"/>
                <w:lang w:val="en-US" w:eastAsia="zh-CN" w:bidi="ar-SA"/>
              </w:rPr>
            </w:pPr>
          </w:p>
          <w:p>
            <w:pPr>
              <w:pStyle w:val="4"/>
              <w:rPr>
                <w:lang w:val="en-US" w:eastAsia="zh-CN"/>
              </w:rPr>
            </w:pPr>
          </w:p>
          <w:p>
            <w:pPr>
              <w:pStyle w:val="2"/>
              <w:rPr>
                <w:rFonts w:hint="default" w:ascii="Times New Roman" w:hAnsi="Times New Roman" w:cs="Times New Roman"/>
                <w:color w:val="FF0000"/>
              </w:rPr>
            </w:pPr>
          </w:p>
        </w:tc>
      </w:tr>
    </w:tbl>
    <w:p>
      <w:pPr>
        <w:ind w:right="22" w:rightChars="10"/>
        <w:rPr>
          <w:rFonts w:hint="default" w:ascii="Times New Roman" w:hAnsi="Times New Roman" w:cs="Times New Roman"/>
          <w:b/>
          <w:color w:val="FF0000"/>
          <w:sz w:val="30"/>
          <w:szCs w:val="30"/>
        </w:rPr>
        <w:sectPr>
          <w:pgSz w:w="11906" w:h="16838"/>
          <w:pgMar w:top="1304" w:right="1134" w:bottom="1134" w:left="1304" w:header="851" w:footer="851" w:gutter="0"/>
          <w:pgBorders>
            <w:top w:val="none" w:sz="0" w:space="0"/>
            <w:left w:val="none" w:sz="0" w:space="0"/>
            <w:bottom w:val="none" w:sz="0" w:space="0"/>
            <w:right w:val="none" w:sz="0" w:space="0"/>
          </w:pgBorders>
          <w:cols w:space="720" w:num="1"/>
          <w:docGrid w:type="lines" w:linePitch="312" w:charSpace="0"/>
        </w:sectPr>
      </w:pPr>
    </w:p>
    <w:p>
      <w:pPr>
        <w:pStyle w:val="14"/>
        <w:pageBreakBefore/>
        <w:widowControl w:val="0"/>
        <w:spacing w:before="0" w:line="360" w:lineRule="auto"/>
        <w:rPr>
          <w:rFonts w:hint="default" w:ascii="Times New Roman" w:hAnsi="Times New Roman" w:cs="Times New Roman"/>
          <w:color w:val="auto"/>
        </w:rPr>
      </w:pPr>
      <w:bookmarkStart w:id="28" w:name="_Toc472601264"/>
      <w:bookmarkStart w:id="29" w:name="_Toc514773525"/>
      <w:r>
        <w:rPr>
          <w:rFonts w:hint="default" w:ascii="Times New Roman" w:hAnsi="Times New Roman" w:cs="Times New Roman"/>
          <w:color w:val="auto"/>
        </w:rPr>
        <w:t>八、</w:t>
      </w:r>
      <w:r>
        <w:rPr>
          <w:rFonts w:hint="default" w:ascii="Times New Roman" w:hAnsi="Times New Roman" w:eastAsia="宋体" w:cs="Times New Roman"/>
          <w:bCs w:val="0"/>
          <w:color w:val="auto"/>
          <w:kern w:val="44"/>
          <w:sz w:val="30"/>
          <w:szCs w:val="20"/>
        </w:rPr>
        <w:t>建设项目</w:t>
      </w:r>
      <w:r>
        <w:rPr>
          <w:rFonts w:hint="default" w:ascii="Times New Roman" w:hAnsi="Times New Roman" w:cs="Times New Roman"/>
          <w:color w:val="auto"/>
        </w:rPr>
        <w:t>采取的防治措施及预期治理效果</w:t>
      </w:r>
      <w:bookmarkEnd w:id="28"/>
      <w:bookmarkEnd w:id="29"/>
    </w:p>
    <w:tbl>
      <w:tblPr>
        <w:tblStyle w:val="43"/>
        <w:tblW w:w="103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245"/>
        <w:gridCol w:w="2196"/>
        <w:gridCol w:w="2544"/>
        <w:gridCol w:w="3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8" w:hRule="atLeast"/>
          <w:jc w:val="center"/>
        </w:trPr>
        <w:tc>
          <w:tcPr>
            <w:tcW w:w="898" w:type="dxa"/>
            <w:tcBorders>
              <w:tl2br w:val="single" w:color="auto" w:sz="4" w:space="0"/>
            </w:tcBorders>
            <w:textDirection w:val="tbRlV"/>
            <w:vAlign w:val="center"/>
          </w:tcPr>
          <w:p>
            <w:pPr>
              <w:widowControl w:val="0"/>
              <w:spacing w:after="0" w:line="240" w:lineRule="auto"/>
              <w:ind w:left="113" w:right="113"/>
              <w:jc w:val="both"/>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内容</w:t>
            </w:r>
          </w:p>
          <w:p>
            <w:pPr>
              <w:widowControl w:val="0"/>
              <w:spacing w:after="0" w:line="240" w:lineRule="auto"/>
              <w:ind w:left="113" w:right="113"/>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类型</w:t>
            </w:r>
          </w:p>
        </w:tc>
        <w:tc>
          <w:tcPr>
            <w:tcW w:w="1245"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排放源</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（编号）</w:t>
            </w:r>
          </w:p>
        </w:tc>
        <w:tc>
          <w:tcPr>
            <w:tcW w:w="2196"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污染物</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名称</w:t>
            </w:r>
          </w:p>
        </w:tc>
        <w:tc>
          <w:tcPr>
            <w:tcW w:w="2544"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防治措施</w:t>
            </w:r>
          </w:p>
        </w:tc>
        <w:tc>
          <w:tcPr>
            <w:tcW w:w="3480"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8" w:hRule="atLeast"/>
          <w:jc w:val="center"/>
        </w:trPr>
        <w:tc>
          <w:tcPr>
            <w:tcW w:w="898" w:type="dxa"/>
            <w:vMerge w:val="restart"/>
            <w:vAlign w:val="center"/>
          </w:tcPr>
          <w:p>
            <w:pPr>
              <w:widowControl w:val="0"/>
              <w:spacing w:after="0" w:line="240" w:lineRule="auto"/>
              <w:ind w:firstLine="210" w:firstLineChars="100"/>
              <w:jc w:val="both"/>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大</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气</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污</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染</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物</w:t>
            </w:r>
          </w:p>
        </w:tc>
        <w:tc>
          <w:tcPr>
            <w:tcW w:w="1245" w:type="dxa"/>
            <w:vAlign w:val="center"/>
          </w:tcPr>
          <w:p>
            <w:pPr>
              <w:widowControl w:val="0"/>
              <w:autoSpaceDE w:val="0"/>
              <w:autoSpaceDN w:val="0"/>
              <w:adjustRightInd w:val="0"/>
              <w:jc w:val="center"/>
              <w:textAlignment w:val="baseline"/>
              <w:rPr>
                <w:rFonts w:ascii="宋体" w:hAnsi="Impact"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开料、机加工工序</w:t>
            </w:r>
          </w:p>
        </w:tc>
        <w:tc>
          <w:tcPr>
            <w:tcW w:w="2196" w:type="dxa"/>
            <w:vAlign w:val="center"/>
          </w:tcPr>
          <w:p>
            <w:pPr>
              <w:widowControl w:val="0"/>
              <w:adjustRightInd w:val="0"/>
              <w:snapToGrid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4"/>
                <w:position w:val="0"/>
                <w:sz w:val="21"/>
                <w:szCs w:val="21"/>
                <w:highlight w:val="none"/>
                <w:lang w:val="en-US" w:eastAsia="zh-CN" w:bidi="ar-SA"/>
              </w:rPr>
              <w:t>粉尘</w:t>
            </w:r>
          </w:p>
        </w:tc>
        <w:tc>
          <w:tcPr>
            <w:tcW w:w="2544" w:type="dxa"/>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加强机械通风措施</w:t>
            </w:r>
          </w:p>
        </w:tc>
        <w:tc>
          <w:tcPr>
            <w:tcW w:w="3480"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达到广东省地方标准《大气污染物排放限值》（DB44/27-2001）中第二时段无组织排放监控浓度限值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0" w:hRule="atLeast"/>
          <w:jc w:val="center"/>
        </w:trPr>
        <w:tc>
          <w:tcPr>
            <w:tcW w:w="898" w:type="dxa"/>
            <w:vMerge w:val="continue"/>
            <w:vAlign w:val="center"/>
          </w:tcPr>
          <w:p>
            <w:pPr>
              <w:widowControl w:val="0"/>
              <w:spacing w:after="0" w:line="240" w:lineRule="auto"/>
              <w:jc w:val="center"/>
              <w:rPr>
                <w:rFonts w:ascii="Times New Roman" w:hAnsi="宋体" w:eastAsia="宋体" w:cs="Times New Roman"/>
                <w:color w:val="auto"/>
                <w:kern w:val="2"/>
                <w:sz w:val="21"/>
                <w:szCs w:val="21"/>
                <w:highlight w:val="none"/>
              </w:rPr>
            </w:pPr>
          </w:p>
        </w:tc>
        <w:tc>
          <w:tcPr>
            <w:tcW w:w="1245" w:type="dxa"/>
            <w:vAlign w:val="center"/>
          </w:tcPr>
          <w:p>
            <w:pPr>
              <w:widowControl w:val="0"/>
              <w:autoSpaceDE w:val="0"/>
              <w:autoSpaceDN w:val="0"/>
              <w:adjustRightIn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红冲</w:t>
            </w:r>
            <w:r>
              <w:rPr>
                <w:rFonts w:ascii="Times New Roman" w:hAnsi="Times New Roman" w:eastAsia="宋体" w:cs="Times New Roman"/>
                <w:color w:val="auto"/>
                <w:kern w:val="2"/>
                <w:sz w:val="21"/>
                <w:szCs w:val="21"/>
                <w:highlight w:val="none"/>
                <w:lang w:val="en-US" w:eastAsia="zh-CN" w:bidi="ar-SA"/>
              </w:rPr>
              <w:t>工序</w:t>
            </w:r>
          </w:p>
        </w:tc>
        <w:tc>
          <w:tcPr>
            <w:tcW w:w="2196" w:type="dxa"/>
            <w:vAlign w:val="center"/>
          </w:tcPr>
          <w:p>
            <w:pPr>
              <w:widowControl w:val="0"/>
              <w:adjustRightInd w:val="0"/>
              <w:snapToGrid w:val="0"/>
              <w:spacing w:after="0" w:line="240"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非甲烷总烃</w:t>
            </w:r>
          </w:p>
        </w:tc>
        <w:tc>
          <w:tcPr>
            <w:tcW w:w="2544" w:type="dxa"/>
            <w:vAlign w:val="center"/>
          </w:tcPr>
          <w:p>
            <w:pPr>
              <w:widowControl w:val="0"/>
              <w:spacing w:after="0" w:line="240"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设置集气装置将废气进行收集后引至</w:t>
            </w:r>
            <w:r>
              <w:rPr>
                <w:rFonts w:hint="eastAsia" w:ascii="Times New Roman" w:hAnsi="宋体" w:eastAsia="宋体" w:cs="Times New Roman"/>
                <w:color w:val="auto"/>
                <w:kern w:val="2"/>
                <w:sz w:val="21"/>
                <w:szCs w:val="21"/>
                <w:highlight w:val="none"/>
                <w:lang w:eastAsia="zh-CN"/>
              </w:rPr>
              <w:t>水喷淋</w:t>
            </w:r>
            <w:r>
              <w:rPr>
                <w:rFonts w:hint="eastAsia" w:ascii="Times New Roman" w:hAnsi="宋体" w:eastAsia="宋体" w:cs="Times New Roman"/>
                <w:color w:val="auto"/>
                <w:kern w:val="2"/>
                <w:sz w:val="21"/>
                <w:szCs w:val="21"/>
                <w:highlight w:val="none"/>
                <w:lang w:val="en-US" w:eastAsia="zh-CN"/>
              </w:rPr>
              <w:t>+活性炭吸附装置</w:t>
            </w:r>
            <w:r>
              <w:rPr>
                <w:rFonts w:ascii="Times New Roman" w:hAnsi="Times New Roman" w:eastAsia="宋体" w:cs="Times New Roman"/>
                <w:color w:val="auto"/>
                <w:kern w:val="2"/>
                <w:sz w:val="21"/>
                <w:szCs w:val="21"/>
                <w:highlight w:val="none"/>
              </w:rPr>
              <w:t>进行处理</w:t>
            </w:r>
            <w:r>
              <w:rPr>
                <w:rFonts w:hint="eastAsia" w:ascii="Times New Roman" w:hAnsi="Times New Roman" w:eastAsia="宋体" w:cs="Times New Roman"/>
                <w:color w:val="auto"/>
                <w:kern w:val="2"/>
                <w:sz w:val="21"/>
                <w:szCs w:val="21"/>
                <w:highlight w:val="none"/>
              </w:rPr>
              <w:t>后高空排放</w:t>
            </w:r>
          </w:p>
        </w:tc>
        <w:tc>
          <w:tcPr>
            <w:tcW w:w="348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达到广东省地方标准《大气污染物排放限值》（DB44/27-2001）中第二时段二级标准和第二时段无组织排放监控浓度限值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1" w:hRule="atLeast"/>
          <w:jc w:val="center"/>
        </w:trPr>
        <w:tc>
          <w:tcPr>
            <w:tcW w:w="898" w:type="dxa"/>
            <w:vMerge w:val="continue"/>
            <w:vAlign w:val="center"/>
          </w:tcPr>
          <w:p>
            <w:pPr>
              <w:widowControl w:val="0"/>
              <w:spacing w:after="0" w:line="240" w:lineRule="auto"/>
              <w:jc w:val="center"/>
              <w:rPr>
                <w:rFonts w:ascii="Times New Roman" w:hAnsi="宋体" w:eastAsia="宋体" w:cs="Times New Roman"/>
                <w:color w:val="auto"/>
                <w:kern w:val="2"/>
                <w:sz w:val="21"/>
                <w:szCs w:val="21"/>
                <w:highlight w:val="none"/>
              </w:rPr>
            </w:pPr>
          </w:p>
        </w:tc>
        <w:tc>
          <w:tcPr>
            <w:tcW w:w="1245" w:type="dxa"/>
            <w:vAlign w:val="center"/>
          </w:tcPr>
          <w:p>
            <w:pPr>
              <w:widowControl/>
              <w:autoSpaceDE w:val="0"/>
              <w:autoSpaceDN w:val="0"/>
              <w:adjustRightInd w:val="0"/>
              <w:spacing w:after="0" w:line="240" w:lineRule="auto"/>
              <w:jc w:val="center"/>
              <w:textAlignment w:val="baseline"/>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4"/>
                <w:sz w:val="21"/>
                <w:szCs w:val="21"/>
                <w:highlight w:val="none"/>
              </w:rPr>
              <w:t>燃料废气</w:t>
            </w:r>
          </w:p>
        </w:tc>
        <w:tc>
          <w:tcPr>
            <w:tcW w:w="2196" w:type="dxa"/>
            <w:vAlign w:val="center"/>
          </w:tcPr>
          <w:p>
            <w:pPr>
              <w:widowControl w:val="0"/>
              <w:topLinePunct/>
              <w:autoSpaceDE w:val="0"/>
              <w:autoSpaceDN w:val="0"/>
              <w:adjustRightInd w:val="0"/>
              <w:jc w:val="center"/>
              <w:textAlignment w:val="baseline"/>
              <w:rPr>
                <w:rFonts w:ascii="Times New Roman" w:hAnsi="Impact" w:eastAsia="宋体" w:cs="Times New Roman"/>
                <w:color w:val="auto"/>
                <w:kern w:val="24"/>
                <w:position w:val="0"/>
                <w:sz w:val="21"/>
                <w:szCs w:val="21"/>
                <w:highlight w:val="none"/>
                <w:lang w:val="en-US" w:eastAsia="zh-CN" w:bidi="ar-SA"/>
              </w:rPr>
            </w:pPr>
            <w:r>
              <w:rPr>
                <w:rFonts w:hint="eastAsia" w:ascii="Times New Roman" w:hAnsi="Impact" w:eastAsia="宋体" w:cs="Times New Roman"/>
                <w:color w:val="auto"/>
                <w:kern w:val="24"/>
                <w:position w:val="0"/>
                <w:sz w:val="21"/>
                <w:szCs w:val="21"/>
                <w:highlight w:val="none"/>
                <w:lang w:val="en-US" w:eastAsia="zh-CN" w:bidi="ar-SA"/>
              </w:rPr>
              <w:t>SO</w:t>
            </w:r>
            <w:r>
              <w:rPr>
                <w:rFonts w:hint="eastAsia" w:ascii="Times New Roman" w:hAnsi="Impact" w:eastAsia="宋体" w:cs="Times New Roman"/>
                <w:color w:val="auto"/>
                <w:kern w:val="24"/>
                <w:position w:val="0"/>
                <w:sz w:val="21"/>
                <w:szCs w:val="21"/>
                <w:highlight w:val="none"/>
                <w:vertAlign w:val="subscript"/>
                <w:lang w:val="en-US" w:eastAsia="zh-CN" w:bidi="ar-SA"/>
              </w:rPr>
              <w:t>2</w:t>
            </w:r>
            <w:r>
              <w:rPr>
                <w:rFonts w:hint="eastAsia" w:ascii="Times New Roman" w:hAnsi="宋体" w:eastAsia="宋体" w:cs="Times New Roman"/>
                <w:color w:val="auto"/>
                <w:kern w:val="2"/>
                <w:sz w:val="21"/>
                <w:szCs w:val="21"/>
                <w:highlight w:val="none"/>
                <w:lang w:eastAsia="zh-CN"/>
              </w:rPr>
              <w:t>、</w:t>
            </w:r>
            <w:r>
              <w:rPr>
                <w:rFonts w:hint="eastAsia" w:ascii="Times New Roman" w:hAnsi="Impact" w:eastAsia="宋体" w:cs="Times New Roman"/>
                <w:color w:val="auto"/>
                <w:kern w:val="24"/>
                <w:position w:val="0"/>
                <w:sz w:val="21"/>
                <w:szCs w:val="21"/>
                <w:highlight w:val="none"/>
                <w:lang w:val="en-US" w:eastAsia="zh-CN" w:bidi="ar-SA"/>
              </w:rPr>
              <w:t>NO</w:t>
            </w:r>
            <w:r>
              <w:rPr>
                <w:rFonts w:hint="eastAsia" w:ascii="Times New Roman" w:hAnsi="Impact" w:eastAsia="宋体" w:cs="Times New Roman"/>
                <w:color w:val="auto"/>
                <w:kern w:val="24"/>
                <w:position w:val="0"/>
                <w:sz w:val="21"/>
                <w:szCs w:val="21"/>
                <w:highlight w:val="none"/>
                <w:vertAlign w:val="subscript"/>
                <w:lang w:val="en-US" w:eastAsia="zh-CN" w:bidi="ar-SA"/>
              </w:rPr>
              <w:t>X</w:t>
            </w:r>
            <w:r>
              <w:rPr>
                <w:rFonts w:hint="eastAsia" w:ascii="Times New Roman" w:hAnsi="宋体" w:eastAsia="宋体" w:cs="Times New Roman"/>
                <w:color w:val="auto"/>
                <w:kern w:val="2"/>
                <w:sz w:val="21"/>
                <w:szCs w:val="21"/>
                <w:highlight w:val="none"/>
                <w:lang w:eastAsia="zh-CN"/>
              </w:rPr>
              <w:t>、</w:t>
            </w:r>
            <w:r>
              <w:rPr>
                <w:rFonts w:hint="eastAsia" w:ascii="Times New Roman" w:hAnsi="Impact" w:eastAsia="宋体" w:cs="Times New Roman"/>
                <w:color w:val="auto"/>
                <w:kern w:val="24"/>
                <w:position w:val="0"/>
                <w:sz w:val="21"/>
                <w:szCs w:val="21"/>
                <w:highlight w:val="none"/>
                <w:lang w:val="en-US" w:eastAsia="zh-CN" w:bidi="ar-SA"/>
              </w:rPr>
              <w:t>烟尘</w:t>
            </w:r>
          </w:p>
        </w:tc>
        <w:tc>
          <w:tcPr>
            <w:tcW w:w="2544" w:type="dxa"/>
            <w:vAlign w:val="center"/>
          </w:tcPr>
          <w:p>
            <w:pPr>
              <w:widowControl w:val="0"/>
              <w:snapToGrid w:val="0"/>
              <w:spacing w:after="0" w:line="240" w:lineRule="auto"/>
              <w:jc w:val="center"/>
              <w:rPr>
                <w:rFonts w:ascii="Times New Roman" w:hAnsi="Times New Roman" w:eastAsia="宋体" w:cs="Times New Roman"/>
                <w:color w:val="FF0000"/>
                <w:kern w:val="2"/>
                <w:sz w:val="21"/>
                <w:szCs w:val="21"/>
                <w:highlight w:val="none"/>
              </w:rPr>
            </w:pPr>
            <w:r>
              <w:rPr>
                <w:rFonts w:hint="eastAsia" w:ascii="宋体" w:hAnsi="宋体" w:eastAsia="宋体" w:cs="Times New Roman"/>
                <w:color w:val="auto"/>
                <w:kern w:val="2"/>
                <w:sz w:val="21"/>
                <w:szCs w:val="21"/>
                <w:highlight w:val="none"/>
              </w:rPr>
              <w:t>设置</w:t>
            </w:r>
            <w:r>
              <w:rPr>
                <w:rFonts w:ascii="Times New Roman" w:hAnsi="宋体" w:eastAsia="宋体" w:cs="Times New Roman"/>
                <w:color w:val="auto"/>
                <w:kern w:val="2"/>
                <w:sz w:val="21"/>
                <w:szCs w:val="21"/>
                <w:highlight w:val="none"/>
              </w:rPr>
              <w:t>集气装置收集后引至楼顶高空排放</w:t>
            </w:r>
          </w:p>
        </w:tc>
        <w:tc>
          <w:tcPr>
            <w:tcW w:w="3480" w:type="dxa"/>
            <w:vMerge w:val="continue"/>
            <w:vAlign w:val="center"/>
          </w:tcPr>
          <w:p>
            <w:pPr>
              <w:widowControl w:val="0"/>
              <w:spacing w:after="0" w:line="216" w:lineRule="auto"/>
              <w:jc w:val="center"/>
              <w:rPr>
                <w:rFonts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jc w:val="center"/>
        </w:trPr>
        <w:tc>
          <w:tcPr>
            <w:tcW w:w="898" w:type="dxa"/>
            <w:vMerge w:val="continue"/>
            <w:vAlign w:val="center"/>
          </w:tcPr>
          <w:p>
            <w:pPr>
              <w:widowControl w:val="0"/>
              <w:spacing w:after="0" w:line="240" w:lineRule="auto"/>
              <w:jc w:val="center"/>
              <w:rPr>
                <w:rFonts w:ascii="Times New Roman" w:hAnsi="宋体" w:eastAsia="宋体" w:cs="Times New Roman"/>
                <w:color w:val="auto"/>
                <w:kern w:val="2"/>
                <w:sz w:val="21"/>
                <w:szCs w:val="21"/>
                <w:highlight w:val="none"/>
              </w:rPr>
            </w:pPr>
          </w:p>
        </w:tc>
        <w:tc>
          <w:tcPr>
            <w:tcW w:w="1245" w:type="dxa"/>
            <w:vAlign w:val="center"/>
          </w:tcPr>
          <w:p>
            <w:pPr>
              <w:widowControl w:val="0"/>
              <w:autoSpaceDE w:val="0"/>
              <w:autoSpaceDN w:val="0"/>
              <w:adjustRightInd w:val="0"/>
              <w:jc w:val="center"/>
              <w:textAlignment w:val="baseline"/>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抛光工序</w:t>
            </w:r>
          </w:p>
        </w:tc>
        <w:tc>
          <w:tcPr>
            <w:tcW w:w="2196" w:type="dxa"/>
            <w:vAlign w:val="center"/>
          </w:tcPr>
          <w:p>
            <w:pPr>
              <w:widowControl w:val="0"/>
              <w:topLinePunct/>
              <w:autoSpaceDE w:val="0"/>
              <w:autoSpaceDN w:val="0"/>
              <w:adjustRightInd w:val="0"/>
              <w:jc w:val="center"/>
              <w:textAlignment w:val="baseline"/>
              <w:rPr>
                <w:rFonts w:ascii="Times New Roman" w:hAnsi="Impact" w:eastAsia="宋体" w:cs="Times New Roman"/>
                <w:color w:val="auto"/>
                <w:kern w:val="24"/>
                <w:position w:val="0"/>
                <w:sz w:val="21"/>
                <w:szCs w:val="21"/>
                <w:highlight w:val="none"/>
                <w:lang w:val="en-US" w:eastAsia="zh-CN" w:bidi="ar-SA"/>
              </w:rPr>
            </w:pPr>
            <w:r>
              <w:rPr>
                <w:rFonts w:ascii="Times New Roman" w:hAnsi="Times New Roman" w:eastAsia="宋体" w:cs="Times New Roman"/>
                <w:color w:val="auto"/>
                <w:kern w:val="24"/>
                <w:position w:val="0"/>
                <w:sz w:val="21"/>
                <w:szCs w:val="21"/>
                <w:highlight w:val="none"/>
                <w:lang w:val="en-US" w:eastAsia="zh-CN" w:bidi="ar-SA"/>
              </w:rPr>
              <w:t>粉尘</w:t>
            </w:r>
          </w:p>
        </w:tc>
        <w:tc>
          <w:tcPr>
            <w:tcW w:w="2544" w:type="dxa"/>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r>
              <w:rPr>
                <w:rFonts w:ascii="Times New Roman" w:hAnsi="Times New Roman" w:eastAsia="宋体" w:cs="Times New Roman"/>
                <w:color w:val="auto"/>
                <w:kern w:val="2"/>
                <w:sz w:val="21"/>
                <w:szCs w:val="21"/>
                <w:highlight w:val="none"/>
              </w:rPr>
              <w:t>设置集气装置将粉尘收集后引至布袋除尘装置进行处理后高空排放</w:t>
            </w:r>
          </w:p>
        </w:tc>
        <w:tc>
          <w:tcPr>
            <w:tcW w:w="3480" w:type="dxa"/>
            <w:vMerge w:val="continue"/>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8" w:hRule="atLeast"/>
          <w:jc w:val="center"/>
        </w:trPr>
        <w:tc>
          <w:tcPr>
            <w:tcW w:w="898"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水</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污</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染</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物</w:t>
            </w:r>
          </w:p>
        </w:tc>
        <w:tc>
          <w:tcPr>
            <w:tcW w:w="1245" w:type="dxa"/>
            <w:vAlign w:val="center"/>
          </w:tcPr>
          <w:p>
            <w:pPr>
              <w:widowControl w:val="0"/>
              <w:spacing w:after="0" w:line="240" w:lineRule="auto"/>
              <w:jc w:val="center"/>
              <w:rPr>
                <w:rFonts w:hint="eastAsia" w:ascii="Times New Roman" w:hAnsi="Times New Roman" w:eastAsia="宋体" w:cs="Times New Roman"/>
                <w:color w:val="auto"/>
                <w:kern w:val="24"/>
                <w:position w:val="0"/>
                <w:sz w:val="21"/>
                <w:szCs w:val="21"/>
                <w:highlight w:val="none"/>
                <w:lang w:val="en-US" w:eastAsia="zh-CN" w:bidi="ar-SA"/>
              </w:rPr>
            </w:pPr>
            <w:r>
              <w:rPr>
                <w:rFonts w:hint="eastAsia" w:ascii="Times New Roman" w:hAnsi="Times New Roman" w:eastAsia="宋体" w:cs="Times New Roman"/>
                <w:color w:val="auto"/>
                <w:kern w:val="24"/>
                <w:position w:val="0"/>
                <w:sz w:val="21"/>
                <w:szCs w:val="21"/>
                <w:highlight w:val="none"/>
                <w:lang w:val="en-US" w:eastAsia="zh-CN" w:bidi="ar-SA"/>
              </w:rPr>
              <w:t>测试用水</w:t>
            </w:r>
          </w:p>
        </w:tc>
        <w:tc>
          <w:tcPr>
            <w:tcW w:w="8220" w:type="dxa"/>
            <w:gridSpan w:val="3"/>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4"/>
                <w:position w:val="0"/>
                <w:sz w:val="21"/>
                <w:szCs w:val="21"/>
                <w:highlight w:val="none"/>
                <w:lang w:val="en-US" w:eastAsia="zh-CN" w:bidi="ar-SA"/>
              </w:rPr>
              <w:t>测试用水</w:t>
            </w:r>
            <w:r>
              <w:rPr>
                <w:rFonts w:hint="default" w:ascii="Times New Roman" w:hAnsi="Times New Roman" w:eastAsia="宋体" w:cs="Times New Roman"/>
                <w:color w:val="auto"/>
                <w:spacing w:val="2"/>
                <w:kern w:val="2"/>
                <w:sz w:val="21"/>
                <w:szCs w:val="21"/>
              </w:rPr>
              <w:t>循环使用，</w:t>
            </w:r>
            <w:r>
              <w:rPr>
                <w:rFonts w:hint="eastAsia" w:hAnsi="宋体"/>
                <w:b w:val="0"/>
                <w:bCs w:val="0"/>
                <w:color w:val="auto"/>
                <w:sz w:val="21"/>
                <w:szCs w:val="21"/>
                <w:shd w:val="clear" w:color="auto" w:fill="auto"/>
                <w:lang w:eastAsia="zh-CN"/>
              </w:rPr>
              <w:t>定期补充，不外排，</w:t>
            </w:r>
            <w:r>
              <w:rPr>
                <w:rFonts w:hint="default" w:ascii="Times New Roman" w:hAnsi="Times New Roman" w:eastAsia="宋体" w:cs="Times New Roman"/>
                <w:color w:val="auto"/>
                <w:spacing w:val="2"/>
                <w:kern w:val="2"/>
                <w:sz w:val="21"/>
                <w:szCs w:val="21"/>
              </w:rPr>
              <w:t>年用量约为</w:t>
            </w:r>
            <w:r>
              <w:rPr>
                <w:rFonts w:hint="eastAsia" w:ascii="Times New Roman" w:hAnsi="Times New Roman" w:eastAsia="宋体" w:cs="Times New Roman"/>
                <w:color w:val="auto"/>
                <w:spacing w:val="2"/>
                <w:kern w:val="2"/>
                <w:sz w:val="21"/>
                <w:szCs w:val="21"/>
                <w:lang w:val="en-US" w:eastAsia="zh-CN"/>
              </w:rPr>
              <w:t>150</w:t>
            </w:r>
            <w:r>
              <w:rPr>
                <w:rFonts w:hint="default" w:ascii="Times New Roman" w:hAnsi="Times New Roman" w:eastAsia="宋体" w:cs="Times New Roman"/>
                <w:color w:val="auto"/>
                <w:spacing w:val="2"/>
                <w:kern w:val="2"/>
                <w:sz w:val="21"/>
                <w:szCs w:val="21"/>
              </w:rPr>
              <w:t>t/a，不外排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9" w:hRule="atLeast"/>
          <w:jc w:val="center"/>
        </w:trPr>
        <w:tc>
          <w:tcPr>
            <w:tcW w:w="898" w:type="dxa"/>
            <w:vMerge w:val="continue"/>
            <w:vAlign w:val="center"/>
          </w:tcPr>
          <w:p>
            <w:pPr>
              <w:widowControl w:val="0"/>
              <w:spacing w:after="0" w:line="240" w:lineRule="auto"/>
              <w:jc w:val="center"/>
              <w:rPr>
                <w:rFonts w:ascii="Times New Roman" w:hAnsi="宋体" w:eastAsia="宋体" w:cs="Times New Roman"/>
                <w:color w:val="auto"/>
                <w:kern w:val="2"/>
                <w:sz w:val="21"/>
                <w:szCs w:val="21"/>
                <w:highlight w:val="none"/>
              </w:rPr>
            </w:pPr>
          </w:p>
        </w:tc>
        <w:tc>
          <w:tcPr>
            <w:tcW w:w="1245" w:type="dxa"/>
            <w:vAlign w:val="center"/>
          </w:tcPr>
          <w:p>
            <w:pPr>
              <w:widowControl w:val="0"/>
              <w:spacing w:after="0" w:line="240" w:lineRule="auto"/>
              <w:jc w:val="center"/>
              <w:rPr>
                <w:rFonts w:hint="eastAsia" w:ascii="Times New Roman" w:hAnsi="Times New Roman" w:eastAsia="宋体" w:cs="Times New Roman"/>
                <w:color w:val="auto"/>
                <w:kern w:val="24"/>
                <w:position w:val="0"/>
                <w:sz w:val="21"/>
                <w:szCs w:val="21"/>
                <w:highlight w:val="none"/>
                <w:lang w:val="en-US" w:eastAsia="zh-CN" w:bidi="ar-SA"/>
              </w:rPr>
            </w:pPr>
            <w:r>
              <w:rPr>
                <w:rFonts w:hint="default" w:ascii="Times New Roman" w:hAnsi="Times New Roman" w:eastAsia="宋体" w:cs="Times New Roman"/>
                <w:color w:val="auto"/>
                <w:kern w:val="24"/>
                <w:position w:val="0"/>
                <w:sz w:val="21"/>
                <w:szCs w:val="21"/>
                <w:highlight w:val="none"/>
                <w:lang w:val="en-US" w:eastAsia="zh-CN" w:bidi="ar-SA"/>
              </w:rPr>
              <w:t>喷淋废水</w:t>
            </w:r>
          </w:p>
        </w:tc>
        <w:tc>
          <w:tcPr>
            <w:tcW w:w="8220" w:type="dxa"/>
            <w:gridSpan w:val="3"/>
            <w:vAlign w:val="center"/>
          </w:tcPr>
          <w:p>
            <w:pPr>
              <w:widowControl w:val="0"/>
              <w:spacing w:after="0" w:line="240" w:lineRule="auto"/>
              <w:jc w:val="center"/>
              <w:rPr>
                <w:rFonts w:ascii="Times New Roman" w:hAnsi="宋体" w:eastAsia="宋体" w:cs="Times New Roman"/>
                <w:color w:val="auto"/>
                <w:kern w:val="2"/>
                <w:sz w:val="21"/>
                <w:szCs w:val="21"/>
                <w:highlight w:val="none"/>
              </w:rPr>
            </w:pPr>
            <w:r>
              <w:rPr>
                <w:rFonts w:hint="default" w:ascii="Times New Roman" w:hAnsi="Times New Roman" w:eastAsia="宋体" w:cs="Times New Roman"/>
                <w:b w:val="0"/>
                <w:bCs/>
                <w:color w:val="auto"/>
                <w:spacing w:val="2"/>
                <w:kern w:val="2"/>
                <w:sz w:val="21"/>
                <w:szCs w:val="21"/>
              </w:rPr>
              <w:t>喷淋废水</w:t>
            </w:r>
            <w:r>
              <w:rPr>
                <w:rFonts w:hint="default" w:ascii="Times New Roman" w:hAnsi="Times New Roman" w:cs="Times New Roman"/>
                <w:color w:val="auto"/>
                <w:sz w:val="21"/>
                <w:szCs w:val="21"/>
                <w:highlight w:val="none"/>
              </w:rPr>
              <w:t>产生量为</w:t>
            </w:r>
            <w:r>
              <w:rPr>
                <w:rFonts w:hint="eastAsia" w:ascii="Times New Roman" w:hAnsi="Times New Roman" w:cs="Times New Roman"/>
                <w:color w:val="auto"/>
                <w:sz w:val="21"/>
                <w:szCs w:val="21"/>
                <w:highlight w:val="none"/>
                <w:lang w:val="en-US" w:eastAsia="zh-CN"/>
              </w:rPr>
              <w:t>16</w:t>
            </w:r>
            <w:r>
              <w:rPr>
                <w:rFonts w:hint="default" w:ascii="Times New Roman" w:hAnsi="Times New Roman" w:cs="Times New Roman"/>
                <w:color w:val="auto"/>
                <w:sz w:val="21"/>
                <w:szCs w:val="21"/>
                <w:highlight w:val="none"/>
              </w:rPr>
              <w:t>t/a</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经收集后定期交有资质单位处理，不外排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27" w:hRule="atLeast"/>
          <w:jc w:val="center"/>
        </w:trPr>
        <w:tc>
          <w:tcPr>
            <w:tcW w:w="898" w:type="dxa"/>
            <w:vMerge w:val="continue"/>
            <w:vAlign w:val="center"/>
          </w:tcPr>
          <w:p>
            <w:pPr>
              <w:widowControl w:val="0"/>
              <w:spacing w:after="0" w:line="240" w:lineRule="auto"/>
              <w:jc w:val="center"/>
              <w:rPr>
                <w:rFonts w:ascii="Times New Roman" w:hAnsi="宋体" w:eastAsia="宋体" w:cs="Times New Roman"/>
                <w:color w:val="auto"/>
                <w:kern w:val="2"/>
                <w:sz w:val="21"/>
                <w:szCs w:val="21"/>
                <w:highlight w:val="none"/>
              </w:rPr>
            </w:pPr>
          </w:p>
        </w:tc>
        <w:tc>
          <w:tcPr>
            <w:tcW w:w="1245" w:type="dxa"/>
            <w:vAlign w:val="center"/>
          </w:tcPr>
          <w:p>
            <w:pPr>
              <w:widowControl w:val="0"/>
              <w:spacing w:after="0" w:line="240" w:lineRule="auto"/>
              <w:jc w:val="center"/>
              <w:rPr>
                <w:rFonts w:ascii="Times New Roman" w:hAnsi="宋体"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生活污水</w:t>
            </w:r>
          </w:p>
        </w:tc>
        <w:tc>
          <w:tcPr>
            <w:tcW w:w="2196"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COD</w:t>
            </w:r>
            <w:r>
              <w:rPr>
                <w:rFonts w:ascii="Times New Roman" w:hAnsi="Times New Roman" w:eastAsia="宋体" w:cs="Times New Roman"/>
                <w:color w:val="auto"/>
                <w:kern w:val="2"/>
                <w:sz w:val="21"/>
                <w:szCs w:val="21"/>
                <w:highlight w:val="none"/>
                <w:vertAlign w:val="subscript"/>
                <w:lang w:val="en-US" w:eastAsia="zh-CN"/>
              </w:rPr>
              <w:t>cr</w:t>
            </w:r>
          </w:p>
          <w:p>
            <w:pPr>
              <w:widowControl w:val="0"/>
              <w:spacing w:after="0" w:line="240" w:lineRule="auto"/>
              <w:jc w:val="center"/>
              <w:rPr>
                <w:rFonts w:ascii="Times New Roman" w:hAnsi="Times New Roman" w:eastAsia="宋体" w:cs="Times New Roman"/>
                <w:color w:val="auto"/>
                <w:kern w:val="2"/>
                <w:sz w:val="21"/>
                <w:szCs w:val="21"/>
                <w:highlight w:val="none"/>
                <w:lang w:val="en-US" w:eastAsia="zh-CN"/>
              </w:rPr>
            </w:pPr>
            <w:r>
              <w:rPr>
                <w:rFonts w:ascii="Times New Roman" w:hAnsi="Times New Roman" w:eastAsia="宋体" w:cs="Times New Roman"/>
                <w:color w:val="auto"/>
                <w:kern w:val="2"/>
                <w:sz w:val="21"/>
                <w:szCs w:val="21"/>
                <w:highlight w:val="none"/>
                <w:lang w:val="en-US" w:eastAsia="zh-CN"/>
              </w:rPr>
              <w:t>BOD</w:t>
            </w:r>
            <w:r>
              <w:rPr>
                <w:rFonts w:ascii="Times New Roman" w:hAnsi="Times New Roman" w:eastAsia="宋体" w:cs="Times New Roman"/>
                <w:color w:val="auto"/>
                <w:kern w:val="2"/>
                <w:sz w:val="21"/>
                <w:szCs w:val="21"/>
                <w:highlight w:val="none"/>
                <w:vertAlign w:val="subscript"/>
                <w:lang w:val="en-US" w:eastAsia="zh-CN"/>
              </w:rPr>
              <w:t>5</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SS</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NH</w:t>
            </w:r>
            <w:r>
              <w:rPr>
                <w:rFonts w:ascii="Times New Roman" w:hAnsi="Times New Roman" w:eastAsia="宋体" w:cs="Times New Roman"/>
                <w:color w:val="auto"/>
                <w:kern w:val="2"/>
                <w:sz w:val="21"/>
                <w:szCs w:val="21"/>
                <w:highlight w:val="none"/>
                <w:vertAlign w:val="subscript"/>
              </w:rPr>
              <w:t>3</w:t>
            </w:r>
            <w:r>
              <w:rPr>
                <w:rFonts w:ascii="Times New Roman" w:hAnsi="Times New Roman" w:eastAsia="宋体" w:cs="Times New Roman"/>
                <w:color w:val="auto"/>
                <w:kern w:val="2"/>
                <w:sz w:val="21"/>
                <w:szCs w:val="21"/>
                <w:highlight w:val="none"/>
              </w:rPr>
              <w:t xml:space="preserve">-N </w:t>
            </w:r>
          </w:p>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544" w:type="dxa"/>
            <w:vAlign w:val="center"/>
          </w:tcPr>
          <w:p>
            <w:pPr>
              <w:widowControl w:val="0"/>
              <w:spacing w:after="0" w:line="240" w:lineRule="auto"/>
              <w:jc w:val="center"/>
              <w:rPr>
                <w:rFonts w:hint="eastAsia" w:ascii="Times New Roman" w:hAnsi="宋体" w:eastAsia="宋体" w:cs="Times New Roman"/>
                <w:color w:val="auto"/>
                <w:kern w:val="2"/>
                <w:sz w:val="21"/>
                <w:szCs w:val="21"/>
                <w:highlight w:val="none"/>
                <w:lang w:eastAsia="zh-CN"/>
              </w:rPr>
            </w:pPr>
            <w:r>
              <w:rPr>
                <w:rFonts w:ascii="Times New Roman" w:hAnsi="宋体" w:eastAsia="宋体" w:cs="Times New Roman"/>
                <w:color w:val="auto"/>
                <w:kern w:val="2"/>
                <w:sz w:val="21"/>
                <w:szCs w:val="21"/>
                <w:highlight w:val="none"/>
              </w:rPr>
              <w:t>经</w:t>
            </w:r>
            <w:r>
              <w:rPr>
                <w:rFonts w:hint="eastAsia" w:ascii="Times New Roman" w:hAnsi="宋体" w:eastAsia="宋体" w:cs="Times New Roman"/>
                <w:color w:val="auto"/>
                <w:kern w:val="2"/>
                <w:sz w:val="21"/>
                <w:szCs w:val="21"/>
                <w:highlight w:val="none"/>
              </w:rPr>
              <w:t>三级化粪池</w:t>
            </w:r>
            <w:r>
              <w:rPr>
                <w:rFonts w:ascii="Times New Roman" w:hAnsi="宋体" w:eastAsia="宋体" w:cs="Times New Roman"/>
                <w:color w:val="auto"/>
                <w:kern w:val="2"/>
                <w:sz w:val="21"/>
                <w:szCs w:val="21"/>
                <w:highlight w:val="none"/>
              </w:rPr>
              <w:t>处理后排放到市政</w:t>
            </w:r>
            <w:r>
              <w:rPr>
                <w:rFonts w:hint="eastAsia" w:ascii="Times New Roman" w:hAnsi="宋体" w:eastAsia="宋体" w:cs="Times New Roman"/>
                <w:color w:val="auto"/>
                <w:kern w:val="2"/>
                <w:sz w:val="21"/>
                <w:szCs w:val="21"/>
                <w:highlight w:val="none"/>
              </w:rPr>
              <w:t>污水</w:t>
            </w:r>
            <w:r>
              <w:rPr>
                <w:rFonts w:ascii="Times New Roman" w:hAnsi="宋体" w:eastAsia="宋体" w:cs="Times New Roman"/>
                <w:color w:val="auto"/>
                <w:spacing w:val="15"/>
                <w:kern w:val="2"/>
                <w:sz w:val="21"/>
                <w:szCs w:val="21"/>
                <w:highlight w:val="none"/>
              </w:rPr>
              <w:t>管网</w:t>
            </w:r>
            <w:r>
              <w:rPr>
                <w:rFonts w:ascii="Times New Roman" w:hAnsi="宋体" w:eastAsia="宋体" w:cs="Times New Roman"/>
                <w:color w:val="auto"/>
                <w:kern w:val="2"/>
                <w:sz w:val="21"/>
                <w:szCs w:val="21"/>
                <w:highlight w:val="none"/>
              </w:rPr>
              <w:t>，</w:t>
            </w:r>
            <w:r>
              <w:rPr>
                <w:rFonts w:hint="eastAsia" w:ascii="Times New Roman" w:hAnsi="宋体" w:eastAsia="宋体" w:cs="Times New Roman"/>
                <w:color w:val="auto"/>
                <w:kern w:val="2"/>
                <w:sz w:val="21"/>
                <w:szCs w:val="21"/>
                <w:highlight w:val="none"/>
              </w:rPr>
              <w:t>引至开平市水口污水处理厂</w:t>
            </w:r>
          </w:p>
        </w:tc>
        <w:tc>
          <w:tcPr>
            <w:tcW w:w="3480" w:type="dxa"/>
            <w:vAlign w:val="center"/>
          </w:tcPr>
          <w:p>
            <w:pPr>
              <w:widowControl w:val="0"/>
              <w:spacing w:after="0" w:line="240" w:lineRule="auto"/>
              <w:jc w:val="center"/>
              <w:rPr>
                <w:rFonts w:ascii="Times New Roman" w:hAnsi="宋体"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达到</w:t>
            </w:r>
            <w:r>
              <w:rPr>
                <w:rFonts w:hint="eastAsia" w:ascii="Times New Roman" w:hAnsi="Times New Roman" w:eastAsia="宋体" w:cs="Times New Roman"/>
                <w:color w:val="auto"/>
                <w:kern w:val="2"/>
                <w:sz w:val="21"/>
                <w:szCs w:val="21"/>
                <w:highlight w:val="none"/>
              </w:rPr>
              <w:t>广东省地方标准《水污染物排放限值》</w:t>
            </w:r>
            <w:r>
              <w:rPr>
                <w:rFonts w:ascii="Times New Roman" w:hAnsi="Times New Roman" w:eastAsia="宋体" w:cs="Times New Roman"/>
                <w:color w:val="auto"/>
                <w:kern w:val="2"/>
                <w:sz w:val="21"/>
                <w:szCs w:val="21"/>
                <w:highlight w:val="none"/>
              </w:rPr>
              <w:t>（DB44/26-2001）第二时段三级标准</w:t>
            </w:r>
            <w:r>
              <w:rPr>
                <w:rFonts w:hint="eastAsia" w:ascii="Times New Roman" w:hAnsi="Times New Roman" w:eastAsia="宋体" w:cs="Times New Roman"/>
                <w:color w:val="auto"/>
                <w:kern w:val="2"/>
                <w:sz w:val="21"/>
                <w:szCs w:val="21"/>
                <w:highlight w:val="none"/>
              </w:rPr>
              <w:t>和</w:t>
            </w:r>
            <w:r>
              <w:rPr>
                <w:rFonts w:hint="eastAsia" w:ascii="Times New Roman" w:hAnsi="Times New Roman" w:eastAsia="宋体" w:cs="Times New Roman"/>
                <w:color w:val="auto"/>
                <w:kern w:val="2"/>
                <w:sz w:val="21"/>
                <w:szCs w:val="21"/>
                <w:highlight w:val="none"/>
                <w:lang w:eastAsia="zh-CN"/>
              </w:rPr>
              <w:t>《污水排入城镇下水道水质标准》(GB/T31962-2015 )B级标准</w:t>
            </w:r>
            <w:r>
              <w:rPr>
                <w:rFonts w:hint="eastAsia" w:ascii="Times New Roman" w:hAnsi="Times New Roman" w:eastAsia="宋体" w:cs="Times New Roman"/>
                <w:color w:val="auto"/>
                <w:kern w:val="2"/>
                <w:sz w:val="21"/>
                <w:szCs w:val="21"/>
                <w:highlight w:val="none"/>
              </w:rPr>
              <w:t>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atLeast"/>
          <w:jc w:val="center"/>
        </w:trPr>
        <w:tc>
          <w:tcPr>
            <w:tcW w:w="898"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固</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体</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废</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物</w:t>
            </w:r>
          </w:p>
        </w:tc>
        <w:tc>
          <w:tcPr>
            <w:tcW w:w="1245" w:type="dxa"/>
            <w:vAlign w:val="center"/>
          </w:tcPr>
          <w:p>
            <w:pPr>
              <w:widowControl w:val="0"/>
              <w:spacing w:after="0" w:line="240" w:lineRule="auto"/>
              <w:jc w:val="center"/>
              <w:rPr>
                <w:rFonts w:hint="default" w:ascii="Times New Roman" w:hAnsi="Times New Roman" w:eastAsia="宋体" w:cs="Times New Roman"/>
                <w:color w:val="auto"/>
                <w:kern w:val="24"/>
                <w:position w:val="0"/>
                <w:sz w:val="21"/>
                <w:szCs w:val="21"/>
                <w:highlight w:val="none"/>
                <w:lang w:val="en-US" w:eastAsia="zh-CN" w:bidi="ar-SA"/>
              </w:rPr>
            </w:pPr>
            <w:r>
              <w:rPr>
                <w:rFonts w:hint="default" w:ascii="Times New Roman" w:hAnsi="Times New Roman" w:eastAsia="宋体" w:cs="Times New Roman"/>
                <w:color w:val="auto"/>
                <w:kern w:val="24"/>
                <w:position w:val="0"/>
                <w:sz w:val="21"/>
                <w:szCs w:val="21"/>
                <w:highlight w:val="none"/>
                <w:lang w:val="en-US" w:eastAsia="zh-CN" w:bidi="ar-SA"/>
              </w:rPr>
              <w:t>生活垃圾</w:t>
            </w:r>
          </w:p>
        </w:tc>
        <w:tc>
          <w:tcPr>
            <w:tcW w:w="2196" w:type="dxa"/>
            <w:vAlign w:val="center"/>
          </w:tcPr>
          <w:p>
            <w:pPr>
              <w:widowControl w:val="0"/>
              <w:topLinePunct/>
              <w:autoSpaceDE w:val="0"/>
              <w:autoSpaceDN w:val="0"/>
              <w:adjustRightInd w:val="0"/>
              <w:jc w:val="center"/>
              <w:textAlignment w:val="baseline"/>
              <w:rPr>
                <w:rFonts w:ascii="Times New Roman" w:hAnsi="Times New Roman" w:eastAsia="宋体" w:cs="Times New Roman"/>
                <w:color w:val="auto"/>
                <w:kern w:val="24"/>
                <w:position w:val="0"/>
                <w:sz w:val="21"/>
                <w:szCs w:val="21"/>
                <w:highlight w:val="none"/>
                <w:lang w:val="en-US" w:eastAsia="zh-CN" w:bidi="ar-SA"/>
              </w:rPr>
            </w:pPr>
            <w:r>
              <w:rPr>
                <w:rFonts w:ascii="Times New Roman" w:hAnsi="宋体" w:eastAsia="宋体" w:cs="Times New Roman"/>
                <w:color w:val="auto"/>
                <w:kern w:val="24"/>
                <w:position w:val="0"/>
                <w:sz w:val="21"/>
                <w:szCs w:val="21"/>
                <w:highlight w:val="none"/>
                <w:lang w:val="en-US" w:eastAsia="zh-CN" w:bidi="ar-SA"/>
              </w:rPr>
              <w:t>生活垃圾</w:t>
            </w:r>
          </w:p>
        </w:tc>
        <w:tc>
          <w:tcPr>
            <w:tcW w:w="2544"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交环卫部门处理</w:t>
            </w:r>
          </w:p>
        </w:tc>
        <w:tc>
          <w:tcPr>
            <w:tcW w:w="3480" w:type="dxa"/>
            <w:vMerge w:val="restart"/>
            <w:vAlign w:val="center"/>
          </w:tcPr>
          <w:p>
            <w:pPr>
              <w:widowControl w:val="0"/>
              <w:spacing w:after="0" w:line="216" w:lineRule="auto"/>
              <w:jc w:val="center"/>
              <w:rPr>
                <w:rFonts w:ascii="Times New Roman" w:hAnsi="Times New Roman" w:eastAsia="宋体" w:cs="Times New Roman"/>
                <w:color w:val="FF0000"/>
                <w:kern w:val="2"/>
                <w:sz w:val="21"/>
                <w:szCs w:val="21"/>
                <w:highlight w:val="none"/>
              </w:rPr>
            </w:pPr>
            <w:r>
              <w:rPr>
                <w:rFonts w:ascii="Times New Roman" w:hAnsi="宋体" w:eastAsia="宋体" w:cs="Times New Roman"/>
                <w:color w:val="auto"/>
                <w:kern w:val="2"/>
                <w:sz w:val="21"/>
                <w:szCs w:val="21"/>
                <w:highlight w:val="none"/>
              </w:rPr>
              <w:t>符合环保有关要求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6" w:hRule="atLeast"/>
          <w:jc w:val="center"/>
        </w:trPr>
        <w:tc>
          <w:tcPr>
            <w:tcW w:w="898"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1245" w:type="dxa"/>
            <w:vAlign w:val="center"/>
          </w:tcPr>
          <w:p>
            <w:pPr>
              <w:widowControl w:val="0"/>
              <w:spacing w:after="0" w:line="240" w:lineRule="auto"/>
              <w:jc w:val="center"/>
              <w:rPr>
                <w:rFonts w:hint="default" w:ascii="Times New Roman" w:hAnsi="Times New Roman" w:eastAsia="宋体" w:cs="Times New Roman"/>
                <w:color w:val="auto"/>
                <w:kern w:val="24"/>
                <w:position w:val="0"/>
                <w:sz w:val="21"/>
                <w:szCs w:val="21"/>
                <w:highlight w:val="none"/>
                <w:lang w:val="en-US" w:eastAsia="zh-CN" w:bidi="ar-SA"/>
              </w:rPr>
            </w:pPr>
            <w:r>
              <w:rPr>
                <w:rFonts w:hint="default" w:ascii="Times New Roman" w:hAnsi="Times New Roman" w:eastAsia="宋体" w:cs="Times New Roman"/>
                <w:color w:val="auto"/>
                <w:kern w:val="24"/>
                <w:position w:val="0"/>
                <w:sz w:val="21"/>
                <w:szCs w:val="21"/>
                <w:highlight w:val="none"/>
                <w:lang w:val="en-US" w:eastAsia="zh-CN" w:bidi="ar-SA"/>
              </w:rPr>
              <w:t>一般固体废物</w:t>
            </w:r>
          </w:p>
        </w:tc>
        <w:tc>
          <w:tcPr>
            <w:tcW w:w="2196" w:type="dxa"/>
            <w:vAlign w:val="center"/>
          </w:tcPr>
          <w:p>
            <w:pPr>
              <w:pStyle w:val="229"/>
              <w:rPr>
                <w:color w:val="auto"/>
                <w:sz w:val="21"/>
                <w:szCs w:val="21"/>
                <w:highlight w:val="none"/>
              </w:rPr>
            </w:pPr>
            <w:r>
              <w:rPr>
                <w:rFonts w:hint="default" w:ascii="Times New Roman" w:hAnsi="Times New Roman" w:eastAsia="宋体" w:cs="Times New Roman"/>
                <w:color w:val="auto"/>
                <w:kern w:val="2"/>
                <w:sz w:val="21"/>
                <w:szCs w:val="21"/>
              </w:rPr>
              <w:t>沉降金属粉尘</w:t>
            </w:r>
            <w:r>
              <w:rPr>
                <w:rFonts w:hint="eastAsia"/>
                <w:color w:val="auto"/>
                <w:spacing w:val="-2"/>
                <w:sz w:val="21"/>
                <w:szCs w:val="21"/>
                <w:highlight w:val="none"/>
              </w:rPr>
              <w:t>、边角料、不合格品、废包装材料、布袋</w:t>
            </w:r>
            <w:r>
              <w:rPr>
                <w:rFonts w:hint="eastAsia"/>
                <w:color w:val="auto"/>
                <w:spacing w:val="-2"/>
                <w:sz w:val="21"/>
                <w:szCs w:val="21"/>
                <w:highlight w:val="none"/>
                <w:lang w:val="en-US" w:eastAsia="zh-CN"/>
              </w:rPr>
              <w:t xml:space="preserve"> </w:t>
            </w:r>
            <w:r>
              <w:rPr>
                <w:rFonts w:hint="eastAsia"/>
                <w:color w:val="auto"/>
                <w:spacing w:val="-2"/>
                <w:sz w:val="21"/>
                <w:szCs w:val="21"/>
                <w:highlight w:val="none"/>
              </w:rPr>
              <w:t>除尘装置收集的粉尘</w:t>
            </w:r>
          </w:p>
        </w:tc>
        <w:tc>
          <w:tcPr>
            <w:tcW w:w="2544" w:type="dxa"/>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交专业公司回收处理</w:t>
            </w:r>
          </w:p>
        </w:tc>
        <w:tc>
          <w:tcPr>
            <w:tcW w:w="3480" w:type="dxa"/>
            <w:vMerge w:val="continue"/>
            <w:vAlign w:val="center"/>
          </w:tcPr>
          <w:p>
            <w:pPr>
              <w:widowControl w:val="0"/>
              <w:spacing w:after="0" w:line="216" w:lineRule="auto"/>
              <w:jc w:val="center"/>
              <w:rPr>
                <w:rFonts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 w:hRule="atLeast"/>
          <w:jc w:val="center"/>
        </w:trPr>
        <w:tc>
          <w:tcPr>
            <w:tcW w:w="898" w:type="dxa"/>
            <w:vMerge w:val="continue"/>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1245" w:type="dxa"/>
            <w:vAlign w:val="center"/>
          </w:tcPr>
          <w:p>
            <w:pPr>
              <w:widowControl w:val="0"/>
              <w:topLinePunct/>
              <w:autoSpaceDE w:val="0"/>
              <w:autoSpaceDN w:val="0"/>
              <w:adjustRightInd w:val="0"/>
              <w:jc w:val="center"/>
              <w:textAlignment w:val="baseline"/>
              <w:rPr>
                <w:rFonts w:ascii="Times New Roman" w:hAnsi="宋体" w:eastAsia="宋体" w:cs="Times New Roman"/>
                <w:color w:val="auto"/>
                <w:kern w:val="24"/>
                <w:position w:val="0"/>
                <w:sz w:val="21"/>
                <w:szCs w:val="21"/>
                <w:highlight w:val="none"/>
                <w:lang w:val="en-US" w:eastAsia="zh-CN" w:bidi="ar-SA"/>
              </w:rPr>
            </w:pPr>
            <w:r>
              <w:rPr>
                <w:rFonts w:hint="eastAsia" w:ascii="Times New Roman" w:hAnsi="宋体" w:eastAsia="宋体" w:cs="Times New Roman"/>
                <w:color w:val="auto"/>
                <w:kern w:val="24"/>
                <w:position w:val="0"/>
                <w:sz w:val="21"/>
                <w:szCs w:val="21"/>
                <w:highlight w:val="none"/>
                <w:lang w:val="en-US" w:eastAsia="zh-CN" w:bidi="ar-SA"/>
              </w:rPr>
              <w:t>危险废物</w:t>
            </w:r>
          </w:p>
        </w:tc>
        <w:tc>
          <w:tcPr>
            <w:tcW w:w="2196" w:type="dxa"/>
            <w:vAlign w:val="center"/>
          </w:tcPr>
          <w:p>
            <w:pPr>
              <w:pStyle w:val="229"/>
              <w:rPr>
                <w:rFonts w:hAnsi="宋体"/>
                <w:color w:val="auto"/>
                <w:sz w:val="21"/>
                <w:szCs w:val="21"/>
                <w:highlight w:val="none"/>
              </w:rPr>
            </w:pPr>
            <w:r>
              <w:rPr>
                <w:rFonts w:hint="eastAsia" w:ascii="Times New Roman" w:hAnsi="Times New Roman" w:eastAsia="宋体" w:cs="Times New Roman"/>
                <w:color w:val="auto"/>
                <w:kern w:val="2"/>
                <w:sz w:val="21"/>
                <w:szCs w:val="21"/>
                <w:lang w:eastAsia="zh-CN"/>
              </w:rPr>
              <w:t>废润滑油油桶、废乳化液桶、废润滑油、废乳化液、</w:t>
            </w:r>
            <w:r>
              <w:rPr>
                <w:rFonts w:hint="eastAsia"/>
                <w:color w:val="auto"/>
                <w:sz w:val="21"/>
                <w:szCs w:val="21"/>
                <w:highlight w:val="none"/>
              </w:rPr>
              <w:t>含油抹布、</w:t>
            </w:r>
            <w:r>
              <w:rPr>
                <w:rFonts w:hint="eastAsia" w:ascii="Times New Roman" w:hAnsi="Times New Roman" w:eastAsia="宋体" w:cs="Times New Roman"/>
                <w:color w:val="auto"/>
                <w:kern w:val="2"/>
                <w:sz w:val="21"/>
                <w:szCs w:val="21"/>
                <w:lang w:eastAsia="zh-CN"/>
              </w:rPr>
              <w:t>废活性炭</w:t>
            </w:r>
          </w:p>
        </w:tc>
        <w:tc>
          <w:tcPr>
            <w:tcW w:w="2544" w:type="dxa"/>
            <w:vAlign w:val="center"/>
          </w:tcPr>
          <w:p>
            <w:pPr>
              <w:widowControl w:val="0"/>
              <w:spacing w:after="0" w:line="240" w:lineRule="auto"/>
              <w:jc w:val="center"/>
              <w:rPr>
                <w:rFonts w:ascii="Times New Roman" w:hAnsi="宋体" w:eastAsia="宋体" w:cs="Times New Roman"/>
                <w:color w:val="auto"/>
                <w:kern w:val="2"/>
                <w:sz w:val="21"/>
                <w:szCs w:val="21"/>
                <w:highlight w:val="none"/>
              </w:rPr>
            </w:pPr>
            <w:r>
              <w:rPr>
                <w:rFonts w:hint="eastAsia" w:ascii="Times New Roman" w:hAnsi="宋体" w:eastAsia="宋体" w:cs="Times New Roman"/>
                <w:color w:val="auto"/>
                <w:kern w:val="2"/>
                <w:sz w:val="21"/>
                <w:szCs w:val="21"/>
                <w:highlight w:val="none"/>
              </w:rPr>
              <w:t>交给有危险废物处置资质单位处置</w:t>
            </w:r>
          </w:p>
        </w:tc>
        <w:tc>
          <w:tcPr>
            <w:tcW w:w="3480" w:type="dxa"/>
            <w:vMerge w:val="continue"/>
            <w:vAlign w:val="center"/>
          </w:tcPr>
          <w:p>
            <w:pPr>
              <w:widowControl w:val="0"/>
              <w:spacing w:after="0" w:line="216" w:lineRule="auto"/>
              <w:jc w:val="center"/>
              <w:rPr>
                <w:rFonts w:ascii="Times New Roman" w:hAnsi="Times New Roman" w:eastAsia="宋体" w:cs="Times New Roman"/>
                <w:color w:val="FF0000"/>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1" w:hRule="atLeast"/>
          <w:jc w:val="center"/>
        </w:trPr>
        <w:tc>
          <w:tcPr>
            <w:tcW w:w="898" w:type="dxa"/>
            <w:vAlign w:val="center"/>
          </w:tcPr>
          <w:p>
            <w:pPr>
              <w:keepNext w:val="0"/>
              <w:keepLines w:val="0"/>
              <w:pageBreakBefore w:val="0"/>
              <w:widowControl w:val="0"/>
              <w:kinsoku/>
              <w:wordWrap/>
              <w:overflowPunct/>
              <w:topLinePunct w:val="0"/>
              <w:autoSpaceDE/>
              <w:autoSpaceDN/>
              <w:bidi w:val="0"/>
              <w:adjustRightInd/>
              <w:snapToGrid/>
              <w:spacing w:after="0" w:line="276"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噪</w:t>
            </w:r>
          </w:p>
          <w:p>
            <w:pPr>
              <w:keepNext w:val="0"/>
              <w:keepLines w:val="0"/>
              <w:pageBreakBefore w:val="0"/>
              <w:widowControl w:val="0"/>
              <w:kinsoku/>
              <w:wordWrap/>
              <w:overflowPunct/>
              <w:topLinePunct w:val="0"/>
              <w:autoSpaceDE/>
              <w:autoSpaceDN/>
              <w:bidi w:val="0"/>
              <w:adjustRightInd/>
              <w:snapToGrid/>
              <w:spacing w:after="0" w:line="276"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声</w:t>
            </w:r>
          </w:p>
        </w:tc>
        <w:tc>
          <w:tcPr>
            <w:tcW w:w="9465" w:type="dxa"/>
            <w:gridSpan w:val="4"/>
            <w:vAlign w:val="center"/>
          </w:tcPr>
          <w:p>
            <w:pPr>
              <w:keepNext w:val="0"/>
              <w:keepLines w:val="0"/>
              <w:pageBreakBefore w:val="0"/>
              <w:widowControl w:val="0"/>
              <w:kinsoku/>
              <w:wordWrap/>
              <w:overflowPunct/>
              <w:topLinePunct w:val="0"/>
              <w:autoSpaceDE/>
              <w:autoSpaceDN/>
              <w:bidi w:val="0"/>
              <w:adjustRightInd/>
              <w:snapToGrid/>
              <w:spacing w:line="276" w:lineRule="auto"/>
              <w:ind w:firstLine="0" w:firstLineChars="0"/>
              <w:jc w:val="left"/>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车间各主要工艺设备运行时产生的噪声值约为70~90dB(A)；通过适当的隔声、减震、吸声并设置单独隔声间等降噪措施，使得噪声的排放达到《工业企业厂界环境噪声排放标准》(GB12348-2008)3类标准。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6" w:hRule="atLeast"/>
          <w:jc w:val="center"/>
        </w:trPr>
        <w:tc>
          <w:tcPr>
            <w:tcW w:w="10363" w:type="dxa"/>
            <w:gridSpan w:val="5"/>
          </w:tcPr>
          <w:p>
            <w:pPr>
              <w:keepNext w:val="0"/>
              <w:keepLines w:val="0"/>
              <w:pageBreakBefore w:val="0"/>
              <w:widowControl w:val="0"/>
              <w:kinsoku/>
              <w:wordWrap/>
              <w:overflowPunct/>
              <w:topLinePunct w:val="0"/>
              <w:autoSpaceDE/>
              <w:autoSpaceDN/>
              <w:bidi w:val="0"/>
              <w:adjustRightInd/>
              <w:snapToGrid/>
              <w:spacing w:after="0" w:line="276" w:lineRule="auto"/>
              <w:jc w:val="both"/>
              <w:textAlignment w:val="auto"/>
              <w:rPr>
                <w:rFonts w:ascii="Times New Roman" w:hAnsi="Times New Roman" w:eastAsia="宋体" w:cs="Times New Roman"/>
                <w:b/>
                <w:bCs/>
                <w:color w:val="auto"/>
                <w:kern w:val="2"/>
                <w:sz w:val="21"/>
                <w:szCs w:val="21"/>
                <w:highlight w:val="none"/>
              </w:rPr>
            </w:pPr>
            <w:r>
              <w:rPr>
                <w:rFonts w:ascii="Times New Roman" w:hAnsi="宋体" w:eastAsia="宋体" w:cs="Times New Roman"/>
                <w:b/>
                <w:bCs/>
                <w:color w:val="auto"/>
                <w:kern w:val="2"/>
                <w:sz w:val="21"/>
                <w:szCs w:val="21"/>
                <w:highlight w:val="none"/>
              </w:rPr>
              <w:t>生态保护措施及预期效果</w:t>
            </w:r>
          </w:p>
          <w:p>
            <w:pPr>
              <w:keepNext w:val="0"/>
              <w:keepLines w:val="0"/>
              <w:pageBreakBefore w:val="0"/>
              <w:widowControl w:val="0"/>
              <w:kinsoku/>
              <w:wordWrap/>
              <w:overflowPunct/>
              <w:topLinePunct w:val="0"/>
              <w:autoSpaceDE/>
              <w:autoSpaceDN/>
              <w:bidi w:val="0"/>
              <w:adjustRightInd/>
              <w:snapToGrid/>
              <w:spacing w:after="0" w:line="276" w:lineRule="auto"/>
              <w:ind w:firstLine="420" w:firstLineChars="200"/>
              <w:jc w:val="both"/>
              <w:textAlignment w:val="auto"/>
              <w:rPr>
                <w:rFonts w:ascii="Times New Roman" w:hAnsi="Times New Roman" w:eastAsia="宋体" w:cs="Times New Roman"/>
                <w:color w:val="auto"/>
                <w:kern w:val="2"/>
                <w:sz w:val="21"/>
                <w:szCs w:val="21"/>
                <w:highlight w:val="none"/>
              </w:rPr>
            </w:pPr>
            <w:r>
              <w:rPr>
                <w:rFonts w:ascii="Times New Roman" w:hAnsi="宋体" w:eastAsia="宋体" w:cs="Times New Roman"/>
                <w:color w:val="auto"/>
                <w:kern w:val="2"/>
                <w:sz w:val="21"/>
                <w:szCs w:val="21"/>
                <w:highlight w:val="none"/>
              </w:rPr>
              <w:t>本项目无施工工程及土地开发等方面，不直接对生态环境存在不利影响。项目建设在落实上述措施对各种污染物进行有效的治理，防治厂区内环境的污染，可降低其对周围生态环境的影响，并搞好周围的绿化、美化，以减少对附近区域生态环境的影响。</w:t>
            </w:r>
          </w:p>
        </w:tc>
      </w:tr>
    </w:tbl>
    <w:p>
      <w:pPr>
        <w:pStyle w:val="14"/>
        <w:pageBreakBefore/>
        <w:widowControl w:val="0"/>
        <w:spacing w:before="0" w:line="360" w:lineRule="auto"/>
        <w:rPr>
          <w:rFonts w:hint="default" w:ascii="Times New Roman" w:hAnsi="Times New Roman" w:cs="Times New Roman"/>
          <w:color w:val="auto"/>
        </w:rPr>
      </w:pPr>
      <w:bookmarkStart w:id="30" w:name="_Toc472601266"/>
      <w:bookmarkStart w:id="31" w:name="_Toc514773526"/>
      <w:r>
        <w:rPr>
          <w:rFonts w:hint="default" w:ascii="Times New Roman" w:hAnsi="Times New Roman" w:cs="Times New Roman"/>
          <w:color w:val="auto"/>
        </w:rPr>
        <w:t>九、结论与建议</w:t>
      </w:r>
      <w:bookmarkEnd w:id="30"/>
      <w:bookmarkEnd w:id="31"/>
    </w:p>
    <w:tbl>
      <w:tblPr>
        <w:tblStyle w:val="43"/>
        <w:tblW w:w="9606" w:type="dxa"/>
        <w:tblInd w:w="-1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60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674" w:hRule="atLeast"/>
        </w:trPr>
        <w:tc>
          <w:tcPr>
            <w:tcW w:w="9606" w:type="dxa"/>
          </w:tcPr>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（一）项目概况</w:t>
            </w:r>
          </w:p>
          <w:p>
            <w:pPr>
              <w:widowControl w:val="0"/>
              <w:spacing w:after="0" w:line="360" w:lineRule="auto"/>
              <w:ind w:firstLine="480" w:firstLineChars="200"/>
              <w:jc w:val="both"/>
              <w:textAlignment w:val="baseline"/>
              <w:rPr>
                <w:rFonts w:hint="default" w:ascii="Times New Roman" w:hAnsi="Times New Roman" w:eastAsia="宋体" w:cs="Times New Roman"/>
                <w:color w:val="FF0000"/>
                <w:kern w:val="2"/>
                <w:sz w:val="24"/>
              </w:rPr>
            </w:pPr>
            <w:r>
              <w:rPr>
                <w:rFonts w:hint="eastAsia" w:ascii="Times New Roman" w:hAnsi="Times New Roman" w:eastAsia="宋体" w:cs="Times New Roman"/>
                <w:color w:val="auto"/>
                <w:kern w:val="2"/>
                <w:sz w:val="24"/>
                <w:szCs w:val="24"/>
                <w:lang w:eastAsia="zh-CN"/>
              </w:rPr>
              <w:t>开平市水口镇方剑卫浴制品厂年产五金卫浴配件44万套新建项目</w:t>
            </w:r>
            <w:r>
              <w:rPr>
                <w:rFonts w:hint="default" w:ascii="Times New Roman" w:hAnsi="Times New Roman" w:eastAsia="宋体" w:cs="Times New Roman"/>
                <w:color w:val="auto"/>
                <w:kern w:val="2"/>
                <w:sz w:val="24"/>
              </w:rPr>
              <w:t>位于开平市水口镇内环东路第三工业园01号，占地面积约1700m</w:t>
            </w:r>
            <w:r>
              <w:rPr>
                <w:rFonts w:hint="default" w:ascii="Times New Roman" w:hAnsi="Times New Roman" w:eastAsia="宋体" w:cs="Times New Roman"/>
                <w:color w:val="auto"/>
                <w:kern w:val="2"/>
                <w:sz w:val="24"/>
                <w:vertAlign w:val="superscript"/>
              </w:rPr>
              <w:t>2</w:t>
            </w:r>
            <w:r>
              <w:rPr>
                <w:rFonts w:hint="default" w:ascii="Times New Roman" w:hAnsi="Times New Roman" w:eastAsia="宋体" w:cs="Times New Roman"/>
                <w:color w:val="auto"/>
                <w:kern w:val="2"/>
                <w:sz w:val="24"/>
              </w:rPr>
              <w:t>，中心地理坐标为N22.459438°、E112.781336°，建设项目地理位置图详见附图1。公司主要从事</w:t>
            </w:r>
            <w:r>
              <w:rPr>
                <w:rFonts w:hint="default" w:ascii="Times New Roman" w:hAnsi="Times New Roman" w:eastAsia="宋体" w:cs="Times New Roman"/>
                <w:color w:val="auto"/>
                <w:kern w:val="2"/>
                <w:sz w:val="24"/>
                <w:lang w:eastAsia="zh-CN"/>
              </w:rPr>
              <w:t>五金</w:t>
            </w:r>
            <w:r>
              <w:rPr>
                <w:rFonts w:hint="default" w:ascii="Times New Roman" w:hAnsi="Times New Roman" w:eastAsia="宋体" w:cs="Times New Roman"/>
                <w:color w:val="auto"/>
                <w:kern w:val="2"/>
                <w:sz w:val="24"/>
              </w:rPr>
              <w:t>卫浴配件的生产，不含磷化、喷漆等表面处理工艺，总投资</w:t>
            </w:r>
            <w:r>
              <w:rPr>
                <w:rFonts w:hint="default" w:ascii="Times New Roman" w:hAnsi="Times New Roman" w:eastAsia="宋体" w:cs="Times New Roman"/>
                <w:color w:val="auto"/>
                <w:kern w:val="2"/>
                <w:sz w:val="24"/>
                <w:lang w:val="en-US" w:eastAsia="zh-CN"/>
              </w:rPr>
              <w:t>300</w:t>
            </w:r>
            <w:r>
              <w:rPr>
                <w:rFonts w:hint="default" w:ascii="Times New Roman" w:hAnsi="Times New Roman" w:eastAsia="宋体" w:cs="Times New Roman"/>
                <w:color w:val="auto"/>
                <w:kern w:val="2"/>
                <w:sz w:val="24"/>
              </w:rPr>
              <w:t>万元，其中环保投资</w:t>
            </w:r>
            <w:r>
              <w:rPr>
                <w:rFonts w:hint="eastAsia" w:ascii="Times New Roman" w:hAnsi="Times New Roman" w:eastAsia="宋体" w:cs="Times New Roman"/>
                <w:color w:val="auto"/>
                <w:kern w:val="2"/>
                <w:sz w:val="24"/>
                <w:lang w:val="en-US" w:eastAsia="zh-CN"/>
              </w:rPr>
              <w:t>30</w:t>
            </w:r>
            <w:r>
              <w:rPr>
                <w:rFonts w:hint="default" w:ascii="Times New Roman" w:hAnsi="Times New Roman" w:eastAsia="宋体" w:cs="Times New Roman"/>
                <w:color w:val="auto"/>
                <w:kern w:val="2"/>
                <w:sz w:val="24"/>
              </w:rPr>
              <w:t>万元。</w:t>
            </w:r>
          </w:p>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（二）环境质量现状结论</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1、水环境质量现状评价结论</w:t>
            </w:r>
          </w:p>
          <w:p>
            <w:pPr>
              <w:keepNext/>
              <w:keepLines/>
              <w:widowControl w:val="0"/>
              <w:autoSpaceDE w:val="0"/>
              <w:autoSpaceDN w:val="0"/>
              <w:adjustRightInd w:val="0"/>
              <w:spacing w:before="0" w:after="0" w:line="360" w:lineRule="auto"/>
              <w:ind w:firstLine="470" w:firstLineChars="196"/>
              <w:jc w:val="both"/>
              <w:textAlignment w:val="baseline"/>
              <w:outlineLvl w:val="1"/>
              <w:rPr>
                <w:rFonts w:hint="default" w:ascii="Times New Roman" w:hAnsi="Times New Roman" w:eastAsia="宋体" w:cs="Times New Roman"/>
                <w:b w:val="0"/>
                <w:bCs/>
                <w:color w:val="auto"/>
                <w:kern w:val="24"/>
                <w:sz w:val="24"/>
                <w:szCs w:val="24"/>
                <w:shd w:val="clear" w:color="auto" w:fill="auto"/>
                <w:lang w:val="en-US" w:eastAsia="zh-CN" w:bidi="ar-SA"/>
              </w:rPr>
            </w:pPr>
            <w:r>
              <w:rPr>
                <w:rFonts w:hint="default" w:ascii="Times New Roman" w:hAnsi="Times New Roman" w:eastAsia="宋体" w:cs="Times New Roman"/>
                <w:b w:val="0"/>
                <w:bCs/>
                <w:color w:val="auto"/>
                <w:kern w:val="24"/>
                <w:sz w:val="24"/>
                <w:szCs w:val="24"/>
                <w:shd w:val="clear" w:color="auto" w:fill="auto"/>
                <w:lang w:val="en-US" w:eastAsia="zh-CN" w:bidi="ar-SA"/>
              </w:rPr>
              <w:t>根据江门市生态环境局发布的《2018年11月江门市江河水水质月报》，潭江干流牛湾（退潮）断面地表水水质未能达到《地表水环境质量标准》（GB3838-2002）中的Ⅲ类标准，主要超标项目为溶解氧，该断面位于污水处理厂下游约6.2km处，说明本项目地表水环境质量一般，</w:t>
            </w:r>
            <w:r>
              <w:rPr>
                <w:rFonts w:hint="default" w:ascii="Times New Roman" w:hAnsi="Times New Roman" w:eastAsia="宋体" w:cs="Times New Roman"/>
                <w:b w:val="0"/>
                <w:bCs/>
                <w:color w:val="auto"/>
                <w:kern w:val="24"/>
                <w:sz w:val="24"/>
                <w:szCs w:val="20"/>
                <w:highlight w:val="none"/>
                <w:lang w:val="en-US" w:eastAsia="zh-CN" w:bidi="ar-SA"/>
              </w:rPr>
              <w:t>故该区域为地表水环境质量不达标区域</w:t>
            </w:r>
            <w:r>
              <w:rPr>
                <w:rFonts w:hint="default" w:ascii="Times New Roman" w:hAnsi="Times New Roman" w:eastAsia="宋体" w:cs="Times New Roman"/>
                <w:b w:val="0"/>
                <w:bCs/>
                <w:color w:val="auto"/>
                <w:kern w:val="24"/>
                <w:sz w:val="24"/>
                <w:szCs w:val="24"/>
                <w:shd w:val="clear" w:color="auto" w:fill="auto"/>
                <w:lang w:val="en-US" w:eastAsia="zh-CN" w:bidi="ar-SA"/>
              </w:rPr>
              <w:t>。</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2、大气环境质量现状评价结论</w:t>
            </w:r>
          </w:p>
          <w:p>
            <w:pPr>
              <w:keepNext/>
              <w:keepLines/>
              <w:widowControl w:val="0"/>
              <w:autoSpaceDE w:val="0"/>
              <w:autoSpaceDN w:val="0"/>
              <w:adjustRightInd w:val="0"/>
              <w:spacing w:before="0" w:after="0" w:line="360" w:lineRule="auto"/>
              <w:ind w:firstLine="470" w:firstLineChars="196"/>
              <w:jc w:val="both"/>
              <w:textAlignment w:val="baseline"/>
              <w:outlineLvl w:val="1"/>
              <w:rPr>
                <w:rFonts w:ascii="Times New Roman" w:hAnsi="Times New Roman" w:cs="Times New Roman" w:eastAsiaTheme="minorEastAsia"/>
                <w:b/>
                <w:kern w:val="24"/>
                <w:sz w:val="24"/>
                <w:szCs w:val="24"/>
                <w:lang w:val="en-US" w:eastAsia="zh-CN" w:bidi="ar-SA"/>
              </w:rPr>
            </w:pPr>
            <w:r>
              <w:rPr>
                <w:rFonts w:ascii="Times New Roman" w:hAnsi="Times New Roman" w:cs="Times New Roman" w:eastAsiaTheme="minorEastAsia"/>
                <w:b w:val="0"/>
                <w:bCs/>
                <w:kern w:val="24"/>
                <w:sz w:val="24"/>
                <w:szCs w:val="24"/>
                <w:lang w:val="en-US" w:eastAsia="zh-CN" w:bidi="ar-SA"/>
              </w:rPr>
              <w:t>本项目所在区域为环境空气质量不达标区域；SO</w:t>
            </w:r>
            <w:r>
              <w:rPr>
                <w:rFonts w:ascii="Times New Roman" w:hAnsi="Times New Roman" w:cs="Times New Roman" w:eastAsiaTheme="minorEastAsia"/>
                <w:b w:val="0"/>
                <w:bCs/>
                <w:kern w:val="24"/>
                <w:sz w:val="24"/>
                <w:szCs w:val="24"/>
                <w:vertAlign w:val="subscript"/>
                <w:lang w:val="en-US" w:eastAsia="zh-CN" w:bidi="ar-SA"/>
              </w:rPr>
              <w:t>2</w:t>
            </w:r>
            <w:r>
              <w:rPr>
                <w:rFonts w:ascii="Times New Roman" w:hAnsi="Times New Roman" w:cs="Times New Roman" w:eastAsiaTheme="minorEastAsia"/>
                <w:b w:val="0"/>
                <w:bCs/>
                <w:kern w:val="24"/>
                <w:sz w:val="24"/>
                <w:szCs w:val="24"/>
                <w:lang w:val="en-US" w:eastAsia="zh-CN" w:bidi="ar-SA"/>
              </w:rPr>
              <w:t>、NO</w:t>
            </w:r>
            <w:r>
              <w:rPr>
                <w:rFonts w:ascii="Times New Roman" w:hAnsi="Times New Roman" w:cs="Times New Roman" w:eastAsiaTheme="minorEastAsia"/>
                <w:b w:val="0"/>
                <w:bCs/>
                <w:kern w:val="24"/>
                <w:sz w:val="24"/>
                <w:szCs w:val="24"/>
                <w:vertAlign w:val="subscript"/>
                <w:lang w:val="en-US" w:eastAsia="zh-CN" w:bidi="ar-SA"/>
              </w:rPr>
              <w:t>2</w:t>
            </w:r>
            <w:r>
              <w:rPr>
                <w:rFonts w:ascii="Times New Roman" w:hAnsi="Times New Roman" w:cs="Times New Roman" w:eastAsiaTheme="minorEastAsia"/>
                <w:b w:val="0"/>
                <w:bCs/>
                <w:kern w:val="24"/>
                <w:sz w:val="24"/>
                <w:szCs w:val="24"/>
                <w:lang w:val="en-US" w:eastAsia="zh-CN" w:bidi="ar-SA"/>
              </w:rPr>
              <w:t>、PM</w:t>
            </w:r>
            <w:r>
              <w:rPr>
                <w:rFonts w:ascii="Times New Roman" w:hAnsi="Times New Roman" w:cs="Times New Roman" w:eastAsiaTheme="minorEastAsia"/>
                <w:b w:val="0"/>
                <w:bCs/>
                <w:kern w:val="24"/>
                <w:sz w:val="24"/>
                <w:szCs w:val="24"/>
                <w:vertAlign w:val="subscript"/>
                <w:lang w:val="en-US" w:eastAsia="zh-CN" w:bidi="ar-SA"/>
              </w:rPr>
              <w:t>10</w:t>
            </w:r>
            <w:r>
              <w:rPr>
                <w:rFonts w:ascii="Times New Roman" w:hAnsi="Times New Roman" w:cs="Times New Roman" w:eastAsiaTheme="minorEastAsia"/>
                <w:b w:val="0"/>
                <w:bCs/>
                <w:kern w:val="24"/>
                <w:sz w:val="24"/>
                <w:szCs w:val="24"/>
                <w:lang w:val="en-US" w:eastAsia="zh-CN" w:bidi="ar-SA"/>
              </w:rPr>
              <w:t>、PM</w:t>
            </w:r>
            <w:r>
              <w:rPr>
                <w:rFonts w:ascii="Times New Roman" w:hAnsi="Times New Roman" w:cs="Times New Roman" w:eastAsiaTheme="minorEastAsia"/>
                <w:b w:val="0"/>
                <w:bCs/>
                <w:kern w:val="24"/>
                <w:sz w:val="24"/>
                <w:szCs w:val="24"/>
                <w:vertAlign w:val="subscript"/>
                <w:lang w:val="en-US" w:eastAsia="zh-CN" w:bidi="ar-SA"/>
              </w:rPr>
              <w:t>2.5</w:t>
            </w:r>
            <w:r>
              <w:rPr>
                <w:rFonts w:ascii="Times New Roman" w:hAnsi="Times New Roman" w:cs="Times New Roman" w:eastAsiaTheme="minorEastAsia"/>
                <w:b w:val="0"/>
                <w:bCs/>
                <w:kern w:val="24"/>
                <w:sz w:val="24"/>
                <w:szCs w:val="24"/>
                <w:lang w:val="en-US" w:eastAsia="zh-CN" w:bidi="ar-SA"/>
              </w:rPr>
              <w:t>年平均质量浓度以及CO日均值第95百分位数浓度均满足《环境空气质量标准》（GB3095-2012）及”2018修改单”二级标准要求，O</w:t>
            </w:r>
            <w:r>
              <w:rPr>
                <w:rFonts w:ascii="Times New Roman" w:hAnsi="Times New Roman" w:cs="Times New Roman" w:eastAsiaTheme="minorEastAsia"/>
                <w:b w:val="0"/>
                <w:bCs/>
                <w:kern w:val="24"/>
                <w:sz w:val="24"/>
                <w:szCs w:val="24"/>
                <w:vertAlign w:val="subscript"/>
                <w:lang w:val="en-US" w:eastAsia="zh-CN" w:bidi="ar-SA"/>
              </w:rPr>
              <w:t>3</w:t>
            </w:r>
            <w:r>
              <w:rPr>
                <w:rFonts w:ascii="Times New Roman" w:hAnsi="Times New Roman" w:cs="Times New Roman" w:eastAsiaTheme="minorEastAsia"/>
                <w:b w:val="0"/>
                <w:bCs/>
                <w:kern w:val="24"/>
                <w:sz w:val="24"/>
                <w:szCs w:val="24"/>
                <w:lang w:val="en-US" w:eastAsia="zh-CN" w:bidi="ar-SA"/>
              </w:rPr>
              <w:t>日最大8小时平均第90百分位数不能满足《环境空气质量标准》（GB3095-2012）及”2018修改单”二级标准要求</w:t>
            </w:r>
            <w:r>
              <w:rPr>
                <w:rFonts w:hint="eastAsia" w:ascii="Times New Roman" w:hAnsi="Times New Roman" w:cs="Times New Roman" w:eastAsiaTheme="minorEastAsia"/>
                <w:b w:val="0"/>
                <w:bCs/>
                <w:kern w:val="24"/>
                <w:sz w:val="24"/>
                <w:szCs w:val="24"/>
                <w:lang w:val="en-US" w:eastAsia="zh-CN" w:bidi="ar-SA"/>
              </w:rPr>
              <w:t>；非甲烷总烃满足《大气污染物综合排放标准详解》中解释标准；TSP满足《环境空气质量标准》（GB3095-2012）及其2018年修改单中的二级标准要求。说明项目所在地环境质量现状一般。</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3、声环境质量现状评价结论</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根据噪声现状监测结果，本项目各监测点的昼、夜间噪声值均符合《声环境质量标准》（GB3096-2008）3类标准要求，项目所在地能够达到区域声环境功能要求。</w:t>
            </w:r>
          </w:p>
          <w:p>
            <w:pPr>
              <w:widowControl w:val="0"/>
              <w:spacing w:after="0" w:line="360" w:lineRule="auto"/>
              <w:ind w:right="170"/>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（三）环境影响分析结论</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1、水环境影响评价结论</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◇生活污水</w:t>
            </w:r>
          </w:p>
          <w:p>
            <w:pPr>
              <w:widowControl w:val="0"/>
              <w:spacing w:after="0" w:line="343" w:lineRule="auto"/>
              <w:ind w:firstLine="480" w:firstLineChars="200"/>
              <w:jc w:val="both"/>
              <w:rPr>
                <w:rFonts w:ascii="Times New Roman" w:hAnsi="宋体" w:eastAsia="宋体" w:cs="Times New Roman"/>
                <w:color w:val="auto"/>
                <w:kern w:val="2"/>
                <w:sz w:val="24"/>
                <w:szCs w:val="24"/>
                <w:shd w:val="clear" w:color="auto" w:fill="auto"/>
              </w:rPr>
            </w:pPr>
            <w:r>
              <w:rPr>
                <w:rFonts w:hint="eastAsia" w:ascii="Times New Roman" w:hAnsi="Times New Roman" w:eastAsia="宋体" w:cs="Times New Roman"/>
                <w:color w:val="auto"/>
                <w:kern w:val="2"/>
                <w:sz w:val="24"/>
                <w:szCs w:val="24"/>
                <w:shd w:val="clear" w:color="auto" w:fill="auto"/>
              </w:rPr>
              <w:t>项目</w:t>
            </w:r>
            <w:r>
              <w:rPr>
                <w:rFonts w:ascii="Times New Roman" w:hAnsi="Times New Roman" w:eastAsia="宋体" w:cs="Times New Roman"/>
                <w:color w:val="auto"/>
                <w:kern w:val="2"/>
                <w:sz w:val="24"/>
                <w:szCs w:val="24"/>
                <w:shd w:val="clear" w:color="auto" w:fill="auto"/>
              </w:rPr>
              <w:t>员工生活污水排放量为</w:t>
            </w:r>
            <w:r>
              <w:rPr>
                <w:rFonts w:hint="eastAsia" w:ascii="Times New Roman" w:hAnsi="Times New Roman" w:eastAsia="宋体" w:cs="Times New Roman"/>
                <w:color w:val="auto"/>
                <w:kern w:val="2"/>
                <w:sz w:val="24"/>
                <w:szCs w:val="24"/>
                <w:shd w:val="clear" w:color="auto" w:fill="auto"/>
                <w:lang w:val="en-US" w:eastAsia="zh-CN"/>
              </w:rPr>
              <w:t>345.6</w:t>
            </w:r>
            <w:r>
              <w:rPr>
                <w:rFonts w:ascii="Times New Roman" w:hAnsi="Times New Roman" w:eastAsia="宋体" w:cs="Times New Roman"/>
                <w:color w:val="auto"/>
                <w:kern w:val="2"/>
                <w:sz w:val="24"/>
                <w:szCs w:val="24"/>
                <w:shd w:val="clear" w:color="auto" w:fill="auto"/>
              </w:rPr>
              <w:t>t/a</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color w:val="auto"/>
                <w:kern w:val="2"/>
                <w:sz w:val="24"/>
                <w:szCs w:val="24"/>
                <w:shd w:val="clear" w:color="auto" w:fill="auto"/>
              </w:rPr>
              <w:t>主要污染物为COD</w:t>
            </w:r>
            <w:r>
              <w:rPr>
                <w:rFonts w:ascii="Times New Roman" w:hAnsi="Times New Roman" w:eastAsia="宋体" w:cs="Times New Roman"/>
                <w:color w:val="auto"/>
                <w:kern w:val="2"/>
                <w:sz w:val="24"/>
                <w:szCs w:val="24"/>
                <w:shd w:val="clear" w:color="auto" w:fill="auto"/>
                <w:vertAlign w:val="subscript"/>
              </w:rPr>
              <w:t>cr</w:t>
            </w:r>
            <w:r>
              <w:rPr>
                <w:rFonts w:ascii="Times New Roman" w:hAnsi="Times New Roman" w:eastAsia="宋体" w:cs="Times New Roman"/>
                <w:color w:val="auto"/>
                <w:kern w:val="2"/>
                <w:sz w:val="24"/>
                <w:szCs w:val="24"/>
                <w:shd w:val="clear" w:color="auto" w:fill="auto"/>
              </w:rPr>
              <w:t>、BOD</w:t>
            </w:r>
            <w:r>
              <w:rPr>
                <w:rFonts w:ascii="Times New Roman" w:hAnsi="Times New Roman" w:eastAsia="宋体" w:cs="Times New Roman"/>
                <w:color w:val="auto"/>
                <w:kern w:val="2"/>
                <w:sz w:val="24"/>
                <w:szCs w:val="24"/>
                <w:shd w:val="clear" w:color="auto" w:fill="auto"/>
                <w:vertAlign w:val="subscript"/>
              </w:rPr>
              <w:t>5</w:t>
            </w:r>
            <w:r>
              <w:rPr>
                <w:rFonts w:ascii="Times New Roman" w:hAnsi="Times New Roman" w:eastAsia="宋体" w:cs="Times New Roman"/>
                <w:color w:val="auto"/>
                <w:kern w:val="2"/>
                <w:sz w:val="24"/>
                <w:szCs w:val="24"/>
                <w:shd w:val="clear" w:color="auto" w:fill="auto"/>
              </w:rPr>
              <w:t>、SS、NH</w:t>
            </w:r>
            <w:r>
              <w:rPr>
                <w:rFonts w:ascii="Times New Roman" w:hAnsi="Times New Roman" w:eastAsia="宋体" w:cs="Times New Roman"/>
                <w:color w:val="auto"/>
                <w:kern w:val="2"/>
                <w:sz w:val="24"/>
                <w:szCs w:val="24"/>
                <w:shd w:val="clear" w:color="auto" w:fill="auto"/>
                <w:vertAlign w:val="subscript"/>
              </w:rPr>
              <w:t>3</w:t>
            </w:r>
            <w:r>
              <w:rPr>
                <w:rFonts w:ascii="Times New Roman" w:hAnsi="Times New Roman" w:eastAsia="宋体" w:cs="Times New Roman"/>
                <w:color w:val="auto"/>
                <w:kern w:val="2"/>
                <w:sz w:val="24"/>
                <w:szCs w:val="24"/>
                <w:shd w:val="clear" w:color="auto" w:fill="auto"/>
              </w:rPr>
              <w:t>-N等。</w:t>
            </w:r>
            <w:r>
              <w:rPr>
                <w:rFonts w:hint="eastAsia" w:ascii="Times New Roman" w:hAnsi="Times New Roman" w:eastAsia="宋体" w:cs="Times New Roman"/>
                <w:bCs/>
                <w:color w:val="auto"/>
                <w:kern w:val="2"/>
                <w:sz w:val="24"/>
                <w:szCs w:val="24"/>
                <w:shd w:val="clear" w:color="auto" w:fill="auto"/>
              </w:rPr>
              <w:t>项目生活污水经三级化粪池预处理后，达到</w:t>
            </w:r>
            <w:r>
              <w:rPr>
                <w:rFonts w:hint="eastAsia" w:ascii="Times New Roman" w:hAnsi="Times New Roman" w:eastAsia="宋体" w:cs="Times New Roman"/>
                <w:bCs/>
                <w:color w:val="auto"/>
                <w:kern w:val="2"/>
                <w:sz w:val="24"/>
                <w:szCs w:val="24"/>
                <w:shd w:val="clear" w:color="auto" w:fill="auto"/>
                <w:lang w:eastAsia="zh-CN"/>
              </w:rPr>
              <w:t>广东省地方标准《水污染物排放限值》</w:t>
            </w:r>
            <w:r>
              <w:rPr>
                <w:rFonts w:hint="eastAsia" w:ascii="Times New Roman" w:hAnsi="Times New Roman" w:eastAsia="宋体" w:cs="Times New Roman"/>
                <w:bCs/>
                <w:color w:val="auto"/>
                <w:kern w:val="2"/>
                <w:sz w:val="24"/>
                <w:szCs w:val="24"/>
                <w:shd w:val="clear" w:color="auto" w:fill="auto"/>
              </w:rPr>
              <w:t>（DB44/26-2001）第二时段三级标准</w:t>
            </w:r>
            <w:r>
              <w:rPr>
                <w:rFonts w:hint="eastAsia" w:ascii="Times New Roman" w:hAnsi="Times New Roman" w:eastAsia="宋体" w:cs="Times New Roman"/>
                <w:color w:val="auto"/>
                <w:kern w:val="2"/>
                <w:sz w:val="24"/>
                <w:szCs w:val="24"/>
                <w:shd w:val="clear" w:color="auto" w:fill="auto"/>
              </w:rPr>
              <w:t>和</w:t>
            </w:r>
            <w:r>
              <w:rPr>
                <w:rFonts w:hint="eastAsia" w:ascii="Times New Roman" w:hAnsi="Times New Roman" w:eastAsia="宋体" w:cs="Times New Roman"/>
                <w:color w:val="auto"/>
                <w:kern w:val="2"/>
                <w:sz w:val="24"/>
                <w:szCs w:val="24"/>
                <w:shd w:val="clear" w:color="auto" w:fill="auto"/>
                <w:lang w:eastAsia="zh-CN"/>
              </w:rPr>
              <w:t>《污水排入城镇下水道水质标准》(GB/T31962-2015 )B级标准</w:t>
            </w:r>
            <w:r>
              <w:rPr>
                <w:rFonts w:hint="eastAsia" w:ascii="Times New Roman" w:hAnsi="Times New Roman" w:eastAsia="宋体" w:cs="Times New Roman"/>
                <w:color w:val="auto"/>
                <w:kern w:val="2"/>
                <w:sz w:val="24"/>
                <w:szCs w:val="24"/>
                <w:shd w:val="clear" w:color="auto" w:fill="auto"/>
              </w:rPr>
              <w:t>较严者</w:t>
            </w:r>
            <w:r>
              <w:rPr>
                <w:rFonts w:hint="eastAsia" w:ascii="Times New Roman" w:hAnsi="Times New Roman" w:eastAsia="宋体" w:cs="Times New Roman"/>
                <w:bCs/>
                <w:color w:val="auto"/>
                <w:kern w:val="2"/>
                <w:sz w:val="24"/>
                <w:szCs w:val="24"/>
                <w:shd w:val="clear" w:color="auto" w:fill="auto"/>
              </w:rPr>
              <w:t>排放至市政污水管网，</w:t>
            </w:r>
            <w:r>
              <w:rPr>
                <w:rFonts w:hint="eastAsia" w:ascii="Times New Roman" w:hAnsi="Times New Roman" w:eastAsia="宋体" w:cs="Times New Roman"/>
                <w:color w:val="auto"/>
                <w:kern w:val="2"/>
                <w:sz w:val="24"/>
                <w:szCs w:val="24"/>
                <w:shd w:val="clear" w:color="auto" w:fill="auto"/>
              </w:rPr>
              <w:t>然后</w:t>
            </w:r>
            <w:r>
              <w:rPr>
                <w:rFonts w:hint="eastAsia" w:ascii="Times New Roman" w:hAnsi="Times New Roman" w:eastAsia="宋体" w:cs="Times New Roman"/>
                <w:bCs/>
                <w:color w:val="auto"/>
                <w:kern w:val="2"/>
                <w:sz w:val="24"/>
                <w:szCs w:val="24"/>
                <w:shd w:val="clear" w:color="auto" w:fill="auto"/>
              </w:rPr>
              <w:t>引</w:t>
            </w:r>
            <w:r>
              <w:rPr>
                <w:rFonts w:hint="eastAsia" w:ascii="Times New Roman" w:hAnsi="Times New Roman" w:eastAsia="宋体" w:cs="Times New Roman"/>
                <w:color w:val="auto"/>
                <w:kern w:val="2"/>
                <w:sz w:val="24"/>
                <w:szCs w:val="24"/>
                <w:shd w:val="clear" w:color="auto" w:fill="auto"/>
              </w:rPr>
              <w:t>至</w:t>
            </w:r>
            <w:r>
              <w:rPr>
                <w:rFonts w:hint="eastAsia" w:ascii="Times New Roman" w:hAnsi="Times New Roman" w:eastAsia="宋体" w:cs="Times New Roman"/>
                <w:color w:val="auto"/>
                <w:kern w:val="2"/>
                <w:sz w:val="24"/>
                <w:szCs w:val="24"/>
                <w:shd w:val="clear" w:color="auto" w:fill="auto"/>
                <w:lang w:eastAsia="zh-CN"/>
              </w:rPr>
              <w:t>开平市水口污水处理厂</w:t>
            </w:r>
            <w:r>
              <w:rPr>
                <w:rFonts w:hint="eastAsia" w:ascii="Times New Roman" w:hAnsi="Times New Roman" w:eastAsia="宋体" w:cs="Times New Roman"/>
                <w:color w:val="auto"/>
                <w:kern w:val="2"/>
                <w:sz w:val="24"/>
                <w:szCs w:val="24"/>
                <w:shd w:val="clear" w:color="auto" w:fill="auto"/>
              </w:rPr>
              <w:t>处</w:t>
            </w:r>
            <w:r>
              <w:rPr>
                <w:rFonts w:hint="eastAsia" w:ascii="Times New Roman" w:hAnsi="Times New Roman" w:eastAsia="宋体" w:cs="Times New Roman"/>
                <w:bCs/>
                <w:color w:val="auto"/>
                <w:kern w:val="2"/>
                <w:sz w:val="24"/>
                <w:szCs w:val="24"/>
                <w:shd w:val="clear" w:color="auto" w:fill="auto"/>
              </w:rPr>
              <w:t>理后达</w:t>
            </w:r>
            <w:r>
              <w:rPr>
                <w:rFonts w:hint="eastAsia" w:ascii="Times New Roman" w:hAnsi="Times New Roman" w:eastAsia="宋体" w:cs="Times New Roman"/>
                <w:color w:val="auto"/>
                <w:kern w:val="2"/>
                <w:sz w:val="24"/>
                <w:szCs w:val="24"/>
                <w:shd w:val="clear" w:color="auto" w:fill="auto"/>
              </w:rPr>
              <w:t>到</w:t>
            </w:r>
            <w:r>
              <w:rPr>
                <w:rFonts w:hint="eastAsia" w:ascii="Times New Roman" w:hAnsi="Times New Roman" w:eastAsia="宋体" w:cs="Times New Roman"/>
                <w:color w:val="auto"/>
                <w:kern w:val="2"/>
                <w:sz w:val="24"/>
                <w:szCs w:val="24"/>
                <w:shd w:val="clear" w:color="auto" w:fill="auto"/>
                <w:lang w:eastAsia="zh-CN"/>
              </w:rPr>
              <w:t>《城镇污水处理厂污染物排放标准》（GB18918-2002）中一级A 标准及广东省地方标准《水污染物排放限值》（DB44/26-2001）第二时段一级标准的较严值</w:t>
            </w:r>
            <w:r>
              <w:rPr>
                <w:rFonts w:ascii="Times New Roman" w:hAnsi="Times New Roman" w:eastAsia="宋体" w:cs="Times New Roman"/>
                <w:bCs/>
                <w:color w:val="auto"/>
                <w:kern w:val="2"/>
                <w:sz w:val="24"/>
                <w:szCs w:val="24"/>
                <w:shd w:val="clear" w:color="auto" w:fill="auto"/>
              </w:rPr>
              <w:t>后排放</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color w:val="auto"/>
                <w:kern w:val="2"/>
                <w:sz w:val="24"/>
                <w:szCs w:val="24"/>
                <w:shd w:val="clear" w:color="auto" w:fill="auto"/>
              </w:rPr>
              <w:t>项目产生生活污水经处理后水污染物得到一定量削减，减轻了污水排放对纳污水体的污染负荷，有利于水环境保护</w:t>
            </w:r>
            <w:r>
              <w:rPr>
                <w:rFonts w:hint="eastAsia" w:ascii="Times New Roman" w:hAnsi="Times New Roman" w:eastAsia="宋体" w:cs="Times New Roman"/>
                <w:color w:val="auto"/>
                <w:kern w:val="2"/>
                <w:sz w:val="24"/>
                <w:szCs w:val="24"/>
                <w:shd w:val="clear" w:color="auto" w:fill="auto"/>
              </w:rPr>
              <w:t>，</w:t>
            </w:r>
            <w:r>
              <w:rPr>
                <w:rFonts w:ascii="Times New Roman" w:hAnsi="Times New Roman" w:eastAsia="宋体" w:cs="Times New Roman"/>
                <w:bCs/>
                <w:color w:val="auto"/>
                <w:kern w:val="2"/>
                <w:sz w:val="24"/>
                <w:szCs w:val="20"/>
                <w:shd w:val="clear" w:color="auto" w:fill="auto"/>
              </w:rPr>
              <w:t>则项目生活污水对周围环境影响不大。</w:t>
            </w:r>
          </w:p>
          <w:p>
            <w:pPr>
              <w:widowControl w:val="0"/>
              <w:spacing w:after="0" w:line="360" w:lineRule="auto"/>
              <w:ind w:right="170" w:firstLine="472" w:firstLineChars="196"/>
              <w:jc w:val="both"/>
              <w:rPr>
                <w:rFonts w:hint="eastAsia" w:ascii="Times New Roman" w:hAnsi="Times New Roman" w:eastAsia="宋体" w:cs="Times New Roman"/>
                <w:b/>
                <w:bCs w:val="0"/>
                <w:color w:val="auto"/>
                <w:spacing w:val="2"/>
                <w:kern w:val="2"/>
                <w:sz w:val="24"/>
                <w:szCs w:val="20"/>
                <w:lang w:eastAsia="zh-CN"/>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bCs w:val="0"/>
                <w:color w:val="auto"/>
                <w:spacing w:val="2"/>
                <w:kern w:val="2"/>
                <w:sz w:val="24"/>
                <w:szCs w:val="20"/>
                <w:lang w:eastAsia="zh-CN"/>
              </w:rPr>
              <w:t>测试用水</w:t>
            </w:r>
          </w:p>
          <w:p>
            <w:pPr>
              <w:widowControl w:val="0"/>
              <w:spacing w:after="0" w:line="360" w:lineRule="auto"/>
              <w:ind w:right="170" w:firstLine="478" w:firstLineChars="196"/>
              <w:jc w:val="both"/>
              <w:rPr>
                <w:rFonts w:hint="default" w:ascii="Times New Roman" w:hAnsi="Times New Roman" w:cs="Times New Roman"/>
                <w:b/>
                <w:color w:val="auto"/>
                <w:sz w:val="24"/>
                <w:szCs w:val="24"/>
              </w:rPr>
            </w:pPr>
            <w:r>
              <w:rPr>
                <w:rFonts w:hint="default" w:ascii="Times New Roman" w:hAnsi="Times New Roman" w:eastAsia="宋体" w:cs="Times New Roman"/>
                <w:color w:val="auto"/>
                <w:spacing w:val="2"/>
                <w:kern w:val="2"/>
                <w:sz w:val="24"/>
                <w:szCs w:val="20"/>
              </w:rPr>
              <w:t>项目生产过程中需要使用试水机对产品进行渗漏性检测，将产品放进水槽内，检测是否他有气泡冒出，从而检验其渗漏性，项目</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量较少，循环使用，需不定期补充因蒸发作用和产品携带减少的水量，每天补充约0.5t自来水，故</w:t>
            </w:r>
            <w:r>
              <w:rPr>
                <w:rFonts w:hint="eastAsia" w:ascii="Times New Roman" w:hAnsi="Times New Roman" w:eastAsia="宋体" w:cs="Times New Roman"/>
                <w:color w:val="auto"/>
                <w:spacing w:val="2"/>
                <w:kern w:val="2"/>
                <w:sz w:val="24"/>
                <w:szCs w:val="20"/>
                <w:lang w:eastAsia="zh-CN"/>
              </w:rPr>
              <w:t>测试用水</w:t>
            </w:r>
            <w:r>
              <w:rPr>
                <w:rFonts w:hint="default" w:ascii="Times New Roman" w:hAnsi="Times New Roman" w:eastAsia="宋体" w:cs="Times New Roman"/>
                <w:color w:val="auto"/>
                <w:spacing w:val="2"/>
                <w:kern w:val="2"/>
                <w:sz w:val="24"/>
                <w:szCs w:val="20"/>
              </w:rPr>
              <w:t>年用量约为</w:t>
            </w:r>
            <w:r>
              <w:rPr>
                <w:rFonts w:hint="eastAsia" w:ascii="Times New Roman" w:hAnsi="Times New Roman" w:eastAsia="宋体" w:cs="Times New Roman"/>
                <w:color w:val="auto"/>
                <w:spacing w:val="2"/>
                <w:kern w:val="2"/>
                <w:sz w:val="24"/>
                <w:szCs w:val="20"/>
                <w:lang w:val="en-US" w:eastAsia="zh-CN"/>
              </w:rPr>
              <w:t>150</w:t>
            </w:r>
            <w:r>
              <w:rPr>
                <w:rFonts w:hint="default" w:ascii="Times New Roman" w:hAnsi="Times New Roman" w:eastAsia="宋体" w:cs="Times New Roman"/>
                <w:color w:val="auto"/>
                <w:spacing w:val="2"/>
                <w:kern w:val="2"/>
                <w:sz w:val="24"/>
                <w:szCs w:val="20"/>
              </w:rPr>
              <w:t>t/a，不外排。</w:t>
            </w:r>
          </w:p>
          <w:p>
            <w:pPr>
              <w:widowControl w:val="0"/>
              <w:spacing w:after="0" w:line="360" w:lineRule="auto"/>
              <w:ind w:right="170" w:firstLine="472" w:firstLineChars="196"/>
              <w:jc w:val="both"/>
              <w:rPr>
                <w:rFonts w:hint="default" w:ascii="Times New Roman" w:hAnsi="Times New Roman" w:eastAsia="宋体" w:cs="Times New Roman"/>
                <w:b/>
                <w:bCs w:val="0"/>
                <w:color w:val="auto"/>
                <w:spacing w:val="2"/>
                <w:kern w:val="2"/>
                <w:sz w:val="24"/>
                <w:szCs w:val="20"/>
              </w:rPr>
            </w:pP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bCs w:val="0"/>
                <w:color w:val="auto"/>
                <w:spacing w:val="2"/>
                <w:kern w:val="2"/>
                <w:sz w:val="24"/>
                <w:szCs w:val="20"/>
              </w:rPr>
              <w:t>喷淋废水</w:t>
            </w:r>
          </w:p>
          <w:p>
            <w:pPr>
              <w:widowControl w:val="0"/>
              <w:spacing w:after="0" w:line="360" w:lineRule="auto"/>
              <w:ind w:right="170" w:firstLine="470" w:firstLineChars="196"/>
              <w:jc w:val="both"/>
              <w:rPr>
                <w:rFonts w:hint="default" w:ascii="Times New Roman" w:hAnsi="Times New Roman" w:eastAsia="宋体" w:cs="Times New Roman"/>
                <w:color w:val="FF0000"/>
                <w:kern w:val="2"/>
                <w:sz w:val="24"/>
                <w:szCs w:val="24"/>
              </w:rPr>
            </w:pPr>
            <w:r>
              <w:rPr>
                <w:rFonts w:hint="default" w:ascii="Times New Roman" w:hAnsi="Times New Roman" w:eastAsia="宋体" w:cs="Times New Roman"/>
                <w:color w:val="auto"/>
                <w:kern w:val="2"/>
                <w:sz w:val="24"/>
                <w:szCs w:val="24"/>
              </w:rPr>
              <w:t>项目红冲过程中产生的</w:t>
            </w:r>
            <w:r>
              <w:rPr>
                <w:rFonts w:hint="eastAsia" w:ascii="Times New Roman" w:hAnsi="Times New Roman" w:eastAsia="宋体" w:cs="Times New Roman"/>
                <w:color w:val="auto"/>
                <w:kern w:val="2"/>
                <w:sz w:val="24"/>
                <w:szCs w:val="24"/>
                <w:lang w:eastAsia="zh-CN"/>
              </w:rPr>
              <w:t>非甲烷总烃</w:t>
            </w:r>
            <w:r>
              <w:rPr>
                <w:rFonts w:hint="default" w:ascii="Times New Roman" w:hAnsi="Times New Roman" w:eastAsia="宋体" w:cs="Times New Roman"/>
                <w:color w:val="auto"/>
                <w:kern w:val="2"/>
                <w:sz w:val="24"/>
                <w:szCs w:val="24"/>
              </w:rPr>
              <w:t>经收集后通过</w:t>
            </w:r>
            <w:r>
              <w:rPr>
                <w:rFonts w:hint="eastAsia" w:ascii="Times New Roman" w:hAnsi="Times New Roman" w:eastAsia="宋体" w:cs="Times New Roman"/>
                <w:color w:val="auto"/>
                <w:kern w:val="2"/>
                <w:sz w:val="24"/>
                <w:szCs w:val="24"/>
                <w:lang w:eastAsia="zh-CN"/>
              </w:rPr>
              <w:t>水喷淋+活性炭吸附装置</w:t>
            </w:r>
            <w:r>
              <w:rPr>
                <w:rFonts w:hint="default" w:ascii="Times New Roman" w:hAnsi="Times New Roman" w:eastAsia="宋体" w:cs="Times New Roman"/>
                <w:color w:val="auto"/>
                <w:kern w:val="2"/>
                <w:sz w:val="24"/>
                <w:szCs w:val="24"/>
              </w:rPr>
              <w:t>处理，喷淋废水经喷淋塔配套循环水池循环后使用，</w:t>
            </w:r>
            <w:r>
              <w:rPr>
                <w:rFonts w:hint="default" w:ascii="Times New Roman" w:hAnsi="Times New Roman" w:cs="Times New Roman"/>
                <w:color w:val="auto"/>
                <w:sz w:val="24"/>
              </w:rPr>
              <w:t>因受热等因素损失，需定期补充新鲜水，</w:t>
            </w:r>
            <w:r>
              <w:rPr>
                <w:rFonts w:hint="default" w:ascii="Times New Roman" w:hAnsi="Times New Roman" w:cs="Times New Roman"/>
                <w:color w:val="auto"/>
                <w:sz w:val="24"/>
                <w:lang w:eastAsia="zh-CN"/>
              </w:rPr>
              <w:t>根据建设单位提供的资料，水喷淋装置循环水池有效水容积为</w:t>
            </w:r>
            <w:r>
              <w:rPr>
                <w:rFonts w:hint="default" w:ascii="Times New Roman" w:hAnsi="Times New Roman" w:cs="Times New Roman"/>
                <w:color w:val="auto"/>
                <w:sz w:val="24"/>
                <w:lang w:val="en-US" w:eastAsia="zh-CN"/>
              </w:rPr>
              <w:t>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，每天</w:t>
            </w:r>
            <w:r>
              <w:rPr>
                <w:rFonts w:hint="default" w:ascii="Times New Roman" w:hAnsi="Times New Roman" w:cs="Times New Roman"/>
                <w:color w:val="auto"/>
                <w:sz w:val="24"/>
              </w:rPr>
              <w:t>补充损耗水量约为</w:t>
            </w:r>
            <w:r>
              <w:rPr>
                <w:rFonts w:hint="default" w:ascii="Times New Roman" w:hAnsi="Times New Roman" w:cs="Times New Roman"/>
                <w:color w:val="auto"/>
                <w:sz w:val="24"/>
                <w:lang w:eastAsia="zh-CN"/>
              </w:rPr>
              <w:t>水池容积的</w:t>
            </w:r>
            <w:r>
              <w:rPr>
                <w:rFonts w:hint="default" w:ascii="Times New Roman" w:hAnsi="Times New Roman" w:cs="Times New Roman"/>
                <w:color w:val="auto"/>
                <w:sz w:val="24"/>
                <w:lang w:val="en-US" w:eastAsia="zh-CN"/>
              </w:rPr>
              <w:t>5%，0.2</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d，即60</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喷淋废水</w:t>
            </w:r>
            <w:r>
              <w:rPr>
                <w:rFonts w:hint="eastAsia" w:ascii="Times New Roman" w:hAnsi="Times New Roman" w:cs="Times New Roman"/>
                <w:bCs/>
                <w:color w:val="auto"/>
                <w:sz w:val="24"/>
                <w:szCs w:val="24"/>
                <w:highlight w:val="none"/>
                <w:lang w:eastAsia="zh-CN"/>
              </w:rPr>
              <w:t>循环</w:t>
            </w:r>
            <w:r>
              <w:rPr>
                <w:rFonts w:hint="default" w:ascii="Times New Roman" w:hAnsi="Times New Roman" w:cs="Times New Roman"/>
                <w:bCs/>
                <w:color w:val="auto"/>
                <w:sz w:val="24"/>
                <w:szCs w:val="24"/>
                <w:highlight w:val="none"/>
              </w:rPr>
              <w:t>一段时间后需定期更换</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2"/>
                <w:highlight w:val="none"/>
              </w:rPr>
              <w:t>每</w:t>
            </w:r>
            <w:r>
              <w:rPr>
                <w:rFonts w:hint="eastAsia"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rPr>
              <w:t>个月更换一次，更换水量为</w:t>
            </w:r>
            <w:r>
              <w:rPr>
                <w:rFonts w:hint="eastAsia" w:ascii="Times New Roman" w:hAnsi="Times New Roman" w:cs="Times New Roman"/>
                <w:color w:val="auto"/>
                <w:sz w:val="24"/>
                <w:szCs w:val="22"/>
                <w:highlight w:val="none"/>
                <w:lang w:val="en-US" w:eastAsia="zh-CN"/>
              </w:rPr>
              <w:t>4</w:t>
            </w:r>
            <w:r>
              <w:rPr>
                <w:rFonts w:hint="default" w:ascii="Times New Roman" w:hAnsi="Times New Roman" w:cs="Times New Roman"/>
                <w:color w:val="auto"/>
                <w:sz w:val="24"/>
                <w:szCs w:val="22"/>
                <w:highlight w:val="none"/>
              </w:rPr>
              <w:t>吨/次，则更换废水产生量为</w:t>
            </w:r>
            <w:r>
              <w:rPr>
                <w:rFonts w:hint="eastAsia" w:ascii="Times New Roman" w:hAnsi="Times New Roman" w:cs="Times New Roman"/>
                <w:color w:val="auto"/>
                <w:sz w:val="24"/>
                <w:szCs w:val="22"/>
                <w:highlight w:val="none"/>
                <w:lang w:val="en-US" w:eastAsia="zh-CN"/>
              </w:rPr>
              <w:t>16</w:t>
            </w:r>
            <w:r>
              <w:rPr>
                <w:rFonts w:hint="default" w:ascii="Times New Roman" w:hAnsi="Times New Roman" w:cs="Times New Roman"/>
                <w:color w:val="auto"/>
                <w:sz w:val="24"/>
                <w:szCs w:val="22"/>
                <w:highlight w:val="none"/>
              </w:rPr>
              <w:t>t/a。该废水经收集后定期交有资质单位处理，不外排。</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2、大气环境影响评价结论</w:t>
            </w:r>
          </w:p>
          <w:p>
            <w:pPr>
              <w:spacing w:after="0" w:line="360" w:lineRule="auto"/>
              <w:ind w:firstLine="480"/>
              <w:rPr>
                <w:rFonts w:hint="eastAsia" w:ascii="Times New Roman" w:hAnsi="Times New Roman" w:eastAsia="宋体" w:cs="Times New Roman"/>
                <w:b/>
                <w:color w:val="auto"/>
                <w:kern w:val="2"/>
                <w:sz w:val="24"/>
                <w:szCs w:val="24"/>
                <w:lang w:eastAsia="zh-CN"/>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kern w:val="2"/>
                <w:sz w:val="24"/>
                <w:szCs w:val="24"/>
                <w:lang w:eastAsia="zh-CN"/>
              </w:rPr>
              <w:t>开料</w:t>
            </w:r>
            <w:r>
              <w:rPr>
                <w:rFonts w:hint="default" w:ascii="Times New Roman" w:hAnsi="Times New Roman" w:eastAsia="宋体" w:cs="Times New Roman"/>
                <w:b/>
                <w:color w:val="auto"/>
                <w:kern w:val="2"/>
                <w:sz w:val="24"/>
                <w:szCs w:val="24"/>
              </w:rPr>
              <w:t>、机加工</w:t>
            </w:r>
            <w:r>
              <w:rPr>
                <w:rFonts w:hint="eastAsia" w:ascii="Times New Roman" w:hAnsi="Times New Roman" w:eastAsia="宋体" w:cs="Times New Roman"/>
                <w:b/>
                <w:color w:val="auto"/>
                <w:kern w:val="2"/>
                <w:sz w:val="24"/>
                <w:szCs w:val="24"/>
                <w:lang w:eastAsia="zh-CN"/>
              </w:rPr>
              <w:t>工序</w:t>
            </w:r>
          </w:p>
          <w:p>
            <w:pPr>
              <w:widowControl w:val="0"/>
              <w:spacing w:after="0" w:line="360" w:lineRule="auto"/>
              <w:ind w:firstLine="480" w:firstLineChars="200"/>
              <w:jc w:val="both"/>
              <w:rPr>
                <w:rFonts w:hint="default" w:ascii="Times New Roman" w:hAnsi="Times New Roman" w:eastAsia="宋体" w:cs="Times New Roman"/>
                <w:color w:val="auto"/>
                <w:spacing w:val="-2"/>
                <w:kern w:val="2"/>
                <w:sz w:val="24"/>
                <w:szCs w:val="24"/>
              </w:rPr>
            </w:pPr>
            <w:r>
              <w:rPr>
                <w:rFonts w:hint="default" w:ascii="Times New Roman" w:hAnsi="Times New Roman" w:eastAsia="宋体" w:cs="Times New Roman"/>
                <w:color w:val="auto"/>
                <w:sz w:val="24"/>
                <w:szCs w:val="24"/>
              </w:rPr>
              <w:t>项目运营期</w:t>
            </w:r>
            <w:r>
              <w:rPr>
                <w:rFonts w:hint="eastAsia" w:ascii="Times New Roman" w:hAnsi="Times New Roman" w:eastAsia="宋体" w:cs="Times New Roman"/>
                <w:color w:val="auto"/>
                <w:sz w:val="24"/>
                <w:szCs w:val="24"/>
                <w:lang w:eastAsia="zh-CN"/>
              </w:rPr>
              <w:t>开料</w:t>
            </w:r>
            <w:r>
              <w:rPr>
                <w:rFonts w:hint="default" w:ascii="Times New Roman" w:hAnsi="Times New Roman" w:eastAsia="宋体" w:cs="Times New Roman"/>
                <w:color w:val="auto"/>
                <w:sz w:val="24"/>
                <w:szCs w:val="24"/>
              </w:rPr>
              <w:t>和机加工工序会产生少量的金属粉尘，主要污染因子为颗粒物。根据</w:t>
            </w:r>
            <w:r>
              <w:rPr>
                <w:rFonts w:hint="eastAsia" w:ascii="Times New Roman" w:hAnsi="Times New Roman" w:eastAsia="宋体" w:cs="Times New Roman"/>
                <w:color w:val="auto"/>
                <w:sz w:val="24"/>
                <w:szCs w:val="24"/>
                <w:lang w:eastAsia="zh-CN"/>
              </w:rPr>
              <w:t>工程分析，粉尘</w:t>
            </w:r>
            <w:r>
              <w:rPr>
                <w:rFonts w:hint="default" w:ascii="Times New Roman" w:hAnsi="Times New Roman" w:eastAsia="宋体" w:cs="Times New Roman"/>
                <w:color w:val="auto"/>
                <w:sz w:val="24"/>
                <w:szCs w:val="24"/>
              </w:rPr>
              <w:t>无组织排放量约为0.025t/a，排放速率为0.01kg/h。</w:t>
            </w:r>
            <w:r>
              <w:rPr>
                <w:rFonts w:hint="default" w:ascii="Times New Roman" w:hAnsi="Times New Roman" w:eastAsia="宋体" w:cs="Times New Roman"/>
                <w:color w:val="auto"/>
                <w:kern w:val="2"/>
                <w:sz w:val="24"/>
                <w:szCs w:val="24"/>
                <w:shd w:val="clear" w:color="auto" w:fill="auto"/>
              </w:rPr>
              <w:t>根据估算</w:t>
            </w:r>
            <w:r>
              <w:rPr>
                <w:rFonts w:hint="eastAsia" w:ascii="Times New Roman" w:hAnsi="Times New Roman" w:eastAsia="宋体" w:cs="Times New Roman"/>
                <w:color w:val="auto"/>
                <w:kern w:val="2"/>
                <w:sz w:val="24"/>
                <w:szCs w:val="24"/>
                <w:shd w:val="clear" w:color="auto" w:fill="auto"/>
                <w:lang w:eastAsia="zh-CN"/>
              </w:rPr>
              <w:t>模式计算</w:t>
            </w:r>
            <w:r>
              <w:rPr>
                <w:rFonts w:hint="default" w:ascii="Times New Roman" w:hAnsi="Times New Roman" w:eastAsia="宋体" w:cs="Times New Roman"/>
                <w:color w:val="auto"/>
                <w:kern w:val="2"/>
                <w:sz w:val="24"/>
                <w:szCs w:val="24"/>
                <w:shd w:val="clear" w:color="auto" w:fill="auto"/>
              </w:rPr>
              <w:t>，</w:t>
            </w:r>
            <w:r>
              <w:rPr>
                <w:rFonts w:hint="eastAsia" w:ascii="Times New Roman" w:hAnsi="Times New Roman" w:eastAsia="宋体" w:cs="Times New Roman"/>
                <w:color w:val="auto"/>
                <w:sz w:val="24"/>
                <w:szCs w:val="24"/>
                <w:lang w:eastAsia="zh-CN"/>
              </w:rPr>
              <w:t>开料、</w:t>
            </w:r>
            <w:r>
              <w:rPr>
                <w:rFonts w:hint="default" w:ascii="Times New Roman" w:hAnsi="Times New Roman" w:eastAsia="宋体" w:cs="Times New Roman"/>
                <w:color w:val="auto"/>
                <w:sz w:val="24"/>
                <w:szCs w:val="24"/>
              </w:rPr>
              <w:t>机加工工序</w:t>
            </w:r>
            <w:r>
              <w:rPr>
                <w:rFonts w:hint="eastAsia" w:ascii="Times New Roman" w:hAnsi="Times New Roman" w:eastAsia="宋体" w:cs="Times New Roman"/>
                <w:color w:val="auto"/>
                <w:sz w:val="24"/>
                <w:szCs w:val="24"/>
                <w:lang w:eastAsia="zh-CN"/>
              </w:rPr>
              <w:t>和抛光工序</w:t>
            </w:r>
            <w:r>
              <w:rPr>
                <w:rFonts w:hint="eastAsia" w:ascii="Times New Roman" w:hAnsi="Times New Roman" w:eastAsia="宋体" w:cs="Times New Roman"/>
                <w:color w:val="auto"/>
                <w:kern w:val="2"/>
                <w:sz w:val="24"/>
                <w:szCs w:val="24"/>
                <w:shd w:val="clear" w:color="auto" w:fill="auto"/>
                <w:lang w:eastAsia="zh-CN"/>
              </w:rPr>
              <w:t>无组织排放的粉尘</w:t>
            </w:r>
            <w:r>
              <w:rPr>
                <w:rFonts w:hint="eastAsia" w:ascii="Times New Roman" w:hAnsi="Times New Roman" w:eastAsia="宋体" w:cs="Times New Roman"/>
                <w:color w:val="auto"/>
                <w:kern w:val="0"/>
                <w:sz w:val="24"/>
                <w:szCs w:val="24"/>
                <w:shd w:val="clear" w:color="auto" w:fill="auto"/>
                <w:lang w:eastAsia="zh-CN"/>
              </w:rPr>
              <w:t>最大地面浓度为</w:t>
            </w:r>
            <w:r>
              <w:rPr>
                <w:rFonts w:hint="eastAsia" w:ascii="Times New Roman" w:hAnsi="Times New Roman" w:eastAsia="宋体" w:cs="Times New Roman"/>
                <w:bCs/>
                <w:color w:val="auto"/>
                <w:kern w:val="2"/>
                <w:sz w:val="24"/>
                <w:szCs w:val="24"/>
                <w:shd w:val="clear" w:color="auto" w:fill="auto"/>
                <w:lang w:val="en-US" w:eastAsia="zh-CN"/>
              </w:rPr>
              <w:t>0.03</w:t>
            </w:r>
            <w:r>
              <w:rPr>
                <w:rFonts w:hint="eastAsia" w:ascii="Times New Roman" w:hAnsi="Times New Roman" w:eastAsia="宋体" w:cs="Times New Roman"/>
                <w:bCs/>
                <w:color w:val="auto"/>
                <w:kern w:val="2"/>
                <w:sz w:val="24"/>
                <w:szCs w:val="24"/>
                <w:shd w:val="clear" w:color="auto" w:fill="auto"/>
                <w:lang w:eastAsia="zh-CN"/>
              </w:rPr>
              <w:t>mg/m</w:t>
            </w:r>
            <w:r>
              <w:rPr>
                <w:rFonts w:hint="eastAsia" w:ascii="Times New Roman" w:hAnsi="Times New Roman" w:eastAsia="宋体" w:cs="Times New Roman"/>
                <w:bCs/>
                <w:color w:val="auto"/>
                <w:kern w:val="2"/>
                <w:sz w:val="24"/>
                <w:szCs w:val="24"/>
                <w:shd w:val="clear" w:color="auto" w:fill="auto"/>
                <w:vertAlign w:val="superscript"/>
                <w:lang w:eastAsia="zh-CN"/>
              </w:rPr>
              <w:t>3</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shd w:val="clear" w:color="auto" w:fill="auto"/>
              </w:rPr>
              <w:t>可达到</w:t>
            </w:r>
            <w:r>
              <w:rPr>
                <w:rFonts w:ascii="Times New Roman" w:hAnsi="Times New Roman" w:eastAsia="宋体" w:cs="Times New Roman"/>
                <w:color w:val="auto"/>
                <w:kern w:val="2"/>
                <w:sz w:val="24"/>
                <w:szCs w:val="24"/>
                <w:highlight w:val="none"/>
              </w:rPr>
              <w:t>广东省地方标准《大气污染物排放限值》（DB44/27-2001）中第二时段二级标准和第二时段无组织排放监控浓度限值</w:t>
            </w:r>
            <w:r>
              <w:rPr>
                <w:rFonts w:hint="default"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lang w:val="en-US" w:eastAsia="zh-CN"/>
              </w:rPr>
              <w:t>1</w:t>
            </w:r>
            <w:r>
              <w:rPr>
                <w:rFonts w:hint="default" w:ascii="Times New Roman" w:hAnsi="Times New Roman" w:eastAsia="宋体" w:cs="Times New Roman"/>
                <w:color w:val="auto"/>
                <w:kern w:val="2"/>
                <w:sz w:val="24"/>
                <w:szCs w:val="24"/>
              </w:rPr>
              <w:t>mg/m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），对项目周围</w:t>
            </w:r>
            <w:r>
              <w:rPr>
                <w:rFonts w:hint="default" w:ascii="Times New Roman" w:hAnsi="Times New Roman" w:eastAsia="宋体" w:cs="Times New Roman"/>
                <w:color w:val="auto"/>
                <w:kern w:val="0"/>
                <w:sz w:val="24"/>
                <w:szCs w:val="24"/>
              </w:rPr>
              <w:t>的</w:t>
            </w:r>
            <w:r>
              <w:rPr>
                <w:rFonts w:hint="default" w:ascii="Times New Roman" w:hAnsi="Times New Roman" w:eastAsia="宋体" w:cs="Times New Roman"/>
                <w:color w:val="auto"/>
                <w:kern w:val="2"/>
                <w:sz w:val="24"/>
                <w:szCs w:val="24"/>
              </w:rPr>
              <w:t>空气环境影响甚微。</w:t>
            </w:r>
          </w:p>
          <w:p>
            <w:pPr>
              <w:spacing w:after="0" w:line="360" w:lineRule="auto"/>
              <w:ind w:firstLine="480"/>
              <w:rPr>
                <w:rFonts w:hint="eastAsia"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rPr>
              <w:t>◇</w:t>
            </w:r>
            <w:r>
              <w:rPr>
                <w:rFonts w:hint="eastAsia" w:ascii="Times New Roman" w:hAnsi="Times New Roman" w:eastAsia="宋体" w:cs="Times New Roman"/>
                <w:b/>
                <w:color w:val="auto"/>
                <w:sz w:val="24"/>
                <w:szCs w:val="24"/>
                <w:lang w:eastAsia="zh-CN"/>
              </w:rPr>
              <w:t>红冲工序</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lang w:val="en-US" w:eastAsia="zh-CN" w:bidi="ar-SA"/>
              </w:rPr>
              <w:t>项目红冲工序</w:t>
            </w:r>
            <w:r>
              <w:rPr>
                <w:rFonts w:hint="eastAsia" w:ascii="Times New Roman" w:hAnsi="宋体" w:eastAsia="宋体" w:cs="Times New Roman"/>
                <w:bCs/>
                <w:color w:val="auto"/>
                <w:kern w:val="2"/>
                <w:sz w:val="24"/>
                <w:szCs w:val="24"/>
                <w:highlight w:val="none"/>
              </w:rPr>
              <w:t>使用润滑油进行润滑，</w:t>
            </w:r>
            <w:r>
              <w:rPr>
                <w:rFonts w:hint="eastAsia" w:ascii="Times New Roman" w:hAnsi="宋体" w:eastAsia="宋体" w:cs="Times New Roman"/>
                <w:color w:val="auto"/>
                <w:kern w:val="2"/>
                <w:sz w:val="24"/>
                <w:szCs w:val="24"/>
                <w:highlight w:val="none"/>
              </w:rPr>
              <w:t>润滑油受热分解产生油雾，主要污染物为非甲烷总烃，</w:t>
            </w:r>
            <w:r>
              <w:rPr>
                <w:rFonts w:hint="eastAsia" w:ascii="Times New Roman" w:hAnsi="宋体" w:eastAsia="宋体" w:cs="Times New Roman"/>
                <w:color w:val="auto"/>
                <w:kern w:val="2"/>
                <w:sz w:val="24"/>
                <w:szCs w:val="24"/>
                <w:highlight w:val="none"/>
                <w:lang w:eastAsia="zh-CN"/>
              </w:rPr>
              <w:t>拟</w:t>
            </w:r>
            <w:r>
              <w:rPr>
                <w:rFonts w:hint="eastAsia" w:ascii="Times New Roman" w:hAnsi="宋体" w:eastAsia="宋体" w:cs="Times New Roman"/>
                <w:color w:val="auto"/>
                <w:kern w:val="2"/>
                <w:sz w:val="24"/>
                <w:szCs w:val="24"/>
                <w:highlight w:val="none"/>
              </w:rPr>
              <w:t>将有机废气统一收集至</w:t>
            </w:r>
            <w:r>
              <w:rPr>
                <w:rFonts w:hint="eastAsia" w:ascii="Times New Roman" w:hAnsi="宋体" w:eastAsia="宋体" w:cs="Times New Roman"/>
                <w:color w:val="auto"/>
                <w:kern w:val="2"/>
                <w:sz w:val="24"/>
                <w:szCs w:val="24"/>
                <w:highlight w:val="none"/>
                <w:lang w:eastAsia="zh-CN"/>
              </w:rPr>
              <w:t>水喷淋+活性炭吸附装置</w:t>
            </w:r>
            <w:r>
              <w:rPr>
                <w:rFonts w:hint="eastAsia" w:ascii="Times New Roman" w:hAnsi="宋体" w:eastAsia="宋体" w:cs="Times New Roman"/>
                <w:color w:val="auto"/>
                <w:kern w:val="2"/>
                <w:sz w:val="24"/>
                <w:szCs w:val="24"/>
                <w:highlight w:val="none"/>
              </w:rPr>
              <w:t>处理，处理达标后经排气筒引至楼顶高空排放</w:t>
            </w:r>
            <w:r>
              <w:rPr>
                <w:rFonts w:ascii="Times New Roman" w:hAnsi="Times New Roman" w:eastAsia="宋体" w:cs="Times New Roman"/>
                <w:color w:val="auto"/>
                <w:kern w:val="2"/>
                <w:sz w:val="24"/>
                <w:szCs w:val="24"/>
                <w:highlight w:val="none"/>
              </w:rPr>
              <w:t>（编号为G1）</w:t>
            </w:r>
            <w:r>
              <w:rPr>
                <w:rFonts w:hint="eastAsia" w:ascii="Times New Roman" w:hAnsi="宋体" w:eastAsia="宋体" w:cs="Times New Roman"/>
                <w:color w:val="auto"/>
                <w:kern w:val="2"/>
                <w:sz w:val="24"/>
                <w:szCs w:val="24"/>
                <w:highlight w:val="none"/>
              </w:rPr>
              <w:t>，排气筒高度不低于15米。</w:t>
            </w:r>
            <w:r>
              <w:rPr>
                <w:rFonts w:ascii="Times New Roman" w:hAnsi="Times New Roman" w:eastAsia="宋体" w:cs="Times New Roman"/>
                <w:color w:val="auto"/>
                <w:kern w:val="2"/>
                <w:sz w:val="24"/>
                <w:szCs w:val="24"/>
                <w:highlight w:val="none"/>
              </w:rPr>
              <w:t>根据</w:t>
            </w:r>
            <w:r>
              <w:rPr>
                <w:rFonts w:hint="eastAsia" w:ascii="Times New Roman" w:hAnsi="Times New Roman" w:eastAsia="宋体" w:cs="Times New Roman"/>
                <w:color w:val="auto"/>
                <w:kern w:val="2"/>
                <w:sz w:val="24"/>
                <w:szCs w:val="24"/>
                <w:highlight w:val="none"/>
                <w:lang w:eastAsia="zh-CN"/>
              </w:rPr>
              <w:t>上文分析</w:t>
            </w:r>
            <w:r>
              <w:rPr>
                <w:rFonts w:ascii="Times New Roman" w:hAnsi="Times New Roman" w:eastAsia="宋体" w:cs="Times New Roman"/>
                <w:color w:val="auto"/>
                <w:kern w:val="2"/>
                <w:sz w:val="24"/>
                <w:szCs w:val="24"/>
                <w:highlight w:val="none"/>
              </w:rPr>
              <w:t>可知项目</w:t>
            </w:r>
            <w:r>
              <w:rPr>
                <w:rFonts w:hint="eastAsia" w:ascii="Times New Roman" w:hAnsi="Times New Roman" w:eastAsia="宋体" w:cs="Times New Roman"/>
                <w:color w:val="auto"/>
                <w:kern w:val="2"/>
                <w:sz w:val="24"/>
                <w:szCs w:val="24"/>
                <w:highlight w:val="none"/>
                <w:lang w:eastAsia="zh-CN"/>
              </w:rPr>
              <w:t>有机</w:t>
            </w:r>
            <w:r>
              <w:rPr>
                <w:rFonts w:hint="eastAsia" w:ascii="Times New Roman" w:hAnsi="Times New Roman" w:eastAsia="宋体" w:cs="Times New Roman"/>
                <w:color w:val="auto"/>
                <w:kern w:val="2"/>
                <w:sz w:val="24"/>
                <w:szCs w:val="24"/>
                <w:highlight w:val="none"/>
              </w:rPr>
              <w:t>废气有组织</w:t>
            </w:r>
            <w:r>
              <w:rPr>
                <w:rFonts w:ascii="Times New Roman" w:hAnsi="Times New Roman" w:eastAsia="宋体" w:cs="Times New Roman"/>
                <w:color w:val="auto"/>
                <w:kern w:val="2"/>
                <w:sz w:val="24"/>
                <w:szCs w:val="24"/>
                <w:highlight w:val="none"/>
              </w:rPr>
              <w:t>排放浓度和排放速率可以达到广东省地方标准《大气污染物排放限值》（DB44/27-2001）中第二时段二级标准，</w:t>
            </w:r>
            <w:r>
              <w:rPr>
                <w:rFonts w:hint="eastAsia" w:ascii="Times New Roman" w:hAnsi="Times New Roman" w:eastAsia="宋体" w:cs="Times New Roman"/>
                <w:color w:val="auto"/>
                <w:kern w:val="2"/>
                <w:sz w:val="24"/>
                <w:szCs w:val="24"/>
                <w:highlight w:val="none"/>
                <w:shd w:val="clear" w:color="auto" w:fill="FFFFFF"/>
              </w:rPr>
              <w:t>无组织排放量较少，</w:t>
            </w:r>
            <w:r>
              <w:rPr>
                <w:rFonts w:ascii="Times New Roman" w:hAnsi="Times New Roman" w:eastAsia="宋体" w:cs="Times New Roman"/>
                <w:color w:val="auto"/>
                <w:kern w:val="2"/>
                <w:sz w:val="24"/>
                <w:szCs w:val="24"/>
                <w:highlight w:val="none"/>
                <w:shd w:val="clear" w:color="auto" w:fill="FFFFFF"/>
              </w:rPr>
              <w:t>根据估算，</w:t>
            </w:r>
            <w:r>
              <w:rPr>
                <w:rFonts w:ascii="Times New Roman" w:hAnsi="Times New Roman" w:eastAsia="宋体" w:cs="Times New Roman"/>
                <w:color w:val="auto"/>
                <w:kern w:val="2"/>
                <w:sz w:val="24"/>
                <w:szCs w:val="24"/>
                <w:highlight w:val="none"/>
              </w:rPr>
              <w:t>周界外非甲烷总烃</w:t>
            </w:r>
            <w:r>
              <w:rPr>
                <w:rFonts w:hint="eastAsia" w:ascii="Times New Roman" w:hAnsi="Times New Roman" w:eastAsia="宋体" w:cs="Times New Roman"/>
                <w:color w:val="auto"/>
                <w:kern w:val="0"/>
                <w:sz w:val="24"/>
                <w:szCs w:val="24"/>
                <w:highlight w:val="none"/>
                <w:lang w:eastAsia="zh-CN"/>
              </w:rPr>
              <w:t>最大地面浓度</w:t>
            </w:r>
            <w:r>
              <w:rPr>
                <w:rFonts w:ascii="Times New Roman" w:hAnsi="Times New Roman" w:eastAsia="宋体" w:cs="Times New Roman"/>
                <w:color w:val="auto"/>
                <w:kern w:val="0"/>
                <w:sz w:val="24"/>
                <w:szCs w:val="24"/>
                <w:highlight w:val="none"/>
              </w:rPr>
              <w:t>未超过</w:t>
            </w:r>
            <w:r>
              <w:rPr>
                <w:rFonts w:ascii="Times New Roman" w:hAnsi="Times New Roman" w:eastAsia="宋体" w:cs="Times New Roman"/>
                <w:color w:val="auto"/>
                <w:kern w:val="2"/>
                <w:sz w:val="24"/>
                <w:szCs w:val="24"/>
                <w:highlight w:val="none"/>
              </w:rPr>
              <w:t>广东省地方标准《大气污染物排放限值》（DB44/ 27-2001）第二时段无组织排放监控浓度限值</w:t>
            </w:r>
            <w:r>
              <w:rPr>
                <w:rFonts w:hint="eastAsia" w:ascii="Times New Roman" w:hAnsi="Times New Roman" w:eastAsia="宋体" w:cs="Times New Roman"/>
                <w:color w:val="auto"/>
                <w:kern w:val="2"/>
                <w:sz w:val="24"/>
                <w:szCs w:val="24"/>
                <w:highlight w:val="none"/>
              </w:rPr>
              <w:t>，对周围环境影响较小。</w:t>
            </w:r>
          </w:p>
          <w:p>
            <w:pPr>
              <w:widowControl w:val="0"/>
              <w:spacing w:after="0" w:line="360" w:lineRule="auto"/>
              <w:ind w:firstLine="482" w:firstLineChars="200"/>
              <w:jc w:val="both"/>
              <w:rPr>
                <w:rFonts w:hint="eastAsia" w:ascii="Times New Roman" w:hAnsi="Times New Roman" w:eastAsia="宋体" w:cs="Times New Roman"/>
                <w:b/>
                <w:bCs w:val="0"/>
                <w:color w:val="auto"/>
                <w:kern w:val="2"/>
                <w:sz w:val="24"/>
                <w:szCs w:val="24"/>
                <w:highlight w:val="none"/>
                <w:lang w:val="en-US" w:eastAsia="zh-CN"/>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bCs w:val="0"/>
                <w:color w:val="auto"/>
                <w:kern w:val="2"/>
                <w:sz w:val="24"/>
                <w:szCs w:val="24"/>
                <w:highlight w:val="none"/>
                <w:lang w:val="en-US" w:eastAsia="zh-CN"/>
              </w:rPr>
              <w:t>燃料废气</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lang w:val="en-US" w:eastAsia="zh-CN"/>
              </w:rPr>
              <w:t>项目红冲工序加热以天然气为燃料，其</w:t>
            </w:r>
            <w:r>
              <w:rPr>
                <w:rFonts w:ascii="Times New Roman" w:hAnsi="Times New Roman" w:eastAsia="宋体" w:cs="Times New Roman"/>
                <w:color w:val="auto"/>
                <w:kern w:val="2"/>
                <w:sz w:val="24"/>
                <w:szCs w:val="24"/>
                <w:highlight w:val="none"/>
                <w:lang w:val="en-US" w:eastAsia="zh-CN"/>
              </w:rPr>
              <w:t>主要污染</w:t>
            </w:r>
            <w:r>
              <w:rPr>
                <w:rFonts w:ascii="Times New Roman" w:hAnsi="Times New Roman" w:eastAsia="宋体" w:cs="Times New Roman"/>
                <w:color w:val="auto"/>
                <w:kern w:val="2"/>
                <w:sz w:val="24"/>
                <w:szCs w:val="24"/>
                <w:highlight w:val="none"/>
                <w:lang w:val="en-US" w:eastAsia="zh-CN" w:bidi="ar-SA"/>
              </w:rPr>
              <w:t>因子为SO</w:t>
            </w:r>
            <w:r>
              <w:rPr>
                <w:rFonts w:ascii="Times New Roman" w:hAnsi="Times New Roman" w:eastAsia="宋体" w:cs="Times New Roman"/>
                <w:color w:val="auto"/>
                <w:kern w:val="2"/>
                <w:sz w:val="24"/>
                <w:szCs w:val="24"/>
                <w:highlight w:val="none"/>
                <w:vertAlign w:val="subscript"/>
                <w:lang w:val="en-US" w:eastAsia="zh-CN" w:bidi="ar-SA"/>
              </w:rPr>
              <w:t>2</w:t>
            </w:r>
            <w:r>
              <w:rPr>
                <w:rFonts w:ascii="Times New Roman" w:hAnsi="Times New Roman" w:eastAsia="宋体" w:cs="Times New Roman"/>
                <w:color w:val="auto"/>
                <w:kern w:val="2"/>
                <w:sz w:val="24"/>
                <w:szCs w:val="24"/>
                <w:highlight w:val="none"/>
                <w:lang w:val="en-US" w:eastAsia="zh-CN" w:bidi="ar-SA"/>
              </w:rPr>
              <w:t>、NOx、烟尘</w:t>
            </w:r>
            <w:r>
              <w:rPr>
                <w:rFonts w:hint="eastAsia" w:ascii="宋体" w:hAnsi="Times New Roman" w:eastAsia="宋体" w:cs="Times New Roman"/>
                <w:color w:val="auto"/>
                <w:kern w:val="2"/>
                <w:sz w:val="24"/>
                <w:szCs w:val="24"/>
                <w:highlight w:val="none"/>
                <w:lang w:val="en-US" w:eastAsia="zh-CN" w:bidi="ar-SA"/>
              </w:rPr>
              <w:t>。</w:t>
            </w:r>
            <w:r>
              <w:rPr>
                <w:rFonts w:hint="eastAsia" w:ascii="宋体" w:hAnsi="宋体" w:eastAsia="宋体" w:cs="Times New Roman"/>
                <w:color w:val="auto"/>
                <w:kern w:val="2"/>
                <w:sz w:val="24"/>
                <w:szCs w:val="24"/>
                <w:highlight w:val="none"/>
                <w:lang w:val="en-US" w:eastAsia="zh-CN" w:bidi="ar-SA"/>
              </w:rPr>
              <w:t>项目</w:t>
            </w:r>
            <w:r>
              <w:rPr>
                <w:rFonts w:hint="eastAsia" w:ascii="宋体" w:hAnsi="Times New Roman" w:eastAsia="宋体" w:cs="Times New Roman"/>
                <w:color w:val="auto"/>
                <w:kern w:val="2"/>
                <w:sz w:val="24"/>
                <w:szCs w:val="24"/>
                <w:highlight w:val="none"/>
                <w:lang w:val="en-US" w:eastAsia="zh-CN" w:bidi="ar-SA"/>
              </w:rPr>
              <w:t>热冲床</w:t>
            </w:r>
            <w:r>
              <w:rPr>
                <w:rFonts w:hint="eastAsia" w:ascii="宋体" w:hAnsi="宋体" w:eastAsia="宋体" w:cs="Times New Roman"/>
                <w:color w:val="auto"/>
                <w:kern w:val="2"/>
                <w:sz w:val="24"/>
                <w:szCs w:val="24"/>
                <w:highlight w:val="none"/>
                <w:lang w:val="en-US" w:eastAsia="zh-CN" w:bidi="ar-SA"/>
              </w:rPr>
              <w:t>所用</w:t>
            </w:r>
            <w:r>
              <w:rPr>
                <w:rFonts w:hint="eastAsia" w:ascii="宋体" w:hAnsi="Times New Roman" w:eastAsia="宋体" w:cs="Times New Roman"/>
                <w:color w:val="auto"/>
                <w:kern w:val="2"/>
                <w:sz w:val="24"/>
                <w:szCs w:val="24"/>
                <w:highlight w:val="none"/>
                <w:lang w:val="en-US" w:eastAsia="zh-CN" w:bidi="ar-SA"/>
              </w:rPr>
              <w:t>天然气</w:t>
            </w:r>
            <w:r>
              <w:rPr>
                <w:rFonts w:hint="eastAsia" w:ascii="宋体" w:hAnsi="宋体" w:eastAsia="宋体" w:cs="Times New Roman"/>
                <w:color w:val="auto"/>
                <w:kern w:val="2"/>
                <w:sz w:val="24"/>
                <w:szCs w:val="24"/>
                <w:highlight w:val="none"/>
                <w:lang w:val="en-US" w:eastAsia="zh-CN" w:bidi="ar-SA"/>
              </w:rPr>
              <w:t>属于清洁能源，</w:t>
            </w:r>
            <w:r>
              <w:rPr>
                <w:rFonts w:ascii="宋体" w:hAnsi="宋体" w:eastAsia="宋体" w:cs="Times New Roman"/>
                <w:color w:val="auto"/>
                <w:kern w:val="2"/>
                <w:sz w:val="24"/>
                <w:szCs w:val="24"/>
                <w:highlight w:val="none"/>
                <w:lang w:val="en-US" w:eastAsia="zh-CN" w:bidi="ar-SA"/>
              </w:rPr>
              <w:t>其燃烧产生的大气污染物排放量较低，</w:t>
            </w:r>
            <w:r>
              <w:rPr>
                <w:rFonts w:hint="eastAsia" w:ascii="宋体" w:hAnsi="宋体" w:eastAsia="宋体" w:cs="Times New Roman"/>
                <w:color w:val="auto"/>
                <w:kern w:val="2"/>
                <w:sz w:val="24"/>
                <w:szCs w:val="24"/>
                <w:highlight w:val="none"/>
                <w:lang w:val="en-US" w:eastAsia="zh-CN" w:bidi="ar-SA"/>
              </w:rPr>
              <w:t>拟设</w:t>
            </w:r>
            <w:r>
              <w:rPr>
                <w:rFonts w:ascii="宋体" w:hAnsi="宋体" w:eastAsia="宋体" w:cs="Times New Roman"/>
                <w:color w:val="auto"/>
                <w:kern w:val="2"/>
                <w:sz w:val="24"/>
                <w:szCs w:val="24"/>
                <w:highlight w:val="none"/>
                <w:lang w:val="en-US" w:eastAsia="zh-CN" w:bidi="ar-SA"/>
              </w:rPr>
              <w:t>集气装置收集后引至楼顶高空排放</w:t>
            </w:r>
            <w:r>
              <w:rPr>
                <w:rFonts w:ascii="Times New Roman" w:hAnsi="Times New Roman" w:eastAsia="宋体" w:cs="Times New Roman"/>
                <w:color w:val="auto"/>
                <w:kern w:val="2"/>
                <w:sz w:val="24"/>
                <w:szCs w:val="24"/>
                <w:highlight w:val="none"/>
                <w:lang w:val="en-US" w:eastAsia="zh-CN" w:bidi="ar-SA"/>
              </w:rPr>
              <w:t>（编号为G2）</w:t>
            </w:r>
            <w:r>
              <w:rPr>
                <w:rFonts w:ascii="宋体" w:hAnsi="宋体"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rPr>
              <w:t>根据</w:t>
            </w:r>
            <w:r>
              <w:rPr>
                <w:rFonts w:hint="eastAsia" w:ascii="Times New Roman" w:hAnsi="Times New Roman" w:eastAsia="宋体" w:cs="Times New Roman"/>
                <w:color w:val="auto"/>
                <w:kern w:val="2"/>
                <w:sz w:val="24"/>
                <w:szCs w:val="24"/>
                <w:highlight w:val="none"/>
                <w:lang w:eastAsia="zh-CN"/>
              </w:rPr>
              <w:t>上文分析</w:t>
            </w:r>
            <w:r>
              <w:rPr>
                <w:rFonts w:ascii="Times New Roman" w:hAnsi="Times New Roman" w:eastAsia="宋体" w:cs="Times New Roman"/>
                <w:color w:val="auto"/>
                <w:kern w:val="2"/>
                <w:sz w:val="24"/>
                <w:szCs w:val="24"/>
                <w:highlight w:val="none"/>
              </w:rPr>
              <w:t>可知项目SO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、烟尘有组织</w:t>
            </w:r>
            <w:r>
              <w:rPr>
                <w:rFonts w:ascii="Times New Roman" w:hAnsi="宋体" w:eastAsia="宋体" w:cs="Times New Roman"/>
                <w:color w:val="auto"/>
                <w:kern w:val="2"/>
                <w:sz w:val="24"/>
                <w:szCs w:val="24"/>
                <w:highlight w:val="none"/>
              </w:rPr>
              <w:t>排放浓度</w:t>
            </w:r>
            <w:r>
              <w:rPr>
                <w:rFonts w:hint="eastAsia" w:ascii="Times New Roman" w:hAnsi="宋体" w:eastAsia="宋体" w:cs="Times New Roman"/>
                <w:color w:val="auto"/>
                <w:kern w:val="2"/>
                <w:sz w:val="24"/>
                <w:szCs w:val="24"/>
                <w:highlight w:val="none"/>
              </w:rPr>
              <w:t>和排放速率可以达到广东省《大气污染物排放限值》（DB44/27－2001）第二时段二级标准</w:t>
            </w:r>
            <w:r>
              <w:rPr>
                <w:rFonts w:hint="eastAsia" w:ascii="宋体" w:hAnsi="宋体"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shd w:val="clear" w:color="auto" w:fill="FFFFFF"/>
              </w:rPr>
              <w:t>无组织排放量较少，</w:t>
            </w:r>
            <w:r>
              <w:rPr>
                <w:rFonts w:ascii="Times New Roman" w:hAnsi="Times New Roman" w:eastAsia="宋体" w:cs="Times New Roman"/>
                <w:color w:val="auto"/>
                <w:kern w:val="2"/>
                <w:sz w:val="24"/>
                <w:szCs w:val="24"/>
                <w:highlight w:val="none"/>
                <w:shd w:val="clear" w:color="auto" w:fill="FFFFFF"/>
              </w:rPr>
              <w:t>根据估算，</w:t>
            </w:r>
            <w:r>
              <w:rPr>
                <w:rFonts w:ascii="Times New Roman" w:hAnsi="Times New Roman" w:eastAsia="宋体" w:cs="Times New Roman"/>
                <w:color w:val="auto"/>
                <w:kern w:val="2"/>
                <w:sz w:val="24"/>
                <w:szCs w:val="24"/>
                <w:highlight w:val="none"/>
              </w:rPr>
              <w:t>周界外SO</w:t>
            </w:r>
            <w:r>
              <w:rPr>
                <w:rFonts w:ascii="Times New Roman" w:hAnsi="Times New Roman" w:eastAsia="宋体" w:cs="Times New Roman"/>
                <w:color w:val="auto"/>
                <w:kern w:val="2"/>
                <w:sz w:val="24"/>
                <w:szCs w:val="24"/>
                <w:highlight w:val="none"/>
                <w:vertAlign w:val="subscript"/>
              </w:rPr>
              <w:t>2</w:t>
            </w:r>
            <w:r>
              <w:rPr>
                <w:rFonts w:ascii="Times New Roman" w:hAnsi="宋体"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NOx</w:t>
            </w:r>
            <w:r>
              <w:rPr>
                <w:rFonts w:hint="eastAsia" w:ascii="Times New Roman" w:hAnsi="Times New Roman" w:eastAsia="宋体" w:cs="Times New Roman"/>
                <w:color w:val="auto"/>
                <w:kern w:val="2"/>
                <w:sz w:val="24"/>
                <w:szCs w:val="24"/>
                <w:highlight w:val="none"/>
              </w:rPr>
              <w:t>、烟尘</w:t>
            </w:r>
            <w:r>
              <w:rPr>
                <w:rFonts w:hint="eastAsia" w:ascii="Times New Roman" w:hAnsi="Times New Roman" w:eastAsia="宋体" w:cs="Times New Roman"/>
                <w:color w:val="auto"/>
                <w:kern w:val="0"/>
                <w:sz w:val="24"/>
                <w:szCs w:val="24"/>
                <w:highlight w:val="none"/>
                <w:lang w:eastAsia="zh-CN"/>
              </w:rPr>
              <w:t>最大地面浓度</w:t>
            </w:r>
            <w:r>
              <w:rPr>
                <w:rFonts w:hint="eastAsia" w:ascii="Times New Roman" w:hAnsi="Times New Roman" w:eastAsia="宋体" w:cs="Times New Roman"/>
                <w:color w:val="auto"/>
                <w:kern w:val="0"/>
                <w:sz w:val="24"/>
                <w:szCs w:val="24"/>
                <w:highlight w:val="none"/>
              </w:rPr>
              <w:t>未超过</w:t>
            </w:r>
            <w:r>
              <w:rPr>
                <w:rFonts w:ascii="Times New Roman" w:hAnsi="Times New Roman" w:eastAsia="宋体" w:cs="Times New Roman"/>
                <w:color w:val="auto"/>
                <w:kern w:val="2"/>
                <w:sz w:val="24"/>
                <w:szCs w:val="24"/>
                <w:highlight w:val="none"/>
              </w:rPr>
              <w:t>广东省地方标准《大气污染物排放限值》（DB44/ 27-2001）第二时段无组织排放监控浓度限值</w:t>
            </w:r>
            <w:r>
              <w:rPr>
                <w:rFonts w:hint="eastAsia" w:ascii="Times New Roman" w:hAnsi="Times New Roman" w:eastAsia="宋体" w:cs="Times New Roman"/>
                <w:color w:val="auto"/>
                <w:kern w:val="2"/>
                <w:sz w:val="24"/>
                <w:szCs w:val="24"/>
                <w:highlight w:val="none"/>
              </w:rPr>
              <w:t>，对周围环境影响较小。</w:t>
            </w:r>
          </w:p>
          <w:p>
            <w:pPr>
              <w:widowControl w:val="0"/>
              <w:spacing w:after="0" w:line="360" w:lineRule="auto"/>
              <w:ind w:firstLine="482" w:firstLineChars="200"/>
              <w:jc w:val="both"/>
              <w:rPr>
                <w:rFonts w:hint="eastAsia" w:ascii="Times New Roman" w:hAnsi="Times New Roman" w:eastAsia="宋体" w:cs="Times New Roman"/>
                <w:b/>
                <w:color w:val="auto"/>
                <w:kern w:val="2"/>
                <w:sz w:val="24"/>
                <w:szCs w:val="24"/>
                <w:highlight w:val="none"/>
              </w:rPr>
            </w:pPr>
            <w:r>
              <w:rPr>
                <w:rFonts w:hint="default" w:ascii="Times New Roman" w:hAnsi="Times New Roman" w:eastAsia="宋体" w:cs="Times New Roman"/>
                <w:b/>
                <w:bCs w:val="0"/>
                <w:color w:val="auto"/>
                <w:sz w:val="24"/>
                <w:szCs w:val="24"/>
              </w:rPr>
              <w:t>◇</w:t>
            </w:r>
            <w:r>
              <w:rPr>
                <w:rFonts w:hint="eastAsia" w:ascii="Times New Roman" w:hAnsi="Times New Roman" w:eastAsia="宋体" w:cs="Times New Roman"/>
                <w:b/>
                <w:color w:val="auto"/>
                <w:kern w:val="2"/>
                <w:sz w:val="24"/>
                <w:szCs w:val="24"/>
                <w:highlight w:val="none"/>
              </w:rPr>
              <w:t>抛光工序</w:t>
            </w:r>
          </w:p>
          <w:p>
            <w:pPr>
              <w:widowControl w:val="0"/>
              <w:spacing w:after="0" w:line="360" w:lineRule="auto"/>
              <w:ind w:right="170" w:firstLine="470" w:firstLineChars="196"/>
              <w:jc w:val="both"/>
              <w:rPr>
                <w:rFonts w:ascii="宋体" w:hAnsi="宋体"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rPr>
              <w:t>项目在</w:t>
            </w:r>
            <w:r>
              <w:rPr>
                <w:rFonts w:hint="eastAsia" w:ascii="Times New Roman" w:hAnsi="Times New Roman" w:eastAsia="宋体" w:cs="Times New Roman"/>
                <w:color w:val="auto"/>
                <w:kern w:val="2"/>
                <w:sz w:val="24"/>
                <w:szCs w:val="24"/>
                <w:highlight w:val="none"/>
                <w:lang w:eastAsia="zh-CN"/>
              </w:rPr>
              <w:t>抛光</w:t>
            </w:r>
            <w:r>
              <w:rPr>
                <w:rFonts w:hint="eastAsia" w:ascii="Times New Roman" w:hAnsi="Times New Roman" w:eastAsia="宋体" w:cs="Times New Roman"/>
                <w:color w:val="auto"/>
                <w:kern w:val="2"/>
                <w:sz w:val="24"/>
                <w:szCs w:val="24"/>
                <w:highlight w:val="none"/>
              </w:rPr>
              <w:t>工序中会产生一定量的粉尘，</w:t>
            </w:r>
            <w:r>
              <w:rPr>
                <w:rFonts w:hint="eastAsia" w:ascii="Times New Roman" w:hAnsi="Times New Roman" w:eastAsia="宋体" w:cs="Times New Roman"/>
                <w:bCs/>
                <w:color w:val="auto"/>
                <w:kern w:val="2"/>
                <w:sz w:val="24"/>
                <w:szCs w:val="24"/>
                <w:highlight w:val="none"/>
                <w:lang w:eastAsia="zh-CN"/>
              </w:rPr>
              <w:t>根据工程分析，</w:t>
            </w:r>
            <w:r>
              <w:rPr>
                <w:rFonts w:hint="eastAsia" w:ascii="Times New Roman" w:hAnsi="Times New Roman" w:eastAsia="宋体" w:cs="Times New Roman"/>
                <w:color w:val="auto"/>
                <w:kern w:val="2"/>
                <w:sz w:val="24"/>
                <w:szCs w:val="24"/>
                <w:highlight w:val="none"/>
              </w:rPr>
              <w:t>产生粉尘量为</w:t>
            </w:r>
            <w:r>
              <w:rPr>
                <w:rFonts w:hint="eastAsia" w:ascii="Times New Roman" w:hAnsi="Times New Roman" w:eastAsia="宋体" w:cs="Times New Roman"/>
                <w:color w:val="auto"/>
                <w:kern w:val="2"/>
                <w:sz w:val="24"/>
                <w:szCs w:val="24"/>
                <w:highlight w:val="none"/>
                <w:lang w:val="en-US" w:eastAsia="zh-CN"/>
              </w:rPr>
              <w:t>0.38</w:t>
            </w:r>
            <w:r>
              <w:rPr>
                <w:rFonts w:hint="eastAsia" w:ascii="Times New Roman" w:hAnsi="Times New Roman" w:eastAsia="宋体" w:cs="Times New Roman"/>
                <w:color w:val="auto"/>
                <w:kern w:val="2"/>
                <w:sz w:val="24"/>
                <w:szCs w:val="24"/>
                <w:highlight w:val="none"/>
              </w:rPr>
              <w:t>t/a。</w:t>
            </w:r>
            <w:r>
              <w:rPr>
                <w:rFonts w:hint="eastAsia" w:ascii="Times New Roman" w:hAnsi="Times New Roman" w:eastAsia="宋体" w:cs="Times New Roman"/>
                <w:color w:val="auto"/>
                <w:kern w:val="2"/>
                <w:sz w:val="24"/>
                <w:szCs w:val="24"/>
                <w:highlight w:val="none"/>
                <w:lang w:eastAsia="zh-CN"/>
              </w:rPr>
              <w:t>拟</w:t>
            </w:r>
            <w:r>
              <w:rPr>
                <w:rFonts w:hint="eastAsia" w:ascii="Times New Roman" w:hAnsi="宋体" w:eastAsia="宋体" w:cs="Times New Roman"/>
                <w:color w:val="auto"/>
                <w:kern w:val="2"/>
                <w:sz w:val="24"/>
                <w:szCs w:val="24"/>
                <w:highlight w:val="none"/>
              </w:rPr>
              <w:t>将粉尘统一收集至布袋除尘装置处理，处理效率可达99%，处理达标后经排气筒引至楼顶高空排放</w:t>
            </w:r>
            <w:r>
              <w:rPr>
                <w:rFonts w:ascii="Times New Roman" w:hAnsi="Times New Roman" w:eastAsia="宋体" w:cs="Times New Roman"/>
                <w:color w:val="auto"/>
                <w:kern w:val="2"/>
                <w:sz w:val="24"/>
                <w:szCs w:val="24"/>
                <w:highlight w:val="none"/>
              </w:rPr>
              <w:t>（编号为G</w:t>
            </w:r>
            <w:r>
              <w:rPr>
                <w:rFonts w:hint="eastAsia" w:ascii="Times New Roman" w:hAnsi="Times New Roman" w:eastAsia="宋体" w:cs="Times New Roman"/>
                <w:color w:val="auto"/>
                <w:kern w:val="2"/>
                <w:sz w:val="24"/>
                <w:szCs w:val="24"/>
                <w:highlight w:val="none"/>
              </w:rPr>
              <w:t>3</w:t>
            </w:r>
            <w:r>
              <w:rPr>
                <w:rFonts w:ascii="Times New Roman" w:hAnsi="Times New Roman" w:eastAsia="宋体" w:cs="Times New Roman"/>
                <w:color w:val="auto"/>
                <w:kern w:val="2"/>
                <w:sz w:val="24"/>
                <w:szCs w:val="24"/>
                <w:highlight w:val="none"/>
              </w:rPr>
              <w:t>）</w:t>
            </w:r>
            <w:r>
              <w:rPr>
                <w:rFonts w:hint="eastAsia" w:ascii="Times New Roman" w:hAnsi="宋体" w:eastAsia="宋体" w:cs="Times New Roman"/>
                <w:color w:val="auto"/>
                <w:kern w:val="2"/>
                <w:sz w:val="24"/>
                <w:szCs w:val="24"/>
                <w:highlight w:val="none"/>
              </w:rPr>
              <w:t>，排气筒高度不低于15米。根据</w:t>
            </w:r>
            <w:r>
              <w:rPr>
                <w:rFonts w:hint="eastAsia" w:ascii="Times New Roman" w:hAnsi="宋体" w:eastAsia="宋体" w:cs="Times New Roman"/>
                <w:color w:val="auto"/>
                <w:kern w:val="2"/>
                <w:sz w:val="24"/>
                <w:szCs w:val="24"/>
                <w:highlight w:val="none"/>
                <w:lang w:eastAsia="zh-CN"/>
              </w:rPr>
              <w:t>上文分析</w:t>
            </w:r>
            <w:r>
              <w:rPr>
                <w:rFonts w:hint="eastAsia" w:ascii="Times New Roman" w:hAnsi="宋体" w:eastAsia="宋体" w:cs="Times New Roman"/>
                <w:color w:val="auto"/>
                <w:kern w:val="2"/>
                <w:sz w:val="24"/>
                <w:szCs w:val="24"/>
                <w:highlight w:val="none"/>
              </w:rPr>
              <w:t>可知项目粉尘排放浓度和排放速率可以达到</w:t>
            </w:r>
            <w:r>
              <w:rPr>
                <w:rFonts w:hint="eastAsia" w:ascii="Times New Roman" w:hAnsi="Times New Roman" w:eastAsia="宋体" w:cs="Times New Roman"/>
                <w:color w:val="auto"/>
                <w:kern w:val="2"/>
                <w:sz w:val="24"/>
                <w:szCs w:val="24"/>
                <w:highlight w:val="none"/>
              </w:rPr>
              <w:t>广东省地方标准《大气污染物排放限值》</w:t>
            </w:r>
            <w:r>
              <w:rPr>
                <w:rFonts w:ascii="Times New Roman" w:hAnsi="Times New Roman" w:eastAsia="宋体" w:cs="Times New Roman"/>
                <w:color w:val="auto"/>
                <w:kern w:val="2"/>
                <w:sz w:val="24"/>
                <w:szCs w:val="24"/>
                <w:highlight w:val="none"/>
              </w:rPr>
              <w:t>（DB44/27-2001）中第二时段二级标准</w:t>
            </w:r>
            <w:r>
              <w:rPr>
                <w:rFonts w:hint="eastAsia" w:ascii="Times New Roman" w:hAnsi="宋体"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shd w:val="clear" w:color="auto" w:fill="FFFFFF"/>
              </w:rPr>
              <w:t>无组织排放量较少，</w:t>
            </w:r>
            <w:r>
              <w:rPr>
                <w:rFonts w:ascii="Times New Roman" w:hAnsi="Times New Roman" w:eastAsia="宋体" w:cs="Times New Roman"/>
                <w:color w:val="auto"/>
                <w:kern w:val="2"/>
                <w:sz w:val="24"/>
                <w:szCs w:val="24"/>
                <w:highlight w:val="none"/>
                <w:shd w:val="clear" w:color="auto" w:fill="FFFFFF"/>
              </w:rPr>
              <w:t>根据估算，</w:t>
            </w:r>
            <w:r>
              <w:rPr>
                <w:rFonts w:ascii="Times New Roman" w:hAnsi="Times New Roman" w:eastAsia="宋体" w:cs="Times New Roman"/>
                <w:color w:val="auto"/>
                <w:kern w:val="2"/>
                <w:sz w:val="24"/>
                <w:szCs w:val="24"/>
                <w:highlight w:val="none"/>
              </w:rPr>
              <w:t>周界外</w:t>
            </w:r>
            <w:r>
              <w:rPr>
                <w:rFonts w:hint="eastAsia" w:ascii="Times New Roman" w:hAnsi="Times New Roman" w:eastAsia="宋体" w:cs="Times New Roman"/>
                <w:color w:val="auto"/>
                <w:kern w:val="2"/>
                <w:sz w:val="24"/>
                <w:szCs w:val="24"/>
                <w:highlight w:val="none"/>
              </w:rPr>
              <w:t>粉尘</w:t>
            </w:r>
            <w:r>
              <w:rPr>
                <w:rFonts w:hint="eastAsia" w:ascii="Times New Roman" w:hAnsi="Times New Roman" w:eastAsia="宋体" w:cs="Times New Roman"/>
                <w:color w:val="auto"/>
                <w:kern w:val="0"/>
                <w:sz w:val="24"/>
                <w:szCs w:val="24"/>
                <w:highlight w:val="none"/>
                <w:lang w:eastAsia="zh-CN"/>
              </w:rPr>
              <w:t>最大地面浓度</w:t>
            </w:r>
            <w:r>
              <w:rPr>
                <w:rFonts w:hint="eastAsia" w:ascii="Times New Roman" w:hAnsi="Times New Roman" w:eastAsia="宋体" w:cs="Times New Roman"/>
                <w:color w:val="auto"/>
                <w:kern w:val="0"/>
                <w:sz w:val="24"/>
                <w:szCs w:val="24"/>
                <w:highlight w:val="none"/>
              </w:rPr>
              <w:t>未超过</w:t>
            </w:r>
            <w:r>
              <w:rPr>
                <w:rFonts w:ascii="Times New Roman" w:hAnsi="Times New Roman" w:eastAsia="宋体" w:cs="Times New Roman"/>
                <w:color w:val="auto"/>
                <w:kern w:val="2"/>
                <w:sz w:val="24"/>
                <w:szCs w:val="24"/>
                <w:highlight w:val="none"/>
              </w:rPr>
              <w:t>广东省地方标准《大气污染物排放限值》（DB44/ 27-2001）第二时段无组织排放监控浓度限值</w:t>
            </w:r>
            <w:r>
              <w:rPr>
                <w:rFonts w:hint="eastAsia" w:ascii="Times New Roman" w:hAnsi="Times New Roman" w:eastAsia="宋体" w:cs="Times New Roman"/>
                <w:color w:val="auto"/>
                <w:kern w:val="2"/>
                <w:sz w:val="24"/>
                <w:szCs w:val="24"/>
                <w:highlight w:val="none"/>
              </w:rPr>
              <w:t>，对周围环境影响较小。</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3、声环境影响评价结论</w:t>
            </w:r>
          </w:p>
          <w:p>
            <w:pPr>
              <w:widowControl w:val="0"/>
              <w:spacing w:after="0" w:line="360" w:lineRule="auto"/>
              <w:ind w:firstLine="480" w:firstLineChars="200"/>
              <w:jc w:val="both"/>
              <w:textAlignment w:val="baseline"/>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项目主要噪声源为生产设备运行过程中产生的噪声，噪声源强约为</w:t>
            </w:r>
            <w:r>
              <w:rPr>
                <w:rFonts w:hint="eastAsia" w:ascii="Times New Roman" w:hAnsi="Times New Roman" w:eastAsia="宋体" w:cs="Times New Roman"/>
                <w:color w:val="auto"/>
                <w:kern w:val="2"/>
                <w:sz w:val="24"/>
                <w:lang w:val="en-US" w:eastAsia="zh-CN"/>
              </w:rPr>
              <w:t>70</w:t>
            </w:r>
            <w:r>
              <w:rPr>
                <w:rFonts w:hint="default" w:ascii="Times New Roman" w:hAnsi="Times New Roman" w:eastAsia="宋体" w:cs="Times New Roman"/>
                <w:color w:val="auto"/>
                <w:kern w:val="2"/>
                <w:sz w:val="24"/>
              </w:rPr>
              <w:t>-90dB(A)。项目采用低噪声设备，采取对高噪声设备底部增设防震垫等措施；对所有设备加强日常管理和维护，确保设备处于良好的运转状态后，经墙体隔声、距离衰减后，厂界噪声可满足《工业企业厂界环境噪声排放标准》（GB12348-2008）中的3类标准要求，项目噪声对周围环境影响不大。</w:t>
            </w:r>
          </w:p>
          <w:p>
            <w:pPr>
              <w:widowControl w:val="0"/>
              <w:spacing w:after="0" w:line="360" w:lineRule="auto"/>
              <w:ind w:right="170" w:firstLine="472" w:firstLineChars="196"/>
              <w:jc w:val="both"/>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4、固体废物影响评价结论</w:t>
            </w:r>
          </w:p>
          <w:p>
            <w:pPr>
              <w:spacing w:line="360" w:lineRule="auto"/>
              <w:ind w:firstLine="520" w:firstLineChars="200"/>
              <w:rPr>
                <w:color w:val="auto"/>
                <w:sz w:val="24"/>
                <w:highlight w:val="none"/>
              </w:rPr>
            </w:pPr>
            <w:r>
              <w:rPr>
                <w:rFonts w:hint="eastAsia" w:ascii="宋体" w:hAnsi="宋体"/>
                <w:color w:val="auto"/>
                <w:spacing w:val="10"/>
                <w:sz w:val="24"/>
                <w:highlight w:val="none"/>
              </w:rPr>
              <w:t>一般工业固废</w:t>
            </w:r>
            <w:r>
              <w:rPr>
                <w:rFonts w:ascii="宋体" w:hAnsi="宋体"/>
                <w:color w:val="auto"/>
                <w:spacing w:val="10"/>
                <w:sz w:val="24"/>
                <w:highlight w:val="none"/>
              </w:rPr>
              <w:t>交</w:t>
            </w:r>
            <w:r>
              <w:rPr>
                <w:rFonts w:hint="eastAsia" w:ascii="宋体" w:hAnsi="宋体"/>
                <w:color w:val="auto"/>
                <w:spacing w:val="10"/>
                <w:sz w:val="24"/>
                <w:highlight w:val="none"/>
              </w:rPr>
              <w:t>专业公司回收处理；</w:t>
            </w:r>
            <w:r>
              <w:rPr>
                <w:rFonts w:hint="eastAsia"/>
                <w:color w:val="auto"/>
                <w:spacing w:val="-4"/>
                <w:sz w:val="24"/>
                <w:highlight w:val="none"/>
              </w:rPr>
              <w:t>危险废物交给有危险废物处置资质单位处置；员工生活</w:t>
            </w:r>
            <w:r>
              <w:rPr>
                <w:rFonts w:hint="eastAsia"/>
                <w:color w:val="auto"/>
                <w:sz w:val="24"/>
                <w:highlight w:val="none"/>
              </w:rPr>
              <w:t>产生</w:t>
            </w:r>
            <w:r>
              <w:rPr>
                <w:rFonts w:hint="eastAsia"/>
                <w:bCs/>
                <w:color w:val="auto"/>
                <w:sz w:val="24"/>
                <w:highlight w:val="none"/>
              </w:rPr>
              <w:t>的普通</w:t>
            </w:r>
            <w:r>
              <w:rPr>
                <w:rFonts w:hint="eastAsia"/>
                <w:color w:val="auto"/>
                <w:sz w:val="24"/>
                <w:highlight w:val="none"/>
              </w:rPr>
              <w:t>生活垃圾必须按照指定地点堆放在生活垃圾堆放点，每日由环卫部门清理运走，并对堆放点进行定期的清洁消毒，杀灭害虫。</w:t>
            </w:r>
          </w:p>
          <w:p>
            <w:pPr>
              <w:widowControl w:val="0"/>
              <w:spacing w:after="0" w:line="360" w:lineRule="auto"/>
              <w:ind w:right="170" w:firstLine="470" w:firstLineChars="196"/>
              <w:jc w:val="both"/>
              <w:rPr>
                <w:rFonts w:hint="eastAsia"/>
                <w:color w:val="auto"/>
                <w:sz w:val="24"/>
                <w:highlight w:val="none"/>
              </w:rPr>
            </w:pPr>
            <w:r>
              <w:rPr>
                <w:rFonts w:hint="eastAsia"/>
                <w:color w:val="auto"/>
                <w:sz w:val="24"/>
                <w:highlight w:val="none"/>
              </w:rPr>
              <w:t>因此，项目产生的固体废物经处理后对周围环境影响不明显。</w:t>
            </w:r>
          </w:p>
          <w:p>
            <w:pPr>
              <w:widowControl w:val="0"/>
              <w:tabs>
                <w:tab w:val="left" w:pos="9360"/>
              </w:tabs>
              <w:spacing w:after="0" w:line="360" w:lineRule="auto"/>
              <w:ind w:firstLine="482" w:firstLineChars="200"/>
              <w:jc w:val="both"/>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5、</w:t>
            </w:r>
            <w:r>
              <w:rPr>
                <w:rFonts w:ascii="Times New Roman" w:hAnsi="Times New Roman" w:eastAsia="宋体" w:cs="Times New Roman"/>
                <w:b/>
                <w:bCs/>
                <w:color w:val="auto"/>
                <w:kern w:val="2"/>
                <w:sz w:val="24"/>
                <w:szCs w:val="24"/>
                <w:highlight w:val="none"/>
              </w:rPr>
              <w:t>环境风险分析</w:t>
            </w:r>
            <w:r>
              <w:rPr>
                <w:rFonts w:hint="eastAsia" w:ascii="Times New Roman" w:hAnsi="Times New Roman" w:eastAsia="宋体" w:cs="Times New Roman"/>
                <w:b/>
                <w:bCs/>
                <w:color w:val="auto"/>
                <w:kern w:val="2"/>
                <w:sz w:val="24"/>
                <w:szCs w:val="24"/>
                <w:highlight w:val="none"/>
              </w:rPr>
              <w:t>结论</w:t>
            </w:r>
          </w:p>
          <w:p>
            <w:pPr>
              <w:widowControl w:val="0"/>
              <w:spacing w:after="0" w:line="360" w:lineRule="auto"/>
              <w:ind w:firstLine="480" w:firstLineChars="200"/>
              <w:jc w:val="both"/>
              <w:rPr>
                <w:rFonts w:ascii="Times New Roman" w:hAnsi="Times New Roman" w:cs="Times New Roman" w:eastAsiaTheme="minorEastAsia"/>
                <w:color w:val="auto"/>
                <w:kern w:val="2"/>
                <w:sz w:val="24"/>
                <w:szCs w:val="24"/>
                <w:highlight w:val="none"/>
              </w:rPr>
            </w:pPr>
            <w:r>
              <w:rPr>
                <w:rFonts w:ascii="Times New Roman" w:hAnsi="Times New Roman" w:cs="Times New Roman" w:eastAsiaTheme="minorEastAsia"/>
                <w:color w:val="auto"/>
                <w:kern w:val="2"/>
                <w:sz w:val="24"/>
                <w:szCs w:val="24"/>
                <w:highlight w:val="none"/>
              </w:rPr>
              <w:t>项目物质不构成重大危险源</w:t>
            </w:r>
            <w:r>
              <w:rPr>
                <w:rFonts w:hint="eastAsia" w:ascii="Times New Roman" w:hAnsi="Times New Roman" w:cs="Times New Roman" w:eastAsiaTheme="minorEastAsia"/>
                <w:color w:val="auto"/>
                <w:kern w:val="2"/>
                <w:sz w:val="24"/>
                <w:szCs w:val="24"/>
                <w:highlight w:val="none"/>
              </w:rPr>
              <w:t>，</w:t>
            </w:r>
            <w:r>
              <w:rPr>
                <w:rFonts w:ascii="Times New Roman" w:hAnsi="Times New Roman" w:cs="Times New Roman" w:eastAsiaTheme="minorEastAsia"/>
                <w:color w:val="auto"/>
                <w:kern w:val="2"/>
                <w:sz w:val="24"/>
                <w:szCs w:val="24"/>
                <w:highlight w:val="none"/>
              </w:rPr>
              <w:t>企业在落实相应风险防范和控制措施的情况下，总体环境风险可控。</w:t>
            </w:r>
          </w:p>
          <w:p>
            <w:pPr>
              <w:widowControl w:val="0"/>
              <w:numPr>
                <w:ilvl w:val="0"/>
                <w:numId w:val="8"/>
              </w:numPr>
              <w:adjustRightInd w:val="0"/>
              <w:snapToGrid w:val="0"/>
              <w:spacing w:after="0" w:line="360" w:lineRule="auto"/>
              <w:ind w:firstLine="431"/>
              <w:jc w:val="both"/>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土壤环境影响分析结论</w:t>
            </w:r>
          </w:p>
          <w:p>
            <w:pPr>
              <w:widowControl w:val="0"/>
              <w:spacing w:after="0" w:line="360" w:lineRule="auto"/>
              <w:ind w:firstLine="480" w:firstLineChars="200"/>
              <w:jc w:val="both"/>
              <w:rPr>
                <w:rFonts w:ascii="Times New Roman" w:hAnsi="宋体" w:eastAsia="宋体" w:cs="Times New Roman"/>
                <w:color w:val="auto"/>
                <w:kern w:val="2"/>
                <w:sz w:val="24"/>
                <w:szCs w:val="24"/>
                <w:highlight w:val="none"/>
              </w:rPr>
            </w:pPr>
            <w:r>
              <w:rPr>
                <w:rFonts w:hint="eastAsia" w:ascii="Times New Roman" w:hAnsi="宋体" w:eastAsia="宋体" w:cs="Times New Roman"/>
                <w:color w:val="auto"/>
                <w:kern w:val="2"/>
                <w:sz w:val="24"/>
                <w:szCs w:val="24"/>
                <w:highlight w:val="none"/>
              </w:rPr>
              <w:t>根据项目情况，项目占地规格为小型，敏感程度为</w:t>
            </w:r>
            <w:r>
              <w:rPr>
                <w:rFonts w:hint="eastAsia" w:ascii="Times New Roman" w:hAnsi="宋体" w:eastAsia="宋体" w:cs="Times New Roman"/>
                <w:color w:val="auto"/>
                <w:kern w:val="2"/>
                <w:sz w:val="24"/>
                <w:szCs w:val="24"/>
                <w:highlight w:val="none"/>
                <w:lang w:eastAsia="zh-CN"/>
              </w:rPr>
              <w:t>不</w:t>
            </w:r>
            <w:r>
              <w:rPr>
                <w:rFonts w:hint="eastAsia" w:ascii="Times New Roman" w:hAnsi="宋体" w:eastAsia="宋体" w:cs="Times New Roman"/>
                <w:color w:val="auto"/>
                <w:kern w:val="2"/>
                <w:sz w:val="24"/>
                <w:szCs w:val="24"/>
                <w:highlight w:val="none"/>
              </w:rPr>
              <w:t>敏感，项目类别为Ⅲ类，因此，项目未列入评价工作等级中，可不开展土壤环境影响评价工作。</w:t>
            </w:r>
          </w:p>
          <w:p>
            <w:pPr>
              <w:widowControl w:val="0"/>
              <w:adjustRightInd w:val="0"/>
              <w:snapToGrid w:val="0"/>
              <w:spacing w:after="0" w:line="360" w:lineRule="auto"/>
              <w:ind w:firstLine="431"/>
              <w:jc w:val="both"/>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lang w:eastAsia="zh-CN"/>
              </w:rPr>
              <w:t>（</w:t>
            </w:r>
            <w:r>
              <w:rPr>
                <w:rFonts w:ascii="Times New Roman" w:hAnsi="Times New Roman" w:eastAsia="宋体" w:cs="Times New Roman"/>
                <w:b/>
                <w:bCs/>
                <w:color w:val="auto"/>
                <w:kern w:val="2"/>
                <w:sz w:val="24"/>
                <w:szCs w:val="24"/>
                <w:highlight w:val="none"/>
              </w:rPr>
              <w:t>四</w:t>
            </w:r>
            <w:r>
              <w:rPr>
                <w:rFonts w:hint="eastAsia" w:ascii="Times New Roman" w:hAnsi="Times New Roman" w:eastAsia="宋体" w:cs="Times New Roman"/>
                <w:b/>
                <w:bCs/>
                <w:color w:val="auto"/>
                <w:kern w:val="2"/>
                <w:sz w:val="24"/>
                <w:szCs w:val="24"/>
                <w:highlight w:val="none"/>
                <w:lang w:eastAsia="zh-CN"/>
              </w:rPr>
              <w:t>）</w:t>
            </w:r>
            <w:r>
              <w:rPr>
                <w:rFonts w:ascii="Times New Roman" w:hAnsi="Times New Roman" w:eastAsia="宋体" w:cs="Times New Roman"/>
                <w:b/>
                <w:bCs/>
                <w:color w:val="auto"/>
                <w:kern w:val="2"/>
                <w:sz w:val="24"/>
                <w:szCs w:val="24"/>
                <w:highlight w:val="none"/>
              </w:rPr>
              <w:t>项目产业政策符合性</w:t>
            </w:r>
          </w:p>
          <w:p>
            <w:pPr>
              <w:widowControl w:val="0"/>
              <w:spacing w:after="0" w:line="360" w:lineRule="auto"/>
              <w:ind w:firstLine="488" w:firstLineChars="200"/>
              <w:jc w:val="both"/>
              <w:textAlignment w:val="baseline"/>
              <w:rPr>
                <w:rFonts w:hint="default" w:ascii="Times New Roman" w:hAnsi="Times New Roman" w:eastAsia="宋体" w:cs="Times New Roman"/>
                <w:color w:val="FF0000"/>
                <w:spacing w:val="2"/>
                <w:kern w:val="2"/>
                <w:sz w:val="24"/>
                <w:szCs w:val="20"/>
              </w:rPr>
            </w:pPr>
            <w:r>
              <w:rPr>
                <w:rFonts w:hint="default" w:ascii="Times New Roman" w:hAnsi="Times New Roman" w:eastAsia="宋体" w:cs="Times New Roman"/>
                <w:color w:val="auto"/>
                <w:spacing w:val="2"/>
                <w:kern w:val="2"/>
                <w:sz w:val="24"/>
                <w:szCs w:val="20"/>
              </w:rPr>
              <w:t>项目主要从事卫浴配件的生产，不含磷化、喷漆等表面处理工艺，属于C3383金属制卫生器具制造类型建设项目，所属类别不在国家发展和改革委员会2013年5月1日实施发布的《产业结构调整指导目录(2011年本)（2013修正）》及</w:t>
            </w:r>
            <w:r>
              <w:rPr>
                <w:rFonts w:hint="eastAsia" w:ascii="Times New Roman" w:hAnsi="Times New Roman" w:eastAsia="宋体" w:cs="Times New Roman"/>
                <w:color w:val="auto"/>
                <w:spacing w:val="2"/>
                <w:kern w:val="2"/>
                <w:sz w:val="24"/>
                <w:szCs w:val="20"/>
                <w:lang w:eastAsia="zh-CN"/>
              </w:rPr>
              <w:t>《市场准入负面清单（2019年版）》发改体改[2019]1685号</w:t>
            </w:r>
            <w:r>
              <w:rPr>
                <w:rFonts w:hint="default" w:ascii="Times New Roman" w:hAnsi="Times New Roman" w:eastAsia="宋体" w:cs="Times New Roman"/>
                <w:color w:val="auto"/>
                <w:spacing w:val="2"/>
                <w:kern w:val="2"/>
                <w:sz w:val="24"/>
                <w:szCs w:val="20"/>
              </w:rPr>
              <w:t>中的限制或淘汰类别，不属于中的重点淘汰类和重点整治类；因此本项目的建设是符合国家和地方相关产业政策。</w:t>
            </w:r>
          </w:p>
          <w:p>
            <w:pPr>
              <w:widowControl w:val="0"/>
              <w:adjustRightInd w:val="0"/>
              <w:snapToGrid w:val="0"/>
              <w:spacing w:after="0" w:line="336" w:lineRule="auto"/>
              <w:ind w:firstLine="482" w:firstLineChars="200"/>
              <w:jc w:val="both"/>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lang w:eastAsia="zh-CN"/>
              </w:rPr>
              <w:t>（</w:t>
            </w:r>
            <w:r>
              <w:rPr>
                <w:rFonts w:hint="eastAsia" w:ascii="Times New Roman" w:hAnsi="Times New Roman" w:eastAsia="宋体" w:cs="Times New Roman"/>
                <w:b/>
                <w:bCs/>
                <w:color w:val="auto"/>
                <w:kern w:val="2"/>
                <w:sz w:val="24"/>
                <w:szCs w:val="24"/>
                <w:highlight w:val="none"/>
              </w:rPr>
              <w:t>五</w:t>
            </w:r>
            <w:r>
              <w:rPr>
                <w:rFonts w:hint="eastAsia" w:ascii="Times New Roman" w:hAnsi="Times New Roman" w:eastAsia="宋体" w:cs="Times New Roman"/>
                <w:b/>
                <w:bCs/>
                <w:color w:val="auto"/>
                <w:kern w:val="2"/>
                <w:sz w:val="24"/>
                <w:szCs w:val="24"/>
                <w:highlight w:val="none"/>
                <w:lang w:eastAsia="zh-CN"/>
              </w:rPr>
              <w:t>）</w:t>
            </w:r>
            <w:r>
              <w:rPr>
                <w:rFonts w:hint="default" w:ascii="Times New Roman" w:hAnsi="Times New Roman" w:eastAsia="宋体" w:cs="Times New Roman"/>
                <w:b/>
                <w:color w:val="auto"/>
                <w:kern w:val="2"/>
                <w:sz w:val="24"/>
              </w:rPr>
              <w:t>规划相符性</w:t>
            </w:r>
          </w:p>
          <w:p>
            <w:pPr>
              <w:widowControl w:val="0"/>
              <w:spacing w:after="0" w:line="360" w:lineRule="auto"/>
              <w:ind w:firstLine="488" w:firstLineChars="200"/>
              <w:jc w:val="both"/>
              <w:textAlignment w:val="baseline"/>
              <w:rPr>
                <w:rFonts w:hint="default" w:ascii="Times New Roman" w:hAnsi="Times New Roman" w:eastAsia="宋体" w:cs="Times New Roman"/>
                <w:color w:val="auto"/>
                <w:spacing w:val="2"/>
                <w:kern w:val="2"/>
                <w:sz w:val="24"/>
                <w:szCs w:val="20"/>
              </w:rPr>
            </w:pPr>
            <w:r>
              <w:rPr>
                <w:rFonts w:hint="default" w:ascii="Times New Roman" w:hAnsi="Times New Roman" w:eastAsia="宋体" w:cs="Times New Roman"/>
                <w:color w:val="auto"/>
                <w:spacing w:val="2"/>
                <w:kern w:val="2"/>
                <w:sz w:val="24"/>
                <w:szCs w:val="20"/>
              </w:rPr>
              <w:t>本项目位于开平市水口镇内环东路第三工业园01号，根据《开平市水口镇总体规划修编（2015-2030）》，项目所在地的规划用途为二类工业用地，不属于基本农田保护区、林地保护区、重点生态保护区和风景名胜区。因此本项目的建设符合国家和地方相关产业政策。</w:t>
            </w:r>
          </w:p>
          <w:p>
            <w:pPr>
              <w:widowControl w:val="0"/>
              <w:adjustRightInd w:val="0"/>
              <w:snapToGrid w:val="0"/>
              <w:spacing w:after="0" w:line="360" w:lineRule="auto"/>
              <w:ind w:firstLine="472" w:firstLineChars="196"/>
              <w:jc w:val="both"/>
              <w:rPr>
                <w:rFonts w:ascii="Times New Roman" w:hAnsi="Times New Roman" w:eastAsia="宋体" w:cs="Times New Roman"/>
                <w:b/>
                <w:color w:val="auto"/>
                <w:kern w:val="2"/>
                <w:sz w:val="24"/>
                <w:szCs w:val="24"/>
                <w:highlight w:val="none"/>
              </w:rPr>
            </w:pPr>
            <w:r>
              <w:rPr>
                <w:rFonts w:hint="eastAsia" w:ascii="Times New Roman" w:hAnsi="Times New Roman" w:eastAsia="宋体" w:cs="Times New Roman"/>
                <w:b/>
                <w:color w:val="auto"/>
                <w:kern w:val="2"/>
                <w:sz w:val="24"/>
                <w:szCs w:val="24"/>
                <w:highlight w:val="none"/>
              </w:rPr>
              <w:t>六、</w:t>
            </w:r>
            <w:r>
              <w:rPr>
                <w:rFonts w:ascii="Times New Roman" w:hAnsi="Times New Roman" w:eastAsia="宋体" w:cs="Times New Roman"/>
                <w:b/>
                <w:color w:val="auto"/>
                <w:kern w:val="2"/>
                <w:sz w:val="24"/>
                <w:szCs w:val="24"/>
                <w:highlight w:val="none"/>
              </w:rPr>
              <w:t>综合结论</w:t>
            </w:r>
          </w:p>
          <w:p>
            <w:pPr>
              <w:widowControl w:val="0"/>
              <w:adjustRightInd w:val="0"/>
              <w:spacing w:line="336" w:lineRule="auto"/>
              <w:ind w:left="0" w:right="0" w:firstLine="480" w:firstLineChars="200"/>
              <w:jc w:val="both"/>
              <w:textAlignment w:val="baseline"/>
              <w:rPr>
                <w:rFonts w:ascii="Times New Roman" w:hAnsi="Times New Roman" w:eastAsia="宋体" w:cs="Times New Roman"/>
                <w:color w:val="auto"/>
                <w:kern w:val="0"/>
                <w:sz w:val="24"/>
                <w:szCs w:val="20"/>
                <w:highlight w:val="none"/>
                <w:lang w:val="en-US" w:eastAsia="zh-CN" w:bidi="ar-SA"/>
              </w:rPr>
            </w:pPr>
            <w:r>
              <w:rPr>
                <w:rFonts w:ascii="Times New Roman" w:hAnsi="Times New Roman" w:eastAsia="宋体" w:cs="Times New Roman"/>
                <w:color w:val="auto"/>
                <w:kern w:val="0"/>
                <w:sz w:val="24"/>
                <w:szCs w:val="20"/>
                <w:highlight w:val="none"/>
                <w:lang w:val="en-US" w:eastAsia="zh-CN" w:bidi="ar-SA"/>
              </w:rPr>
              <w:t>通过上述分析，</w:t>
            </w:r>
            <w:r>
              <w:rPr>
                <w:rFonts w:hint="eastAsia" w:ascii="Times New Roman" w:hAnsi="Times New Roman" w:eastAsia="宋体" w:cs="Times New Roman"/>
                <w:color w:val="auto"/>
                <w:kern w:val="0"/>
                <w:sz w:val="24"/>
                <w:szCs w:val="20"/>
                <w:highlight w:val="none"/>
                <w:lang w:val="en-US" w:eastAsia="zh-CN" w:bidi="ar-SA"/>
              </w:rPr>
              <w:t>本项目符合国家和地方产业政策，符合当地城市规划和环境保护规划，采取的“三废”治理措施经济技术可行有效，工程实施后可满足当地环境质量要求。</w:t>
            </w:r>
          </w:p>
          <w:p>
            <w:pPr>
              <w:widowControl w:val="0"/>
              <w:adjustRightInd w:val="0"/>
              <w:spacing w:line="336" w:lineRule="auto"/>
              <w:ind w:left="0" w:right="0" w:firstLine="480" w:firstLineChars="200"/>
              <w:jc w:val="both"/>
              <w:textAlignment w:val="baseline"/>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评价认为，在确保各项污染治理措施“三同时”建设和外排污染物达标的前提下，从环境保护角度而言本项目建设是可行的。</w:t>
            </w:r>
          </w:p>
          <w:p>
            <w:pPr>
              <w:widowControl w:val="0"/>
              <w:adjustRightInd w:val="0"/>
              <w:snapToGrid w:val="0"/>
              <w:spacing w:after="0" w:line="360" w:lineRule="auto"/>
              <w:ind w:firstLine="431"/>
              <w:jc w:val="both"/>
              <w:rPr>
                <w:rFonts w:ascii="Times New Roman" w:hAnsi="Times New Roman" w:eastAsia="宋体" w:cs="Times New Roman"/>
                <w:b/>
                <w:bCs/>
                <w:color w:val="auto"/>
                <w:kern w:val="2"/>
                <w:sz w:val="24"/>
                <w:szCs w:val="24"/>
                <w:highlight w:val="none"/>
              </w:rPr>
            </w:pPr>
          </w:p>
          <w:p>
            <w:pPr>
              <w:widowControl w:val="0"/>
              <w:adjustRightInd w:val="0"/>
              <w:snapToGrid w:val="0"/>
              <w:spacing w:after="0" w:line="360" w:lineRule="auto"/>
              <w:ind w:firstLine="431"/>
              <w:jc w:val="both"/>
              <w:rPr>
                <w:rFonts w:ascii="Times New Roman" w:hAnsi="Times New Roman" w:eastAsia="宋体" w:cs="Times New Roman"/>
                <w:b/>
                <w:bCs/>
                <w:color w:val="auto"/>
                <w:kern w:val="2"/>
                <w:sz w:val="24"/>
                <w:szCs w:val="24"/>
                <w:highlight w:val="none"/>
              </w:rPr>
            </w:pPr>
          </w:p>
          <w:p>
            <w:pPr>
              <w:widowControl w:val="0"/>
              <w:autoSpaceDE w:val="0"/>
              <w:autoSpaceDN w:val="0"/>
              <w:adjustRightInd w:val="0"/>
              <w:rPr>
                <w:rFonts w:ascii="宋体" w:hAnsi="Times New Roman" w:eastAsia="宋体" w:cs="宋体"/>
                <w:color w:val="auto"/>
                <w:sz w:val="24"/>
                <w:szCs w:val="24"/>
                <w:highlight w:val="none"/>
                <w:lang w:val="en-US" w:eastAsia="zh-CN" w:bidi="ar-SA"/>
              </w:rPr>
            </w:pPr>
          </w:p>
          <w:p>
            <w:pPr>
              <w:widowControl w:val="0"/>
              <w:adjustRightInd w:val="0"/>
              <w:snapToGrid w:val="0"/>
              <w:spacing w:after="0" w:line="360" w:lineRule="auto"/>
              <w:ind w:firstLine="431"/>
              <w:jc w:val="both"/>
              <w:rPr>
                <w:rFonts w:hint="eastAsia" w:ascii="Times New Roman" w:hAnsi="Times New Roman" w:eastAsia="宋体" w:cs="Times New Roman"/>
                <w:b/>
                <w:bCs/>
                <w:color w:val="auto"/>
                <w:kern w:val="2"/>
                <w:sz w:val="24"/>
                <w:szCs w:val="24"/>
                <w:highlight w:val="none"/>
              </w:rPr>
            </w:pPr>
          </w:p>
          <w:p>
            <w:pPr>
              <w:widowControl w:val="0"/>
              <w:adjustRightInd w:val="0"/>
              <w:snapToGrid w:val="0"/>
              <w:spacing w:after="0" w:line="360" w:lineRule="auto"/>
              <w:ind w:firstLine="431"/>
              <w:jc w:val="both"/>
              <w:rPr>
                <w:rFonts w:ascii="Times New Roman" w:hAnsi="Times New Roman" w:eastAsia="宋体" w:cs="Times New Roman"/>
                <w:b/>
                <w:bCs/>
                <w:color w:val="auto"/>
                <w:kern w:val="2"/>
                <w:sz w:val="24"/>
                <w:szCs w:val="24"/>
                <w:highlight w:val="none"/>
              </w:rPr>
            </w:pPr>
            <w:r>
              <w:rPr>
                <w:rFonts w:hint="eastAsia" w:ascii="Times New Roman" w:hAnsi="Times New Roman" w:eastAsia="宋体" w:cs="Times New Roman"/>
                <w:b/>
                <w:bCs/>
                <w:color w:val="auto"/>
                <w:kern w:val="2"/>
                <w:sz w:val="24"/>
                <w:szCs w:val="24"/>
                <w:highlight w:val="none"/>
              </w:rPr>
              <w:t>七</w:t>
            </w:r>
            <w:r>
              <w:rPr>
                <w:rFonts w:ascii="Times New Roman" w:hAnsi="Times New Roman" w:eastAsia="宋体" w:cs="Times New Roman"/>
                <w:b/>
                <w:bCs/>
                <w:color w:val="auto"/>
                <w:kern w:val="2"/>
                <w:sz w:val="24"/>
                <w:szCs w:val="24"/>
                <w:highlight w:val="none"/>
              </w:rPr>
              <w:t>、建议</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1、根据环评要求，落实“三废治理”费用，做到专款专用，项目实施后应保证足够的环保资金，确保污染防治措施有效地运行，保证污染物达标排放；</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2、加强环境管理和宣传教育，提高员工环保意识；</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3、搞好厂区的绿化</w:t>
            </w:r>
            <w:r>
              <w:rPr>
                <w:rFonts w:hint="eastAsia" w:ascii="Times New Roman" w:hAnsi="Times New Roman"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美化</w:t>
            </w:r>
            <w:r>
              <w:rPr>
                <w:rFonts w:hint="eastAsia" w:ascii="Times New Roman" w:hAnsi="Times New Roman"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 xml:space="preserve">净化工作； </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4、建立健全一套完善的环境管理制度，并严格按管理制度执行；</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5、加强生产管理，实施清洁生产，从而减少污染物的产生量；</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6、合理生产布局，建立设备管理网络体系，形成保证设备正常运行和正常维修保养的一系列工程程序，确保设备完好，尽可能减少污染物排放量；</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ascii="Times New Roman" w:hAnsi="Times New Roman" w:eastAsia="宋体" w:cs="Times New Roman"/>
                <w:color w:val="auto"/>
                <w:kern w:val="2"/>
                <w:sz w:val="24"/>
                <w:szCs w:val="24"/>
                <w:highlight w:val="none"/>
              </w:rPr>
              <w:t>7、关心并积极听取可能受项目环境影响的附近居民等人员</w:t>
            </w:r>
            <w:r>
              <w:rPr>
                <w:rFonts w:hint="eastAsia" w:ascii="Times New Roman" w:hAnsi="Times New Roman" w:eastAsia="宋体" w:cs="Times New Roman"/>
                <w:color w:val="auto"/>
                <w:kern w:val="2"/>
                <w:sz w:val="24"/>
                <w:szCs w:val="24"/>
                <w:highlight w:val="none"/>
              </w:rPr>
              <w:t>、</w:t>
            </w:r>
            <w:r>
              <w:rPr>
                <w:rFonts w:ascii="Times New Roman" w:hAnsi="Times New Roman" w:eastAsia="宋体" w:cs="Times New Roman"/>
                <w:color w:val="auto"/>
                <w:kern w:val="2"/>
                <w:sz w:val="24"/>
                <w:szCs w:val="24"/>
                <w:highlight w:val="none"/>
              </w:rPr>
              <w:t>单位的反映，定期向项目最高管理者和当地环保部门汇报项目环境保护工作的情况，同时接受当地环境保护部门的监督和管理。遵守有关环境法律；法规，树立良好的企业形象，实现经济效益与社会效益；环境效益相统一；</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8、作好防范措施</w:t>
            </w:r>
            <w:r>
              <w:rPr>
                <w:rFonts w:hint="eastAsia" w:ascii="Times New Roman" w:hAnsi="Times New Roman" w:eastAsia="宋体" w:cs="Times New Roman"/>
                <w:color w:val="auto"/>
                <w:kern w:val="2"/>
                <w:sz w:val="24"/>
                <w:szCs w:val="24"/>
                <w:highlight w:val="none"/>
                <w:lang w:val="en-US" w:eastAsia="zh-CN"/>
              </w:rPr>
              <w:t>，防治废气、噪声扰民；一旦出现相关投诉，项目应立即停止生产并协调处理相关投诉，采取有效措施；</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9、企业要定期或不定期委托具有监测能力和资格单位对本项目的有组织或无组织排放情况进行监测，以便掌握本项目污染及达标排放情况，一旦出现有投诉影响人体健康或污染物排放超过国家和地方有关环保标准，应及时停产并对环保设施进行检修；</w:t>
            </w:r>
          </w:p>
          <w:p>
            <w:pPr>
              <w:widowControl w:val="0"/>
              <w:spacing w:after="0" w:line="360" w:lineRule="auto"/>
              <w:ind w:firstLine="480" w:firstLineChars="200"/>
              <w:jc w:val="both"/>
              <w:rPr>
                <w:rFonts w:ascii="Times New Roman" w:hAnsi="Times New Roman" w:eastAsia="宋体" w:cs="Times New Roman"/>
                <w:color w:val="auto"/>
                <w:kern w:val="2"/>
                <w:sz w:val="24"/>
                <w:szCs w:val="24"/>
                <w:highlight w:val="none"/>
              </w:rPr>
            </w:pPr>
            <w:r>
              <w:rPr>
                <w:rFonts w:hint="eastAsia" w:ascii="Times New Roman" w:hAnsi="Times New Roman" w:eastAsia="宋体" w:cs="Times New Roman"/>
                <w:color w:val="auto"/>
                <w:kern w:val="2"/>
                <w:sz w:val="24"/>
                <w:szCs w:val="24"/>
                <w:highlight w:val="none"/>
              </w:rPr>
              <w:t>10</w:t>
            </w:r>
            <w:r>
              <w:rPr>
                <w:rFonts w:ascii="Times New Roman" w:hAnsi="Times New Roman" w:eastAsia="宋体" w:cs="Times New Roman"/>
                <w:color w:val="auto"/>
                <w:kern w:val="2"/>
                <w:sz w:val="24"/>
                <w:szCs w:val="24"/>
                <w:highlight w:val="none"/>
              </w:rPr>
              <w:t>、今后若企业的生产工艺发生变化或生产规模扩大；生产技术更新改造，都必须重新进行环境影响评价，并征得环保部门审批同意后方可实施。</w:t>
            </w:r>
            <w:r>
              <w:rPr>
                <w:rFonts w:ascii="Times New Roman" w:hAnsi="Times New Roman" w:eastAsia="宋体" w:cs="Times New Roman"/>
                <w:color w:val="auto"/>
                <w:kern w:val="2"/>
                <w:sz w:val="24"/>
                <w:szCs w:val="24"/>
                <w:highlight w:val="none"/>
              </w:rPr>
              <w:tab/>
            </w:r>
          </w:p>
          <w:p>
            <w:pPr>
              <w:widowControl w:val="0"/>
              <w:wordWrap w:val="0"/>
              <w:autoSpaceDE w:val="0"/>
              <w:autoSpaceDN w:val="0"/>
              <w:adjustRightInd w:val="0"/>
              <w:spacing w:line="360" w:lineRule="auto"/>
              <w:jc w:val="right"/>
              <w:rPr>
                <w:rFonts w:ascii="宋体" w:hAnsi="Times New Roman" w:eastAsia="宋体" w:cs="宋体"/>
                <w:color w:val="auto"/>
                <w:sz w:val="24"/>
                <w:szCs w:val="24"/>
                <w:highlight w:val="none"/>
                <w:lang w:val="en-US" w:eastAsia="zh-CN" w:bidi="ar-SA"/>
              </w:rPr>
            </w:pPr>
          </w:p>
          <w:p>
            <w:pPr>
              <w:widowControl w:val="0"/>
              <w:autoSpaceDE w:val="0"/>
              <w:autoSpaceDN w:val="0"/>
              <w:adjustRightInd w:val="0"/>
              <w:spacing w:line="360" w:lineRule="auto"/>
              <w:jc w:val="right"/>
              <w:rPr>
                <w:rFonts w:ascii="宋体" w:hAnsi="Times New Roman" w:eastAsia="宋体" w:cs="宋体"/>
                <w:color w:val="auto"/>
                <w:sz w:val="24"/>
                <w:szCs w:val="24"/>
                <w:highlight w:val="none"/>
                <w:lang w:val="en-US" w:eastAsia="zh-CN" w:bidi="ar-SA"/>
              </w:rPr>
            </w:pPr>
          </w:p>
          <w:p>
            <w:pPr>
              <w:widowControl w:val="0"/>
              <w:wordWrap w:val="0"/>
              <w:autoSpaceDE w:val="0"/>
              <w:autoSpaceDN w:val="0"/>
              <w:adjustRightInd w:val="0"/>
              <w:spacing w:line="360" w:lineRule="auto"/>
              <w:jc w:val="right"/>
              <w:rPr>
                <w:rFonts w:hint="default" w:ascii="宋体" w:hAnsi="Times New Roman" w:eastAsia="宋体" w:cs="宋体"/>
                <w:color w:val="auto"/>
                <w:sz w:val="24"/>
                <w:szCs w:val="24"/>
                <w:highlight w:val="none"/>
                <w:lang w:val="en-US" w:eastAsia="zh-CN" w:bidi="ar-SA"/>
              </w:rPr>
            </w:pPr>
            <w:r>
              <w:rPr>
                <w:rFonts w:hint="eastAsia" w:ascii="宋体" w:hAnsi="Times New Roman" w:eastAsia="宋体" w:cs="宋体"/>
                <w:color w:val="auto"/>
                <w:sz w:val="24"/>
                <w:szCs w:val="24"/>
                <w:highlight w:val="none"/>
                <w:lang w:val="en-US" w:eastAsia="zh-CN" w:bidi="ar-SA"/>
              </w:rPr>
              <w:t xml:space="preserve">评价单位：                              </w:t>
            </w:r>
          </w:p>
          <w:p>
            <w:pPr>
              <w:widowControl w:val="0"/>
              <w:wordWrap w:val="0"/>
              <w:autoSpaceDE w:val="0"/>
              <w:autoSpaceDN w:val="0"/>
              <w:adjustRightInd w:val="0"/>
              <w:spacing w:line="360" w:lineRule="auto"/>
              <w:jc w:val="right"/>
              <w:rPr>
                <w:rFonts w:ascii="宋体" w:hAnsi="Times New Roman" w:eastAsia="宋体" w:cs="宋体"/>
                <w:color w:val="auto"/>
                <w:sz w:val="24"/>
                <w:szCs w:val="24"/>
                <w:highlight w:val="none"/>
                <w:lang w:val="en-US" w:eastAsia="zh-CN" w:bidi="ar-SA"/>
              </w:rPr>
            </w:pPr>
            <w:r>
              <w:rPr>
                <w:rFonts w:hint="eastAsia" w:ascii="宋体" w:hAnsi="Times New Roman" w:eastAsia="宋体" w:cs="宋体"/>
                <w:color w:val="auto"/>
                <w:sz w:val="24"/>
                <w:szCs w:val="24"/>
                <w:highlight w:val="none"/>
                <w:lang w:val="en-US" w:eastAsia="zh-CN" w:bidi="ar-SA"/>
              </w:rPr>
              <w:t xml:space="preserve"> 项目负责人：                            </w:t>
            </w:r>
          </w:p>
          <w:p>
            <w:pPr>
              <w:widowControl w:val="0"/>
              <w:autoSpaceDE w:val="0"/>
              <w:autoSpaceDN w:val="0"/>
              <w:adjustRightInd w:val="0"/>
              <w:jc w:val="center"/>
              <w:rPr>
                <w:rFonts w:ascii="宋体" w:hAnsi="Times New Roman" w:eastAsia="宋体" w:cs="宋体"/>
                <w:color w:val="auto"/>
                <w:sz w:val="24"/>
                <w:szCs w:val="24"/>
                <w:highlight w:val="none"/>
                <w:lang w:val="en-US" w:eastAsia="zh-CN" w:bidi="ar-SA"/>
              </w:rPr>
            </w:pPr>
            <w:r>
              <w:rPr>
                <w:rFonts w:hint="eastAsia" w:ascii="宋体" w:hAnsi="Times New Roman" w:eastAsia="宋体" w:cs="宋体"/>
                <w:color w:val="auto"/>
                <w:sz w:val="24"/>
                <w:szCs w:val="24"/>
                <w:highlight w:val="none"/>
                <w:lang w:val="en-US" w:eastAsia="zh-CN" w:bidi="ar-SA"/>
              </w:rPr>
              <w:t xml:space="preserve">        审核日期：</w:t>
            </w:r>
          </w:p>
          <w:p>
            <w:pPr>
              <w:widowControl w:val="0"/>
              <w:spacing w:after="0" w:line="360" w:lineRule="auto"/>
              <w:ind w:firstLine="440" w:firstLineChars="200"/>
              <w:jc w:val="both"/>
              <w:textAlignment w:val="baseline"/>
              <w:rPr>
                <w:rFonts w:hint="default" w:ascii="Times New Roman" w:hAnsi="Times New Roman" w:cs="Times New Roman"/>
                <w:color w:val="FF0000"/>
              </w:rPr>
            </w:pPr>
          </w:p>
        </w:tc>
      </w:tr>
    </w:tbl>
    <w:p>
      <w:pPr>
        <w:spacing w:before="120" w:line="300" w:lineRule="auto"/>
        <w:rPr>
          <w:rFonts w:hint="default" w:ascii="Times New Roman" w:hAnsi="Times New Roman" w:cs="Times New Roman"/>
          <w:color w:val="FF0000"/>
          <w:sz w:val="28"/>
          <w:szCs w:val="28"/>
        </w:rPr>
        <w:sectPr>
          <w:pgSz w:w="11906" w:h="16838"/>
          <w:pgMar w:top="1418" w:right="1134" w:bottom="1134" w:left="1418" w:header="851" w:footer="992" w:gutter="0"/>
          <w:pgBorders>
            <w:top w:val="none" w:sz="0" w:space="0"/>
            <w:left w:val="none" w:sz="0" w:space="0"/>
            <w:bottom w:val="none" w:sz="0" w:space="0"/>
            <w:right w:val="none" w:sz="0" w:space="0"/>
          </w:pgBorders>
          <w:cols w:space="720" w:num="1"/>
          <w:docGrid w:type="lines" w:linePitch="312" w:charSpace="0"/>
        </w:sectPr>
      </w:pPr>
    </w:p>
    <w:tbl>
      <w:tblPr>
        <w:tblStyle w:val="43"/>
        <w:tblW w:w="93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9344" w:type="dxa"/>
          </w:tcPr>
          <w:p>
            <w:pPr>
              <w:spacing w:before="120" w:line="30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预审意见:</w:t>
            </w:r>
          </w:p>
          <w:p>
            <w:pPr>
              <w:spacing w:before="120" w:line="300" w:lineRule="auto"/>
              <w:rPr>
                <w:rFonts w:hint="default" w:ascii="Times New Roman" w:hAnsi="Times New Roman" w:cs="Times New Roman"/>
                <w:color w:val="auto"/>
                <w:sz w:val="24"/>
                <w:szCs w:val="24"/>
              </w:rPr>
            </w:pPr>
          </w:p>
          <w:p>
            <w:pPr>
              <w:spacing w:before="120" w:line="300" w:lineRule="auto"/>
              <w:rPr>
                <w:rFonts w:hint="default" w:ascii="Times New Roman" w:hAnsi="Times New Roman" w:cs="Times New Roman"/>
                <w:color w:val="auto"/>
                <w:sz w:val="24"/>
                <w:szCs w:val="24"/>
              </w:rPr>
            </w:pPr>
          </w:p>
          <w:p>
            <w:pPr>
              <w:spacing w:before="120" w:line="300" w:lineRule="auto"/>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4"/>
              <w:rPr>
                <w:rFonts w:hint="default"/>
              </w:rPr>
            </w:pPr>
          </w:p>
          <w:p>
            <w:pPr>
              <w:pStyle w:val="5"/>
              <w:rPr>
                <w:rFonts w:hint="default"/>
              </w:rPr>
            </w:pPr>
          </w:p>
          <w:p>
            <w:pPr>
              <w:spacing w:before="120" w:line="300" w:lineRule="auto"/>
              <w:rPr>
                <w:rFonts w:hint="default" w:ascii="Times New Roman" w:hAnsi="Times New Roman" w:cs="Times New Roman"/>
                <w:color w:val="auto"/>
                <w:sz w:val="24"/>
                <w:szCs w:val="24"/>
              </w:rPr>
            </w:pPr>
          </w:p>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公章</w:t>
            </w:r>
          </w:p>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31" w:hRule="atLeast"/>
        </w:trPr>
        <w:tc>
          <w:tcPr>
            <w:tcW w:w="9344" w:type="dxa"/>
          </w:tcPr>
          <w:p>
            <w:pPr>
              <w:spacing w:before="120" w:line="30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TW"/>
              </w:rPr>
              <w:t>下</w:t>
            </w:r>
            <w:r>
              <w:rPr>
                <w:rFonts w:hint="default" w:ascii="Times New Roman" w:hAnsi="Times New Roman" w:cs="Times New Roman"/>
                <w:color w:val="auto"/>
                <w:sz w:val="24"/>
                <w:szCs w:val="24"/>
              </w:rPr>
              <w:t>一级环境保护行政主管部门审查意见:</w:t>
            </w:r>
          </w:p>
          <w:p>
            <w:pPr>
              <w:spacing w:before="120" w:line="300" w:lineRule="auto"/>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spacing w:before="120" w:line="300" w:lineRule="auto"/>
              <w:rPr>
                <w:rFonts w:hint="default" w:ascii="Times New Roman" w:hAnsi="Times New Roman" w:cs="Times New Roman"/>
                <w:color w:val="auto"/>
                <w:sz w:val="24"/>
                <w:szCs w:val="24"/>
              </w:rPr>
            </w:pPr>
          </w:p>
          <w:p>
            <w:pPr>
              <w:spacing w:before="120" w:line="300" w:lineRule="auto"/>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4"/>
              <w:rPr>
                <w:rFonts w:hint="default" w:ascii="Times New Roman" w:hAnsi="Times New Roman" w:cs="Times New Roman"/>
                <w:color w:val="auto"/>
                <w:sz w:val="24"/>
                <w:szCs w:val="24"/>
              </w:rPr>
            </w:pPr>
          </w:p>
          <w:p>
            <w:pPr>
              <w:pStyle w:val="5"/>
              <w:rPr>
                <w:rFonts w:hint="default"/>
              </w:rPr>
            </w:pPr>
          </w:p>
          <w:p>
            <w:pPr>
              <w:spacing w:before="120" w:line="300" w:lineRule="auto"/>
              <w:rPr>
                <w:rFonts w:hint="default" w:ascii="Times New Roman" w:hAnsi="Times New Roman" w:cs="Times New Roman"/>
                <w:color w:val="auto"/>
                <w:sz w:val="24"/>
                <w:szCs w:val="24"/>
              </w:rPr>
            </w:pPr>
          </w:p>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公章</w:t>
            </w:r>
          </w:p>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65" w:hRule="atLeast"/>
        </w:trPr>
        <w:tc>
          <w:tcPr>
            <w:tcW w:w="9344" w:type="dxa"/>
          </w:tcPr>
          <w:p>
            <w:pPr>
              <w:spacing w:before="240" w:after="120"/>
              <w:ind w:firstLine="213"/>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审批意见：</w:t>
            </w:r>
          </w:p>
          <w:p>
            <w:pPr>
              <w:spacing w:before="240" w:after="120"/>
              <w:ind w:firstLine="213"/>
              <w:rPr>
                <w:rFonts w:hint="default" w:ascii="Times New Roman" w:hAnsi="Times New Roman" w:cs="Times New Roman"/>
                <w:color w:val="auto"/>
                <w:sz w:val="24"/>
                <w:szCs w:val="24"/>
              </w:rPr>
            </w:pPr>
          </w:p>
          <w:p>
            <w:pPr>
              <w:spacing w:before="120" w:line="300" w:lineRule="auto"/>
              <w:rPr>
                <w:rFonts w:hint="default" w:ascii="Times New Roman" w:hAnsi="Times New Roman" w:cs="Times New Roman"/>
                <w:b/>
                <w:color w:val="auto"/>
                <w:sz w:val="24"/>
                <w:szCs w:val="24"/>
              </w:rPr>
            </w:pPr>
          </w:p>
          <w:p>
            <w:pPr>
              <w:spacing w:before="120" w:line="300" w:lineRule="auto"/>
              <w:rPr>
                <w:rFonts w:hint="default" w:ascii="Times New Roman" w:hAnsi="Times New Roman" w:cs="Times New Roman"/>
                <w:b/>
                <w:color w:val="auto"/>
                <w:sz w:val="24"/>
                <w:szCs w:val="24"/>
              </w:rPr>
            </w:pPr>
          </w:p>
          <w:p>
            <w:pPr>
              <w:spacing w:before="120" w:line="300" w:lineRule="auto"/>
              <w:rPr>
                <w:rFonts w:hint="default" w:ascii="Times New Roman" w:hAnsi="Times New Roman" w:cs="Times New Roman"/>
                <w:b/>
                <w:color w:val="auto"/>
                <w:sz w:val="24"/>
                <w:szCs w:val="24"/>
              </w:rPr>
            </w:pPr>
          </w:p>
          <w:p>
            <w:pPr>
              <w:spacing w:before="120" w:line="300" w:lineRule="auto"/>
              <w:rPr>
                <w:rFonts w:hint="default" w:ascii="Times New Roman" w:hAnsi="Times New Roman" w:cs="Times New Roman"/>
                <w:b/>
                <w:color w:val="auto"/>
                <w:sz w:val="24"/>
                <w:szCs w:val="24"/>
              </w:rPr>
            </w:pPr>
          </w:p>
          <w:p>
            <w:pPr>
              <w:spacing w:before="120" w:line="300" w:lineRule="auto"/>
              <w:rPr>
                <w:rFonts w:hint="default" w:ascii="Times New Roman" w:hAnsi="Times New Roman" w:cs="Times New Roman"/>
                <w:b/>
                <w:color w:val="auto"/>
                <w:sz w:val="24"/>
                <w:szCs w:val="24"/>
              </w:rPr>
            </w:pPr>
          </w:p>
          <w:p>
            <w:pPr>
              <w:spacing w:before="120" w:line="300" w:lineRule="auto"/>
              <w:rPr>
                <w:rFonts w:hint="default" w:ascii="Times New Roman" w:hAnsi="Times New Roman" w:cs="Times New Roman"/>
                <w:b/>
                <w:color w:val="auto"/>
                <w:sz w:val="24"/>
                <w:szCs w:val="24"/>
              </w:rPr>
            </w:pPr>
          </w:p>
          <w:p>
            <w:pPr>
              <w:wordWrap w:val="0"/>
              <w:spacing w:before="120" w:line="300" w:lineRule="auto"/>
              <w:rPr>
                <w:rFonts w:hint="default" w:ascii="Times New Roman" w:hAnsi="Times New Roman" w:cs="Times New Roman"/>
                <w:bCs/>
                <w:color w:val="auto"/>
                <w:sz w:val="24"/>
                <w:szCs w:val="24"/>
              </w:rPr>
            </w:pPr>
          </w:p>
          <w:p>
            <w:pPr>
              <w:pStyle w:val="2"/>
              <w:rPr>
                <w:rFonts w:hint="default" w:ascii="Times New Roman" w:hAnsi="Times New Roman" w:cs="Times New Roman"/>
                <w:bCs/>
                <w:color w:val="auto"/>
                <w:sz w:val="24"/>
                <w:szCs w:val="24"/>
              </w:rPr>
            </w:pPr>
          </w:p>
          <w:p>
            <w:pPr>
              <w:pStyle w:val="4"/>
              <w:rPr>
                <w:rFonts w:hint="default" w:ascii="Times New Roman" w:hAnsi="Times New Roman" w:cs="Times New Roman"/>
                <w:bCs/>
                <w:color w:val="auto"/>
                <w:sz w:val="24"/>
                <w:szCs w:val="24"/>
              </w:rPr>
            </w:pPr>
          </w:p>
          <w:p>
            <w:pPr>
              <w:pStyle w:val="5"/>
              <w:rPr>
                <w:rFonts w:hint="default"/>
              </w:rPr>
            </w:pPr>
          </w:p>
          <w:p>
            <w:pPr>
              <w:pStyle w:val="4"/>
              <w:rPr>
                <w:rFonts w:hint="default" w:ascii="Times New Roman" w:hAnsi="Times New Roman" w:cs="Times New Roman"/>
                <w:bCs/>
                <w:color w:val="auto"/>
                <w:sz w:val="24"/>
                <w:szCs w:val="24"/>
              </w:rPr>
            </w:pPr>
          </w:p>
          <w:p>
            <w:pPr>
              <w:pStyle w:val="5"/>
              <w:rPr>
                <w:rFonts w:hint="default" w:ascii="Times New Roman" w:hAnsi="Times New Roman" w:cs="Times New Roman"/>
                <w:bCs/>
                <w:color w:val="auto"/>
                <w:sz w:val="24"/>
                <w:szCs w:val="24"/>
              </w:rPr>
            </w:pPr>
          </w:p>
          <w:p>
            <w:pPr>
              <w:pStyle w:val="6"/>
              <w:rPr>
                <w:rFonts w:hint="default" w:ascii="Times New Roman" w:hAnsi="Times New Roman" w:cs="Times New Roman"/>
                <w:bCs/>
                <w:color w:val="auto"/>
                <w:sz w:val="24"/>
                <w:szCs w:val="24"/>
              </w:rPr>
            </w:pPr>
          </w:p>
          <w:p>
            <w:pPr>
              <w:pStyle w:val="7"/>
              <w:rPr>
                <w:rFonts w:hint="default" w:ascii="Times New Roman" w:hAnsi="Times New Roman" w:cs="Times New Roman"/>
                <w:bCs/>
                <w:color w:val="auto"/>
                <w:sz w:val="24"/>
                <w:szCs w:val="24"/>
              </w:rPr>
            </w:pPr>
          </w:p>
          <w:p>
            <w:pPr>
              <w:wordWrap w:val="0"/>
              <w:spacing w:before="120" w:line="300" w:lineRule="auto"/>
              <w:rPr>
                <w:rFonts w:hint="default" w:ascii="Times New Roman" w:hAnsi="Times New Roman" w:cs="Times New Roman"/>
                <w:bCs/>
                <w:color w:val="auto"/>
                <w:sz w:val="24"/>
                <w:szCs w:val="24"/>
              </w:rPr>
            </w:pPr>
          </w:p>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            公章</w:t>
            </w:r>
          </w:p>
          <w:p>
            <w:pPr>
              <w:wordWrap w:val="0"/>
              <w:spacing w:line="300" w:lineRule="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经办人：                      </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624" w:hRule="atLeast"/>
        </w:trPr>
        <w:tc>
          <w:tcPr>
            <w:tcW w:w="9344" w:type="dxa"/>
          </w:tcPr>
          <w:p>
            <w:pPr>
              <w:spacing w:line="240" w:lineRule="auto"/>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注释</w:t>
            </w:r>
          </w:p>
          <w:p>
            <w:pPr>
              <w:spacing w:after="0" w:line="240" w:lineRule="auto"/>
              <w:ind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一、本报告应附以下附件、附图、附表：</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附件1企业营业执照</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附件2法人代表身份证</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附件3租赁合同</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附件</w:t>
            </w:r>
            <w:r>
              <w:rPr>
                <w:rFonts w:hint="eastAsia" w:ascii="Times New Roman" w:hAnsi="Times New Roman" w:eastAsia="宋体" w:cs="Times New Roman"/>
                <w:color w:val="auto"/>
                <w:kern w:val="2"/>
                <w:sz w:val="24"/>
                <w:szCs w:val="24"/>
                <w:lang w:val="en-US" w:eastAsia="zh-CN"/>
              </w:rPr>
              <w:t>4用地证明</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附件</w:t>
            </w:r>
            <w:r>
              <w:rPr>
                <w:rFonts w:hint="eastAsia" w:ascii="Times New Roman" w:hAnsi="Times New Roman" w:eastAsia="宋体" w:cs="Times New Roman"/>
                <w:color w:val="auto"/>
                <w:kern w:val="2"/>
                <w:sz w:val="24"/>
                <w:szCs w:val="24"/>
                <w:lang w:val="en-US" w:eastAsia="zh-CN"/>
              </w:rPr>
              <w:t>5润滑油MSDS</w:t>
            </w:r>
          </w:p>
          <w:p>
            <w:pPr>
              <w:widowControl w:val="0"/>
              <w:spacing w:after="0" w:line="288" w:lineRule="auto"/>
              <w:ind w:firstLine="425"/>
              <w:jc w:val="both"/>
              <w:rPr>
                <w:rFonts w:hint="eastAsia"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rPr>
              <w:t>附件</w:t>
            </w:r>
            <w:r>
              <w:rPr>
                <w:rFonts w:hint="eastAsia" w:ascii="Times New Roman" w:hAnsi="Times New Roman" w:eastAsia="宋体" w:cs="Times New Roman"/>
                <w:color w:val="auto"/>
                <w:kern w:val="2"/>
                <w:sz w:val="24"/>
                <w:szCs w:val="24"/>
                <w:lang w:val="en-US" w:eastAsia="zh-CN"/>
              </w:rPr>
              <w:t>6生活污水接纳证明</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附件</w:t>
            </w:r>
            <w:r>
              <w:rPr>
                <w:rFonts w:hint="eastAsia" w:ascii="Times New Roman" w:hAnsi="Times New Roman" w:eastAsia="宋体" w:cs="Times New Roman"/>
                <w:color w:val="auto"/>
                <w:kern w:val="2"/>
                <w:sz w:val="24"/>
                <w:szCs w:val="24"/>
                <w:lang w:val="en-US" w:eastAsia="zh-CN"/>
              </w:rPr>
              <w:t>7建设项目征询意见表</w:t>
            </w:r>
          </w:p>
          <w:p>
            <w:pPr>
              <w:widowControl w:val="0"/>
              <w:spacing w:before="240" w:after="0" w:line="240"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附图1项目地理位置图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附图2项目周围敏感点图（5km）</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附图3项目噪声现状监测布点图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附图4项目四至图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附图5项目四至照片</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附图6项目平面布置图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附图7开平市主体功能区划图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附图8项目位置与饮用水源保护区位置关系图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附图9项目所在地大气环境功能区划图</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附图10项目所在地土地利用规划图</w:t>
            </w:r>
          </w:p>
          <w:p>
            <w:pPr>
              <w:widowControl w:val="0"/>
              <w:spacing w:before="240"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附表1</w:t>
            </w:r>
            <w:r>
              <w:rPr>
                <w:rFonts w:hint="eastAsia" w:ascii="Times New Roman" w:hAnsi="Times New Roman" w:eastAsia="宋体" w:cs="Times New Roman"/>
                <w:color w:val="auto"/>
                <w:kern w:val="2"/>
                <w:sz w:val="24"/>
                <w:szCs w:val="24"/>
                <w:lang w:val="en-US" w:eastAsia="zh-CN"/>
              </w:rPr>
              <w:t xml:space="preserve"> </w:t>
            </w:r>
            <w:r>
              <w:rPr>
                <w:rFonts w:hint="default" w:ascii="Times New Roman" w:hAnsi="Times New Roman" w:eastAsia="宋体" w:cs="Times New Roman"/>
                <w:color w:val="auto"/>
                <w:kern w:val="2"/>
                <w:sz w:val="24"/>
                <w:szCs w:val="24"/>
              </w:rPr>
              <w:t>建设项目大气环境影响评价自查表</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附表2 建设项目地表水环境影响评价自查表</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附表</w:t>
            </w:r>
            <w:r>
              <w:rPr>
                <w:rFonts w:hint="eastAsia" w:ascii="Times New Roman" w:hAnsi="Times New Roman" w:eastAsia="宋体" w:cs="Times New Roman"/>
                <w:color w:val="auto"/>
                <w:kern w:val="2"/>
                <w:sz w:val="24"/>
                <w:szCs w:val="24"/>
                <w:lang w:val="en-US" w:eastAsia="zh-CN"/>
              </w:rPr>
              <w:t>3</w:t>
            </w:r>
            <w:r>
              <w:rPr>
                <w:rFonts w:hint="default" w:ascii="Times New Roman" w:hAnsi="Times New Roman" w:eastAsia="宋体" w:cs="Times New Roman"/>
                <w:color w:val="auto"/>
                <w:kern w:val="2"/>
                <w:sz w:val="24"/>
                <w:szCs w:val="24"/>
              </w:rPr>
              <w:t xml:space="preserve"> 建设项目环境风险评价自查表</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附表</w:t>
            </w:r>
            <w:r>
              <w:rPr>
                <w:rFonts w:hint="eastAsia" w:ascii="Times New Roman" w:hAnsi="Times New Roman" w:eastAsia="宋体" w:cs="Times New Roman"/>
                <w:color w:val="auto"/>
                <w:kern w:val="2"/>
                <w:sz w:val="24"/>
                <w:szCs w:val="24"/>
                <w:lang w:val="en-US" w:eastAsia="zh-CN"/>
              </w:rPr>
              <w:t xml:space="preserve">4 </w:t>
            </w:r>
            <w:r>
              <w:rPr>
                <w:rFonts w:hint="default" w:ascii="Times New Roman" w:hAnsi="Times New Roman" w:eastAsia="宋体" w:cs="Times New Roman"/>
                <w:color w:val="auto"/>
                <w:kern w:val="2"/>
                <w:sz w:val="24"/>
                <w:szCs w:val="24"/>
              </w:rPr>
              <w:t>建设项目环评审批基础信息表</w:t>
            </w:r>
          </w:p>
          <w:p>
            <w:pPr>
              <w:widowControl w:val="0"/>
              <w:spacing w:before="240" w:after="0" w:line="240" w:lineRule="auto"/>
              <w:ind w:firstLine="425"/>
              <w:jc w:val="both"/>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二、如果本报告表不能说明项目产生的污染及对环境造成的影响，应进行专项评价。根据建设项目的特点和当地环境特征，应选下列1-2项进行专项评价。</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1.大气环境影响专项评价</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2.水环境影响专项评价(包括地表水和地下水)</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3.生态影响专项评价</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4.声影响专项评价</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5.土壤影响专项评价</w:t>
            </w:r>
          </w:p>
          <w:p>
            <w:pPr>
              <w:widowControl w:val="0"/>
              <w:spacing w:after="0" w:line="288" w:lineRule="auto"/>
              <w:ind w:firstLine="425"/>
              <w:jc w:val="both"/>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6.固体废弃物影响专项评价</w:t>
            </w:r>
          </w:p>
          <w:p>
            <w:pPr>
              <w:widowControl w:val="0"/>
              <w:spacing w:after="0" w:line="288" w:lineRule="auto"/>
              <w:ind w:firstLine="425"/>
              <w:jc w:val="both"/>
              <w:rPr>
                <w:rFonts w:hint="default" w:ascii="Times New Roman" w:hAnsi="Times New Roman" w:cs="Times New Roman"/>
                <w:color w:val="auto"/>
                <w:sz w:val="24"/>
                <w:szCs w:val="24"/>
              </w:rPr>
            </w:pPr>
            <w:r>
              <w:rPr>
                <w:rFonts w:hint="default" w:ascii="Times New Roman" w:hAnsi="Times New Roman" w:eastAsia="宋体" w:cs="Times New Roman"/>
                <w:color w:val="auto"/>
                <w:kern w:val="2"/>
                <w:sz w:val="24"/>
                <w:szCs w:val="24"/>
              </w:rPr>
              <w:t>以上专项评价未包括的可另列专项，专项评价按照《环境影响评价技术导则》中的要求进行。</w:t>
            </w:r>
          </w:p>
        </w:tc>
      </w:tr>
    </w:tbl>
    <w:p>
      <w:pPr>
        <w:pStyle w:val="5"/>
        <w:rPr>
          <w:rFonts w:hint="default"/>
        </w:rPr>
        <w:sectPr>
          <w:footerReference r:id="rId10" w:type="default"/>
          <w:pgSz w:w="11906" w:h="16838"/>
          <w:pgMar w:top="1418" w:right="1134" w:bottom="1134" w:left="1418" w:header="851" w:footer="992" w:gutter="0"/>
          <w:pgBorders>
            <w:top w:val="none" w:sz="0" w:space="0"/>
            <w:left w:val="none" w:sz="0" w:space="0"/>
            <w:bottom w:val="none" w:sz="0" w:space="0"/>
            <w:right w:val="none" w:sz="0" w:space="0"/>
          </w:pgBorders>
          <w:cols w:space="720" w:num="1"/>
          <w:docGrid w:type="lines" w:linePitch="312" w:charSpace="0"/>
        </w:sectPr>
      </w:pPr>
    </w:p>
    <w:p>
      <w:pPr>
        <w:spacing w:after="0" w:line="240" w:lineRule="auto"/>
        <w:jc w:val="center"/>
        <w:rPr>
          <w:rFonts w:hint="default" w:ascii="Times New Roman" w:hAnsi="Times New Roman" w:eastAsia="宋体" w:cs="Times New Roman"/>
          <w:b/>
          <w:color w:val="FF0000"/>
          <w:kern w:val="2"/>
          <w:sz w:val="24"/>
        </w:rPr>
      </w:pPr>
      <w:r>
        <w:rPr>
          <w:rFonts w:hint="default" w:ascii="Times New Roman" w:hAnsi="Times New Roman" w:eastAsia="宋体" w:cs="Times New Roman"/>
          <w:b/>
          <w:color w:val="FF0000"/>
          <w:kern w:val="2"/>
          <w:sz w:val="24"/>
        </w:rPr>
        <w:drawing>
          <wp:inline distT="0" distB="0" distL="0" distR="0">
            <wp:extent cx="7010400" cy="4954905"/>
            <wp:effectExtent l="19050" t="19050" r="19050"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011140" cy="4955564"/>
                    </a:xfrm>
                    <a:prstGeom prst="rect">
                      <a:avLst/>
                    </a:prstGeom>
                    <a:ln w="19050">
                      <a:solidFill>
                        <a:schemeClr val="tx1"/>
                      </a:solidFill>
                    </a:ln>
                  </pic:spPr>
                </pic:pic>
              </a:graphicData>
            </a:graphic>
          </wp:inline>
        </w:drawing>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pPr>
      <w:r>
        <w:rPr>
          <w:rFonts w:hint="default" w:ascii="Times New Roman" w:hAnsi="Times New Roman" w:eastAsia="宋体" w:cs="Times New Roman"/>
          <w:b/>
          <w:bCs/>
          <w:color w:val="auto"/>
          <w:kern w:val="2"/>
          <w:sz w:val="24"/>
          <w:szCs w:val="24"/>
          <w:shd w:val="clear" w:color="auto" w:fill="auto"/>
        </w:rPr>
        <w:t>附图1项目地理位置图</w:t>
      </w:r>
    </w:p>
    <w:p>
      <w:pPr>
        <w:ind w:firstLine="480"/>
        <w:jc w:val="center"/>
        <w:rPr>
          <w:rFonts w:hint="default" w:ascii="Times New Roman" w:hAnsi="Times New Roman" w:cs="Times New Roman"/>
          <w:b/>
          <w:color w:val="FF0000"/>
          <w:szCs w:val="24"/>
        </w:rPr>
        <w:sectPr>
          <w:footerReference r:id="rId12" w:type="first"/>
          <w:footerReference r:id="rId11" w:type="default"/>
          <w:pgSz w:w="16838" w:h="11906" w:orient="landscape"/>
          <w:pgMar w:top="1440" w:right="1080" w:bottom="1440" w:left="1080" w:header="851" w:footer="992" w:gutter="0"/>
          <w:pgBorders>
            <w:top w:val="none" w:sz="0" w:space="0"/>
            <w:left w:val="none" w:sz="0" w:space="0"/>
            <w:bottom w:val="none" w:sz="0" w:space="0"/>
            <w:right w:val="none" w:sz="0" w:space="0"/>
          </w:pgBorders>
          <w:cols w:space="720" w:num="1"/>
          <w:titlePg/>
          <w:docGrid w:type="linesAndChars" w:linePitch="326" w:charSpace="0"/>
        </w:sectPr>
      </w:pPr>
    </w:p>
    <w:p>
      <w:pPr>
        <w:spacing w:after="0" w:line="240" w:lineRule="auto"/>
        <w:jc w:val="center"/>
        <w:rPr>
          <w:rFonts w:hint="eastAsia" w:ascii="Times New Roman" w:hAnsi="Times New Roman" w:eastAsia="宋体" w:cs="Times New Roman"/>
          <w:b/>
          <w:color w:val="FF0000"/>
          <w:kern w:val="2"/>
          <w:sz w:val="24"/>
          <w:lang w:eastAsia="zh-CN"/>
        </w:rPr>
      </w:pPr>
      <w:r>
        <w:drawing>
          <wp:anchor distT="0" distB="0" distL="114300" distR="114300" simplePos="0" relativeHeight="278608896" behindDoc="0" locked="0" layoutInCell="1" allowOverlap="1">
            <wp:simplePos x="0" y="0"/>
            <wp:positionH relativeFrom="column">
              <wp:posOffset>8018780</wp:posOffset>
            </wp:positionH>
            <wp:positionV relativeFrom="paragraph">
              <wp:posOffset>27305</wp:posOffset>
            </wp:positionV>
            <wp:extent cx="406400" cy="914400"/>
            <wp:effectExtent l="0" t="0" r="12700" b="0"/>
            <wp:wrapNone/>
            <wp:docPr id="4"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99"/>
                    <pic:cNvPicPr>
                      <a:picLocks noChangeAspect="1"/>
                    </pic:cNvPicPr>
                  </pic:nvPicPr>
                  <pic:blipFill>
                    <a:blip r:embed="rId59"/>
                    <a:stretch>
                      <a:fillRect/>
                    </a:stretch>
                  </pic:blipFill>
                  <pic:spPr>
                    <a:xfrm>
                      <a:off x="0" y="0"/>
                      <a:ext cx="406400" cy="914400"/>
                    </a:xfrm>
                    <a:prstGeom prst="rect">
                      <a:avLst/>
                    </a:prstGeom>
                    <a:noFill/>
                    <a:ln>
                      <a:noFill/>
                    </a:ln>
                  </pic:spPr>
                </pic:pic>
              </a:graphicData>
            </a:graphic>
          </wp:anchor>
        </w:drawing>
      </w:r>
      <w:r>
        <w:pict>
          <v:shape id="_x0000_s2246" o:spid="_x0000_s2246" o:spt="136" type="#_x0000_t136" style="position:absolute;left:0pt;margin-left:280.35pt;margin-top:346.75pt;height:10.45pt;width:23pt;rotation:211315f;z-index:277265408;mso-width-relative:page;mso-height-relative:page;" fillcolor="#0000FF" filled="t" stroked="t" coordsize="21600,21600" adj="10800">
            <v:path/>
            <v:fill on="t" color2="#FFFFFF" focussize="0,0"/>
            <v:stroke color="#0000FF"/>
            <v:imagedata o:title=""/>
            <o:lock v:ext="edit" aspectratio="f"/>
            <v:textpath on="t" fitshape="t" fitpath="t" trim="t" xscale="f" string="谭江" style="font-family:宋体;font-size:16pt;v-text-align:center;"/>
          </v:shape>
        </w:pict>
      </w:r>
      <w:r>
        <w:rPr>
          <w:sz w:val="22"/>
        </w:rPr>
        <w:pict>
          <v:shape id="_x0000_s2245" o:spid="_x0000_s2245" style="position:absolute;left:0pt;margin-left:180.2pt;margin-top:325.2pt;height:75pt;width:216pt;z-index:274570240;mso-width-relative:page;mso-height-relative:page;" fillcolor="#00B0F0" filled="t" stroked="t" coordsize="4320,1500" path="m0,135hal420,0hal780,15hal1200,60hal1755,150hal2160,270hal2415,405hal2835,615hal3285,885hal4020,1290hal4320,1485hal2985,1500hal2505,1050hal2220,855hal1905,720hal1470,600hal1170,525hal780,525hal195,600hal30,585hal0,135haxe">
            <v:fill on="t" color2="#FFFFFF" opacity="19661f" focussize="0,0"/>
            <v:stroke color="#FFFF00"/>
            <v:imagedata o:title=""/>
            <o:lock v:ext="edit" aspectratio="f"/>
          </v:shape>
        </w:pict>
      </w:r>
      <w:r>
        <w:pict>
          <v:shape id="_x0000_s2244" o:spid="_x0000_s2244" o:spt="136" type="#_x0000_t136" style="position:absolute;left:0pt;margin-left:185.85pt;margin-top:141.3pt;height:12.15pt;width:22.7pt;rotation:211315f;z-index:274569216;mso-width-relative:page;mso-height-relative:page;" fillcolor="#0000FF" filled="t" stroked="t" coordsize="21600,21600" adj="10800">
            <v:path/>
            <v:fill on="t" color2="#FFFFFF" focussize="0,0"/>
            <v:stroke color="#0000FF"/>
            <v:imagedata o:title=""/>
            <o:lock v:ext="edit" aspectratio="f"/>
            <v:textpath on="t" fitshape="t" fitpath="t" trim="t" xscale="f" string="文郁" style="font-family:宋体;font-size:16pt;v-text-align:center;"/>
          </v:shape>
        </w:pict>
      </w:r>
      <w:r>
        <w:rPr>
          <w:sz w:val="22"/>
        </w:rPr>
        <w:pict>
          <v:shape id="_x0000_s2243" o:spid="_x0000_s2243" style="position:absolute;left:0pt;margin-left:180.25pt;margin-top:116.65pt;height:48pt;width:31.5pt;z-index:271874048;mso-width-relative:page;mso-height-relative:page;" fillcolor="#FFFFFF" filled="t" stroked="t" coordsize="630,960" path="m405,0hal150,255hal60,420hal0,600hal15,765hal165,915hal330,960hal525,825hal630,615hal585,540hal570,360hal570,225hal570,75hal570,0hal405,0haxe">
            <v:fill on="t" color2="#FFFFFF" opacity="19661f" focussize="0,0"/>
            <v:stroke color="#FFFF00"/>
            <v:imagedata o:title=""/>
            <o:lock v:ext="edit" aspectratio="f"/>
          </v:shape>
        </w:pict>
      </w:r>
      <w:r>
        <w:pict>
          <v:shape id="_x0000_s2241" o:spid="_x0000_s2241" o:spt="136" type="#_x0000_t136" style="position:absolute;left:0pt;margin-left:206.9pt;margin-top:44.55pt;height:10.3pt;width:26.7pt;rotation:211315f;z-index:271873024;mso-width-relative:page;mso-height-relative:page;" fillcolor="#0000FF" filled="t" stroked="t" coordsize="21600,21600" adj="10800">
            <v:path/>
            <v:fill on="t" color2="#FFFFFF" focussize="0,0"/>
            <v:stroke color="#0000FF"/>
            <v:imagedata o:title=""/>
            <o:lock v:ext="edit" aspectratio="f"/>
            <v:textpath on="t" fitshape="t" fitpath="t" trim="t" xscale="f" string="东溪村" style="font-family:宋体;font-size:16pt;v-text-align:center;"/>
          </v:shape>
        </w:pict>
      </w:r>
      <w:r>
        <w:rPr>
          <w:sz w:val="22"/>
        </w:rPr>
        <w:pict>
          <v:shape id="_x0000_s2240" o:spid="_x0000_s2240" style="position:absolute;left:0pt;margin-left:195.25pt;margin-top:31.85pt;height:39.75pt;width:48.75pt;z-index:269177856;mso-width-relative:page;mso-height-relative:page;" fillcolor="#FFFFFF" filled="t" stroked="t" coordsize="975,795" path="m510,15hal210,0hal75,15hal0,150hal75,330hal180,405hal360,465hal480,510hal555,675hal615,795hal780,750hal870,585hal975,405hal900,285hal765,225hal690,210hal615,135hal510,15haxe">
            <v:fill on="t" color2="#FFFFFF" opacity="19661f" focussize="0,0"/>
            <v:stroke color="#FFFF00"/>
            <v:imagedata o:title=""/>
            <o:lock v:ext="edit" aspectratio="f"/>
          </v:shape>
        </w:pict>
      </w:r>
      <w:r>
        <w:pict>
          <v:shape id="_x0000_s2239" o:spid="_x0000_s2239" o:spt="136" type="#_x0000_t136" style="position:absolute;left:0pt;margin-left:528.6pt;margin-top:166pt;height:10.45pt;width:23pt;rotation:211315f;z-index:269176832;mso-width-relative:page;mso-height-relative:page;" fillcolor="#0000FF" filled="t" stroked="t" coordsize="21600,21600" adj="10800">
            <v:path/>
            <v:fill on="t" color2="#FFFFFF" focussize="0,0"/>
            <v:stroke color="#0000FF"/>
            <v:imagedata o:title=""/>
            <o:lock v:ext="edit" aspectratio="f"/>
            <v:textpath on="t" fitshape="t" fitpath="t" trim="t" xscale="f" string="龙溪" style="font-family:宋体;font-size:16pt;v-text-align:center;"/>
          </v:shape>
        </w:pict>
      </w:r>
      <w:r>
        <w:rPr>
          <w:sz w:val="22"/>
        </w:rPr>
        <w:pict>
          <v:shape id="_x0000_s2238" o:spid="_x0000_s2238" style="position:absolute;left:0pt;margin-left:534.25pt;margin-top:163.1pt;height:19.5pt;width:20.25pt;z-index:266481664;mso-width-relative:page;mso-height-relative:page;" fillcolor="#FFFFFF" filled="t" stroked="t" coordsize="405,390" path="m330,0hal135,0hal30,75hal30,135hal0,180hal90,270hal180,390hal300,375hal375,330hal375,180hal405,120hal330,0haxe">
            <v:fill on="t" color2="#FFFFFF" opacity="19661f" focussize="0,0"/>
            <v:stroke color="#FFFF00"/>
            <v:imagedata o:title=""/>
            <o:lock v:ext="edit" aspectratio="f"/>
          </v:shape>
        </w:pict>
      </w:r>
      <w:r>
        <w:pict>
          <v:shape id="_x0000_s2237" o:spid="_x0000_s2237" o:spt="136" type="#_x0000_t136" style="position:absolute;left:0pt;margin-left:514.4pt;margin-top:56.6pt;height:10.4pt;width:24.45pt;rotation:211315f;z-index:266480640;mso-width-relative:page;mso-height-relative:page;" fillcolor="#0000FF" filled="t" stroked="t" coordsize="21600,21600" adj="10800">
            <v:path/>
            <v:fill on="t" color2="#FFFFFF" focussize="0,0"/>
            <v:stroke color="#0000FF"/>
            <v:imagedata o:title=""/>
            <o:lock v:ext="edit" aspectratio="f"/>
            <v:textpath on="t" fitshape="t" fitpath="t" trim="t" xscale="f" string="鹤林" style="font-family:宋体;font-size:16pt;v-text-align:center;"/>
          </v:shape>
        </w:pict>
      </w:r>
      <w:r>
        <w:rPr>
          <w:sz w:val="22"/>
        </w:rPr>
        <w:pict>
          <v:shape id="_x0000_s2236" o:spid="_x0000_s2236" style="position:absolute;left:0pt;margin-left:508.75pt;margin-top:39.35pt;height:42pt;width:29.25pt;z-index:263785472;mso-width-relative:page;mso-height-relative:page;" fillcolor="#FFFFFF" filled="t" stroked="t" coordsize="585,840" path="m75,0hal0,45hal90,225hal165,450hal240,555hal375,600hal495,765hal510,840hal570,840hal585,720hal570,585hal525,450hal390,285hal225,135hal150,45hal75,0haxe">
            <v:fill on="t" color2="#FFFFFF" opacity="19661f" focussize="0,0"/>
            <v:stroke color="#FFFF00"/>
            <v:imagedata o:title=""/>
            <o:lock v:ext="edit" aspectratio="f"/>
          </v:shape>
        </w:pict>
      </w:r>
      <w:r>
        <w:pict>
          <v:shape id="_x0000_s2234" o:spid="_x0000_s2234" o:spt="136" type="#_x0000_t136" style="position:absolute;left:0pt;margin-left:453.6pt;margin-top:124.75pt;height:10.45pt;width:23pt;rotation:211315f;z-index:263784448;mso-width-relative:page;mso-height-relative:page;" fillcolor="#0000FF" filled="t" stroked="t" coordsize="21600,21600" adj="10800">
            <v:path/>
            <v:fill on="t" color2="#FFFFFF" focussize="0,0"/>
            <v:stroke color="#0000FF"/>
            <v:imagedata o:title=""/>
            <o:lock v:ext="edit" aspectratio="f"/>
            <v:textpath on="t" fitshape="t" fitpath="t" trim="t" xscale="f" string="雁田" style="font-family:宋体;font-size:16pt;v-text-align:center;"/>
          </v:shape>
        </w:pict>
      </w:r>
      <w:r>
        <w:rPr>
          <w:sz w:val="22"/>
        </w:rPr>
        <w:pict>
          <v:shape id="_x0000_s2233" o:spid="_x0000_s2233" style="position:absolute;left:0pt;margin-left:450.25pt;margin-top:118.85pt;height:24pt;width:31.5pt;z-index:261089280;mso-width-relative:page;mso-height-relative:page;" fillcolor="#FFFFFF" filled="t" stroked="t" coordsize="630,480" path="m135,0hal30,60hal0,210hal90,330hal255,330hal375,480hal495,435hal630,255hal570,165hal465,90hal420,90hal330,90hal135,0haxe">
            <v:fill on="t" color2="#FFFFFF" opacity="19661f" focussize="0,0"/>
            <v:stroke color="#FFFF00"/>
            <v:imagedata o:title=""/>
            <o:lock v:ext="edit" aspectratio="f"/>
          </v:shape>
        </w:pict>
      </w:r>
      <w:r>
        <w:pict>
          <v:shape id="_x0000_s2232" o:spid="_x0000_s2232" o:spt="136" type="#_x0000_t136" style="position:absolute;left:0pt;margin-left:427.35pt;margin-top:220pt;height:10.45pt;width:23pt;rotation:211315f;z-index:261088256;mso-width-relative:page;mso-height-relative:page;" fillcolor="#0000FF" filled="t" stroked="t" coordsize="21600,21600" adj="10800">
            <v:path/>
            <v:fill on="t" color2="#FFFFFF" focussize="0,0"/>
            <v:stroke color="#0000FF"/>
            <v:imagedata o:title=""/>
            <o:lock v:ext="edit" aspectratio="f"/>
            <v:textpath on="t" fitshape="t" fitpath="t" trim="t" xscale="f" string="金龙里" style="font-family:宋体;font-size:16pt;v-text-align:center;"/>
          </v:shape>
        </w:pict>
      </w:r>
      <w:r>
        <w:rPr>
          <w:sz w:val="22"/>
        </w:rPr>
        <w:pict>
          <v:shape id="_x0000_s2231" o:spid="_x0000_s2231" style="position:absolute;left:0pt;margin-left:424pt;margin-top:214.85pt;height:18.75pt;width:30pt;z-index:258393088;mso-width-relative:page;mso-height-relative:page;" fillcolor="#FFFFFF" filled="t" stroked="t" coordsize="600,375" path="m195,0hal30,150hal0,300hal165,375hal345,375hal525,285hal600,195hal555,105hal390,60hal195,0haxe">
            <v:fill on="t" color2="#FFFFFF" opacity="19661f" focussize="0,0"/>
            <v:stroke color="#FFFF00"/>
            <v:imagedata o:title=""/>
            <o:lock v:ext="edit" aspectratio="f"/>
          </v:shape>
        </w:pict>
      </w:r>
      <w:r>
        <w:pict>
          <v:shape id="_x0000_s2230" o:spid="_x0000_s2230" o:spt="136" type="#_x0000_t136" style="position:absolute;left:0pt;margin-left:399.6pt;margin-top:293.5pt;height:10.45pt;width:23pt;rotation:211315f;z-index:258392064;mso-width-relative:page;mso-height-relative:page;" fillcolor="#0000FF" filled="t" stroked="t" coordsize="21600,21600" adj="10800">
            <v:path/>
            <v:fill on="t" color2="#FFFFFF" focussize="0,0"/>
            <v:stroke color="#0000FF"/>
            <v:imagedata o:title=""/>
            <o:lock v:ext="edit" aspectratio="f"/>
            <v:textpath on="t" fitshape="t" fitpath="t" trim="t" xscale="f" string="松山" style="font-family:宋体;font-size:16pt;v-text-align:center;"/>
          </v:shape>
        </w:pict>
      </w:r>
      <w:r>
        <w:rPr>
          <w:sz w:val="22"/>
        </w:rPr>
        <w:pict>
          <v:shape id="_x0000_s2229" o:spid="_x0000_s2229" style="position:absolute;left:0pt;margin-left:401.5pt;margin-top:289.1pt;height:18.75pt;width:22.5pt;z-index:255696896;mso-width-relative:page;mso-height-relative:page;" fillcolor="#FFFFFF" filled="t" stroked="t" coordsize="450,375" path="m105,0hal75,120hal15,165hal0,300hal90,315hal225,375hal345,375hal450,240hal450,105hal420,45hal330,45hal195,75hal105,0haxe">
            <v:fill on="t" color2="#FFFFFF" opacity="19661f" focussize="0,0"/>
            <v:stroke color="#FFFF00"/>
            <v:imagedata o:title=""/>
            <o:lock v:ext="edit" aspectratio="f"/>
          </v:shape>
        </w:pict>
      </w:r>
      <w:r>
        <w:pict>
          <v:shape id="_x0000_s2228" o:spid="_x0000_s2228" o:spt="136" type="#_x0000_t136" style="position:absolute;left:0pt;margin-left:351pt;margin-top:209.65pt;height:11.1pt;width:28.85pt;z-index:255695872;mso-width-relative:page;mso-height-relative:page;" fillcolor="#FFFF00" filled="t" stroked="t" coordsize="21600,21600" adj="10800">
            <v:path/>
            <v:fill on="t" color2="#FFFFFF" focussize="0,0"/>
            <v:stroke color="#FF0000"/>
            <v:imagedata o:title=""/>
            <o:lock v:ext="edit" aspectratio="f"/>
            <v:textpath on="t" fitshape="t" fitpath="t" trim="t" xscale="f" string="项目位置" style="font-family:宋体;font-size:16pt;v-text-align:center;"/>
          </v:shape>
        </w:pict>
      </w:r>
      <w:r>
        <w:pict>
          <v:shape id="_x0000_s2222" o:spid="_x0000_s2222" o:spt="136" type="#_x0000_t136" style="position:absolute;left:0pt;margin-left:380.1pt;margin-top:191.5pt;height:10.45pt;width:23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东园" style="font-family:宋体;font-size:16pt;v-text-align:center;"/>
          </v:shape>
        </w:pict>
      </w:r>
      <w:r>
        <w:rPr>
          <w:sz w:val="24"/>
        </w:rPr>
        <w:pict>
          <v:shape id="_x0000_s2227" o:spid="_x0000_s2227" style="position:absolute;left:0pt;margin-left:362.8pt;margin-top:176.6pt;height:36pt;width:40.5pt;z-index:251655168;mso-width-relative:page;mso-height-relative:page;" fillcolor="#FFFFFF" filled="t" stroked="t" coordsize="810,720" path="m405,30hal240,0hal105,0hal30,60hal0,120hal0,210hal150,180hal360,120hal405,255hal360,405hal300,510hal285,600hal330,660hal525,720hal735,615hal810,420hal705,165hal615,30hal405,30haxe">
            <v:fill on="t" color2="#FFFFFF" opacity="19661f" focussize="0,0"/>
            <v:stroke color="#FFFF00"/>
            <v:imagedata o:title=""/>
            <o:lock v:ext="edit" aspectratio="f"/>
          </v:shape>
        </w:pict>
      </w:r>
      <w:r>
        <w:rPr>
          <w:sz w:val="24"/>
        </w:rPr>
        <w:pict>
          <v:shape id="_x0000_s2226" o:spid="_x0000_s2226" style="position:absolute;left:0pt;margin-left:199.3pt;margin-top:355.1pt;height:44.25pt;width:100.5pt;z-index:251656192;mso-width-relative:page;mso-height-relative:page;" fillcolor="#FFFFFF" filled="t" stroked="t" coordsize="2010,885" path="m810,0hal795,165hal615,390hal510,525hal465,660hal450,765hal270,825hal90,795hal0,885hal1305,870hal1485,735hal1650,795hal1695,855hal1740,870hal1920,765hal2010,585hal1995,465hal1785,330hal810,0haxe">
            <v:fill on="t" color2="#FFFFFF" opacity="19661f" focussize="0,0"/>
            <v:stroke color="#FFFF00"/>
            <v:imagedata o:title=""/>
            <o:lock v:ext="edit" aspectratio="f"/>
          </v:shape>
        </w:pict>
      </w:r>
      <w:r>
        <w:rPr>
          <w:rFonts w:hint="eastAsia" w:ascii="Times New Roman" w:hAnsi="Times New Roman" w:eastAsia="宋体" w:cs="Times New Roman"/>
          <w:b/>
          <w:color w:val="FF0000"/>
          <w:kern w:val="2"/>
          <w:sz w:val="24"/>
          <w:lang w:eastAsia="zh-CN"/>
        </w:rPr>
        <w:drawing>
          <wp:inline distT="0" distB="0" distL="114300" distR="114300">
            <wp:extent cx="7662545" cy="5342255"/>
            <wp:effectExtent l="0" t="0" r="14605" b="10795"/>
            <wp:docPr id="2" name="图片 2" descr="1573799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73799544(1)"/>
                    <pic:cNvPicPr>
                      <a:picLocks noChangeAspect="1"/>
                    </pic:cNvPicPr>
                  </pic:nvPicPr>
                  <pic:blipFill>
                    <a:blip r:embed="rId60"/>
                    <a:srcRect t="3661" b="2996"/>
                    <a:stretch>
                      <a:fillRect/>
                    </a:stretch>
                  </pic:blipFill>
                  <pic:spPr>
                    <a:xfrm>
                      <a:off x="0" y="0"/>
                      <a:ext cx="7662545" cy="5342255"/>
                    </a:xfrm>
                    <a:prstGeom prst="rect">
                      <a:avLst/>
                    </a:prstGeom>
                  </pic:spPr>
                </pic:pic>
              </a:graphicData>
            </a:graphic>
          </wp:inline>
        </w:drawing>
      </w:r>
      <w:r>
        <w:pict>
          <v:shape id="_x0000_s2225" o:spid="_x0000_s2225" o:spt="136" type="#_x0000_t136" style="position:absolute;left:0pt;margin-left:311.1pt;margin-top:127.15pt;height:11.25pt;width:26.35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庆宁" style="font-family:宋体;font-size:16pt;v-text-align:center;"/>
          </v:shape>
        </w:pict>
      </w:r>
      <w:r>
        <w:pict>
          <v:shape id="_x0000_s2224" o:spid="_x0000_s2224" style="position:absolute;left:0pt;margin-left:303.8pt;margin-top:95.8pt;height:74.25pt;width:30.75pt;z-index:251657216;mso-width-relative:page;mso-height-relative:page;" fillcolor="#FDEADA" filled="t" stroked="t" coordsize="615,1485" path="m300,45hal300,255hal345,435hal360,630hal180,1065hal105,1170hal0,1275hal105,1485hal330,1440hal435,1305hal555,1005hal615,660hal555,285hal450,0hal300,45haxe">
            <v:fill on="t" color2="#FFFFFF" opacity="28180f" focussize="0,0"/>
            <v:stroke weight="1pt" color="#FFFF00" startarrow="block" endarrow="block"/>
            <v:imagedata o:title=""/>
            <o:lock v:ext="edit" aspectratio="f"/>
          </v:shape>
        </w:pict>
      </w:r>
      <w:r>
        <w:pict>
          <v:shape id="_x0000_s2218" o:spid="_x0000_s2218" style="position:absolute;left:0pt;margin-left:383.6pt;margin-top:63.9pt;height:77.9pt;width:44.45pt;z-index:254352384;mso-width-relative:page;mso-height-relative:page;" fillcolor="#FDEADA" filled="t" stroked="t" coordsize="889,1558" path="m773,0hal646,69hal600,161hal566,242hal531,392hal496,496hal450,588hal439,704hal439,773hal358,923hal381,1131hal231,1108hal69,969hal12,1027hal0,1085hal23,1223hal104,1269hal185,1304hal346,1304hal427,1269hal473,1315hal416,1419hal416,1558hal589,1546hal693,1408hal739,1269hal750,1131hal750,1073hal693,1015hal716,946hal773,796hal877,588hal877,450hal889,335hal889,138hal854,69hal773,0haxe">
            <v:fill on="t" color2="#FFFFFF" opacity="28835f" focussize="0,0"/>
            <v:stroke weight="1pt" color="#FFFF00" startarrow="block" endarrow="block"/>
            <v:imagedata o:title=""/>
            <o:lock v:ext="edit" aspectratio="f"/>
          </v:shape>
        </w:pict>
      </w:r>
      <w:r>
        <w:pict>
          <v:shape id="_x0000_s2208" o:spid="_x0000_s2208" style="position:absolute;left:0pt;margin-left:210.25pt;margin-top:282.8pt;height:77.5pt;width:143.1pt;z-index:254352384;mso-width-relative:page;mso-height-relative:page;" fillcolor="#FDEADA" filled="t" stroked="t" coordsize="2862,1550" path="m1000,0hal837,112hal612,275hal462,300hal262,287hal137,287hal0,487hal75,675hal425,812hal862,875hal1212,900hal1600,1062hal1975,1250hal2400,1475hal2525,1550hal2725,1500hal2862,1175hal2787,950hal2625,775hal2225,675hal2037,550hal1887,512hal1762,425hal1762,275hal1762,175hal1537,100hal1300,25hal1000,0haxe">
            <v:fill on="t" color2="#FFFFFF" opacity="27525f" focussize="0,0"/>
            <v:stroke weight="1pt" color="#FFFF00" startarrow="block" endarrow="block"/>
            <v:imagedata o:title=""/>
            <o:lock v:ext="edit" aspectratio="f"/>
          </v:shape>
        </w:pict>
      </w:r>
      <w:r>
        <w:pict>
          <v:shape id="_x0000_s2209" o:spid="_x0000_s2209" o:spt="136" type="#_x0000_t136" style="position:absolute;left:0pt;margin-left:236.4pt;margin-top:374.6pt;height:11.65pt;width:24.6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公益" style="font-family:宋体;font-size:16pt;v-text-align:center;"/>
          </v:shape>
        </w:pict>
      </w:r>
      <w:r>
        <w:pict>
          <v:shape id="_x0000_s2210" o:spid="_x0000_s2210" o:spt="136" type="#_x0000_t136" style="position:absolute;left:0pt;margin-left:258.9pt;margin-top:309.05pt;height:10.25pt;width:36.8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新市社区" style="font-family:宋体;font-size:16pt;v-text-align:center;"/>
          </v:shape>
        </w:pict>
      </w:r>
      <w:r>
        <w:pict>
          <v:shape id="_x0000_s2211" o:spid="_x0000_s2211" style="position:absolute;left:0pt;margin-left:134.6pt;margin-top:220.7pt;height:85pt;width:95.65pt;z-index:254352384;mso-width-relative:page;mso-height-relative:page;" fillcolor="#FDEADA" filled="t" stroked="t" coordsize="1913,1700" path="m1363,1700hal1563,1425hal1738,1187hal1888,975hal1913,700hal1763,462hal1663,150hal1488,37hal875,0hal638,50hal388,125hal200,312hal0,412hal13,562hal275,687hal550,825hal800,987hal1113,1387hal1363,1700haxe">
            <v:fill on="t" color2="#FFFFFF" opacity="32768f" focussize="0,0"/>
            <v:stroke weight="1pt" color="#FFFF00" startarrow="block" endarrow="block"/>
            <v:imagedata o:title=""/>
            <o:lock v:ext="edit" aspectratio="f"/>
          </v:shape>
        </w:pict>
      </w:r>
      <w:r>
        <w:pict>
          <v:shape id="_x0000_s2212" o:spid="_x0000_s2212" style="position:absolute;left:0pt;margin-left:222.75pt;margin-top:260.3pt;height:31.25pt;width:59.35pt;z-index:254352384;mso-width-relative:page;mso-height-relative:page;" fillcolor="#FDEADA" filled="t" stroked="t" coordsize="1187,625" path="m412,0hal287,0hal175,187hal0,475hal75,600hal262,625hal450,562hal575,475hal825,362hal1012,375hal1187,250hal1062,200hal800,175hal625,175hal487,50hal412,0haxe">
            <v:fill on="t" color2="#FFFFFF" opacity="27525f" focussize="0,0"/>
            <v:stroke weight="1pt" color="#FFFF00" startarrow="block" endarrow="block"/>
            <v:imagedata o:title=""/>
            <o:lock v:ext="edit" aspectratio="f"/>
          </v:shape>
        </w:pict>
      </w:r>
      <w:r>
        <w:pict>
          <v:shape id="_x0000_s2213" o:spid="_x0000_s2213" o:spt="136" type="#_x0000_t136" style="position:absolute;left:0pt;margin-left:230.05pt;margin-top:272.15pt;height:10pt;width:36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东方红社区" style="font-family:宋体;font-size:16pt;v-text-align:center;"/>
          </v:shape>
        </w:pict>
      </w:r>
      <w:r>
        <w:pict>
          <v:shape id="_x0000_s2214" o:spid="_x0000_s2214" o:spt="136" type="#_x0000_t136" style="position:absolute;left:0pt;margin-left:170.65pt;margin-top:249pt;height:10pt;width:36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人民社区" style="font-family:宋体;font-size:16pt;v-text-align:center;"/>
          </v:shape>
        </w:pict>
      </w:r>
      <w:r>
        <w:pict>
          <v:shape id="_x0000_s2215" o:spid="_x0000_s2215" style="position:absolute;left:0pt;margin-left:409.4pt;margin-top:251.95pt;height:39pt;width:81.75pt;z-index:254352384;mso-width-relative:page;mso-height-relative:page;" fillcolor="#FDEADA" filled="t" stroked="t" coordsize="1635,780" path="m1320,45hal1125,105hal990,90hal840,0hal720,30hal450,165hal300,225hal135,255hal150,420hal105,555hal0,660hal45,780hal150,675hal435,720hal540,660hal840,645hal1050,765hal1260,660hal1425,525hal1635,240hal1575,120hal1440,30hal1320,45haxe">
            <v:fill on="t" color2="#FFFFFF" opacity="30801f" focussize="0,0"/>
            <v:stroke weight="1pt" color="#FFFF00" startarrow="block" endarrow="block"/>
            <v:imagedata o:title=""/>
            <o:lock v:ext="edit" aspectratio="f"/>
          </v:shape>
        </w:pict>
      </w:r>
      <w:r>
        <w:pict>
          <v:shape id="_x0000_s2216" o:spid="_x0000_s2216" style="position:absolute;left:0pt;margin-left:426.65pt;margin-top:286.45pt;height:28.5pt;width:33.75pt;z-index:254352384;mso-width-relative:page;mso-height-relative:page;" fillcolor="#FDEADA" filled="t" stroked="t" coordsize="675,570" path="m180,60hal150,180hal0,300hal45,465hal225,570hal375,570hal540,435hal660,285hal675,150hal540,45hal345,0hal180,60haxe">
            <v:fill on="t" color2="#FFFFFF" opacity="26869f" focussize="0,0"/>
            <v:stroke weight="1pt" color="#FFFF00" startarrow="block" endarrow="block"/>
            <v:imagedata o:title=""/>
            <o:lock v:ext="edit" aspectratio="f"/>
          </v:shape>
        </w:pict>
      </w:r>
      <w:r>
        <w:pict>
          <v:shape id="_x0000_s2217" o:spid="_x0000_s2217" style="position:absolute;left:0pt;margin-left:359.15pt;margin-top:312.7pt;height:40.5pt;width:86.25pt;z-index:254352384;mso-width-relative:page;mso-height-relative:page;" fillcolor="#FDEADA" filled="t" stroked="t" coordsize="1725,810" path="m0,600hal240,810hal375,810hal630,750hal735,660hal1170,465hal1320,480hal1380,585hal1575,645hal1620,570hal1725,435hal1695,270hal1695,270hal1620,300hal1470,360hal1320,360hal1215,330hal1200,210hal1275,90hal1140,0hal885,45hal930,210hal930,240hal750,435hal585,570hal480,660hal390,690hal345,675hal300,660hal300,555hal270,405hal195,390hal120,390hal15,465hal0,600haxe">
            <v:fill on="t" color2="#FFFFFF" opacity="34734f" focussize="0,0"/>
            <v:stroke weight="1pt" color="#FFFF00" startarrow="block" endarrow="block"/>
            <v:imagedata o:title=""/>
            <o:lock v:ext="edit" aspectratio="f"/>
          </v:shape>
        </w:pict>
      </w:r>
      <w:r>
        <w:pict>
          <v:shape id="_x0000_s2219" o:spid="_x0000_s2219" o:spt="136" type="#_x0000_t136" style="position:absolute;left:0pt;margin-left:397.9pt;margin-top:327.25pt;height:11.15pt;width:25.15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泮南村" style="font-family:宋体;font-size:16pt;v-text-align:center;"/>
          </v:shape>
        </w:pict>
      </w:r>
      <w:r>
        <w:pict>
          <v:shape id="_x0000_s2220" o:spid="_x0000_s2220" o:spt="136" type="#_x0000_t136" style="position:absolute;left:0pt;margin-left:444.65pt;margin-top:265.4pt;height:10.75pt;width:22.25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泮村" style="font-family:宋体;font-size:16pt;v-text-align:center;"/>
          </v:shape>
        </w:pict>
      </w:r>
      <w:r>
        <w:pict>
          <v:shape id="_x0000_s2221" o:spid="_x0000_s2221" o:spt="136" type="#_x0000_t136" style="position:absolute;left:0pt;margin-left:429.6pt;margin-top:296.1pt;height:10.55pt;width:26.25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永安村" style="font-family:宋体;font-size:16pt;v-text-align:center;"/>
          </v:shape>
        </w:pict>
      </w:r>
      <w:r>
        <w:pict>
          <v:shape id="_x0000_s2223" o:spid="_x0000_s2223" o:spt="136" type="#_x0000_t136" style="position:absolute;left:0pt;margin-left:399.65pt;margin-top:90.35pt;height:10.1pt;width:32.6pt;rotation:211315f;z-index:254352384;mso-width-relative:page;mso-height-relative:page;" fillcolor="#0000FF" filled="t" stroked="t" coordsize="21600,21600" adj="10800">
            <v:path/>
            <v:fill on="t" color2="#FFFFFF" focussize="0,0"/>
            <v:stroke color="#0000FF"/>
            <v:imagedata o:title=""/>
            <o:lock v:ext="edit" aspectratio="f"/>
            <v:textpath on="t" fitshape="t" fitpath="t" trim="t" xscale="f" string="唐联村" style="font-family:宋体;font-size:16pt;v-text-align:center;"/>
          </v:shape>
        </w:pict>
      </w:r>
      <w:r>
        <w:pict>
          <v:shape id="_x0000_s2194" o:spid="_x0000_s2194" o:spt="136" type="#_x0000_t136" style="position:absolute;left:0pt;margin-left:575.9pt;margin-top:392.9pt;height:9pt;width:19pt;z-index:253008896;mso-width-relative:page;mso-height-relative:page;" fillcolor="#FFFF00" filled="t" stroked="t" coordsize="21600,21600" adj="10800">
            <v:path/>
            <v:fill on="t" color2="#FFFFFF" focussize="0,0"/>
            <v:stroke color="#FFFF00"/>
            <v:imagedata o:title=""/>
            <o:lock v:ext="edit" aspectratio="f"/>
            <v:textpath on="t" fitshape="t" fitpath="t" trim="t" xscale="f" string="1公里" style="font-family:宋体;font-size:16pt;v-text-align:center;"/>
          </v:shape>
        </w:pict>
      </w:r>
      <w:r>
        <w:pict>
          <v:group id="组合 117" o:spid="_x0000_s2189" o:spt="203" style="position:absolute;left:0pt;margin-left:571.15pt;margin-top:399.9pt;height:14pt;width:85pt;z-index:253008896;mso-width-relative:page;mso-height-relative:page;" coordorigin="3009,1171871" coordsize="2142,284" o:gfxdata="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0JjP3NkAAAAJAQAADwAAAAAA&#10;AAABACAAAAAiAAAAZHJzL2Rvd25yZXYueG1sUEsBAhQAFAAAAAgAh07iQAz/OG0vAwAAsAwAAA4A&#10;AAAAAAAAAQAgAAAAKAEAAGRycy9lMm9Eb2MueG1sUEsFBgAAAAAGAAYAWQEAAMkGAAAAAA==&#10;">
            <o:lock v:ext="edit" aspectratio="f"/>
            <v:group id="组合 72" o:spid="_x0000_s2190" o:spt="203" style="position:absolute;left:3009;top:1171871;height:284;width:2142;" coordorigin="3009,1171871" coordsize="2142,284" o:gfxdata="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2NQcKvwAAANwAAAAPAAAAAAAAAAEAIAAAACIAAABkcnMvZG93bnJldi54&#10;bWxQSwECFAAUAAAACACHTuJAMy8FnjsAAAA5AAAAFQAAAAAAAAABACAAAAAOAQAAZHJzL2dyb3Vw&#10;c2hhcGV4bWwueG1sUEsFBgAAAAAGAAYAYAEAAMsDAAAAAA==&#10;">
              <o:lock v:ext="edit" aspectratio="f"/>
              <v:shape id="任意多边形 70" o:spid="_x0000_s2191" style="position:absolute;left:3009;top:1172021;height:135;width:2143;" filled="f" stroked="t" coordsize="1260,1" o:gfxdata="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12RUa8AAAA&#10;3AAAAA8AAAAAAAAAAQAgAAAAIgAAAGRycy9kb3ducmV2LnhtbFBLAQIUABQAAAAIAIdO4kAzLwWe&#10;OwAAADkAAAAQAAAAAAAAAAEAIAAAAAsBAABkcnMvc2hhcGV4bWwueG1sUEsFBgAAAAAGAAYAWwEA&#10;ALUDAAAAAA==&#10;" path="m0,0l1245,0,1260,0e">
                <v:fill on="f" focussize="0,0"/>
                <v:stroke weight="1.5pt" color="#FFFF00" joinstyle="round"/>
                <v:imagedata o:title=""/>
                <o:lock v:ext="edit" aspectratio="f"/>
              </v:shape>
              <v:shape id="任意多边形 71" o:spid="_x0000_s2192" style="position:absolute;left:3009;top:1171871;height:150;width:1;" filled="f" stroked="t" coordsize="1,150" o:gfxdata="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yh0L4A&#10;AADcAAAADwAAAAAAAAABACAAAAAiAAAAZHJzL2Rvd25yZXYueG1sUEsBAhQAFAAAAAgAh07iQDMv&#10;BZ47AAAAOQAAABAAAAAAAAAAAQAgAAAADQEAAGRycy9zaGFwZXhtbC54bWxQSwUGAAAAAAYABgBb&#10;AQAAtwMAAAAA&#10;" path="m0,0l0,150e">
                <v:fill on="f" focussize="0,0"/>
                <v:stroke weight="1.5pt" color="#FFFF00" joinstyle="round"/>
                <v:imagedata o:title=""/>
                <o:lock v:ext="edit" aspectratio="f"/>
              </v:shape>
            </v:group>
            <v:shape id="任意多边形 73" o:spid="_x0000_s2193" style="position:absolute;left:5139;top:1171871;height:150;width:1;" filled="f" stroked="t" coordsize="1,150" o:gfxdata="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TAES7sAAADc&#10;AAAADwAAAAAAAAABACAAAAAiAAAAZHJzL2Rvd25yZXYueG1sUEsBAhQAFAAAAAgAh07iQDMvBZ47&#10;AAAAOQAAABAAAAAAAAAAAQAgAAAACgEAAGRycy9zaGFwZXhtbC54bWxQSwUGAAAAAAYABgBbAQAA&#10;tAMAAAAA&#10;" path="m0,0l0,150e">
              <v:fill on="f" focussize="0,0"/>
              <v:stroke weight="1.5pt" color="#FFFF00" joinstyle="round"/>
              <v:imagedata o:title=""/>
              <o:lock v:ext="edit" aspectratio="f"/>
            </v:shape>
          </v:group>
        </w:pict>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pPr>
      <w:r>
        <w:rPr>
          <w:rFonts w:hint="default" w:ascii="Times New Roman" w:hAnsi="Times New Roman" w:eastAsia="宋体" w:cs="Times New Roman"/>
          <w:b/>
          <w:bCs/>
          <w:color w:val="auto"/>
          <w:kern w:val="2"/>
          <w:sz w:val="24"/>
          <w:szCs w:val="24"/>
          <w:shd w:val="clear" w:color="auto" w:fill="auto"/>
        </w:rPr>
        <w:t>附图2</w:t>
      </w:r>
      <w:r>
        <w:rPr>
          <w:rFonts w:hint="default" w:ascii="Times New Roman" w:hAnsi="Times New Roman" w:cs="Times New Roman"/>
          <w:b/>
          <w:bCs/>
          <w:color w:val="auto"/>
          <w:sz w:val="24"/>
          <w:szCs w:val="24"/>
          <w:highlight w:val="none"/>
          <w:shd w:val="clear" w:color="auto" w:fill="auto"/>
        </w:rPr>
        <w:t>项目周围敏感点图</w:t>
      </w:r>
      <w:r>
        <w:rPr>
          <w:rFonts w:hint="eastAsia" w:ascii="Times New Roman" w:hAnsi="Times New Roman" w:cs="Times New Roman"/>
          <w:b/>
          <w:bCs/>
          <w:color w:val="auto"/>
          <w:sz w:val="24"/>
          <w:szCs w:val="24"/>
          <w:highlight w:val="none"/>
          <w:shd w:val="clear" w:color="auto" w:fill="auto"/>
          <w:lang w:eastAsia="zh-CN"/>
        </w:rPr>
        <w:t>（</w:t>
      </w:r>
      <w:r>
        <w:rPr>
          <w:rFonts w:hint="eastAsia" w:ascii="Times New Roman" w:hAnsi="Times New Roman" w:cs="Times New Roman"/>
          <w:b/>
          <w:bCs/>
          <w:color w:val="auto"/>
          <w:sz w:val="24"/>
          <w:szCs w:val="24"/>
          <w:highlight w:val="none"/>
          <w:shd w:val="clear" w:color="auto" w:fill="auto"/>
          <w:lang w:val="en-US" w:eastAsia="zh-CN"/>
        </w:rPr>
        <w:t>5km）</w:t>
      </w:r>
    </w:p>
    <w:p>
      <w:pPr>
        <w:spacing w:after="0" w:line="240" w:lineRule="auto"/>
        <w:jc w:val="center"/>
        <w:rPr>
          <w:rFonts w:hint="default" w:ascii="Times New Roman" w:hAnsi="Times New Roman" w:eastAsia="宋体" w:cs="Times New Roman"/>
          <w:b/>
          <w:color w:val="FF0000"/>
          <w:kern w:val="2"/>
          <w:sz w:val="24"/>
        </w:rPr>
      </w:pPr>
      <w:r>
        <w:rPr>
          <w:rFonts w:hint="default" w:ascii="Times New Roman" w:hAnsi="Times New Roman" w:eastAsia="宋体" w:cs="Times New Roman"/>
          <w:b/>
          <w:color w:val="FF0000"/>
          <w:kern w:val="2"/>
          <w:sz w:val="24"/>
        </w:rPr>
        <w:drawing>
          <wp:inline distT="0" distB="0" distL="0" distR="0">
            <wp:extent cx="7092950" cy="5013960"/>
            <wp:effectExtent l="19050" t="19050" r="31750" b="342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092950" cy="5013960"/>
                    </a:xfrm>
                    <a:prstGeom prst="rect">
                      <a:avLst/>
                    </a:prstGeom>
                    <a:ln w="19050">
                      <a:solidFill>
                        <a:schemeClr val="tx1"/>
                      </a:solidFill>
                    </a:ln>
                  </pic:spPr>
                </pic:pic>
              </a:graphicData>
            </a:graphic>
          </wp:inline>
        </w:drawing>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pPr>
      <w:r>
        <w:rPr>
          <w:rFonts w:hint="default" w:ascii="Times New Roman" w:hAnsi="Times New Roman" w:eastAsia="宋体" w:cs="Times New Roman"/>
          <w:b/>
          <w:bCs/>
          <w:color w:val="auto"/>
          <w:kern w:val="2"/>
          <w:sz w:val="24"/>
          <w:szCs w:val="24"/>
          <w:shd w:val="clear" w:color="auto" w:fill="auto"/>
        </w:rPr>
        <w:t>附图3项目噪声现状监测布点图</w:t>
      </w:r>
    </w:p>
    <w:p>
      <w:pPr>
        <w:spacing w:after="0" w:line="240" w:lineRule="auto"/>
        <w:jc w:val="center"/>
        <w:rPr>
          <w:rFonts w:hint="default" w:ascii="Times New Roman" w:hAnsi="Times New Roman" w:eastAsia="宋体" w:cs="Times New Roman"/>
          <w:b/>
          <w:color w:val="FF0000"/>
          <w:kern w:val="2"/>
          <w:sz w:val="24"/>
        </w:rPr>
      </w:pPr>
      <w:r>
        <w:rPr>
          <w:rFonts w:hint="default" w:ascii="Times New Roman" w:hAnsi="Times New Roman" w:eastAsia="宋体" w:cs="Times New Roman"/>
          <w:b/>
          <w:color w:val="FF0000"/>
          <w:kern w:val="2"/>
          <w:sz w:val="24"/>
        </w:rPr>
        <w:drawing>
          <wp:inline distT="0" distB="0" distL="0" distR="0">
            <wp:extent cx="7172960" cy="5069840"/>
            <wp:effectExtent l="19050" t="19050" r="27940" b="3556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172960" cy="5069840"/>
                    </a:xfrm>
                    <a:prstGeom prst="rect">
                      <a:avLst/>
                    </a:prstGeom>
                    <a:ln w="19050">
                      <a:solidFill>
                        <a:schemeClr val="tx1"/>
                      </a:solidFill>
                    </a:ln>
                  </pic:spPr>
                </pic:pic>
              </a:graphicData>
            </a:graphic>
          </wp:inline>
        </w:drawing>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sectPr>
          <w:footerReference r:id="rId13" w:type="default"/>
          <w:pgSz w:w="16838" w:h="11906" w:orient="landscape"/>
          <w:pgMar w:top="1440" w:right="1080" w:bottom="1440" w:left="1080" w:header="851" w:footer="992" w:gutter="0"/>
          <w:pgBorders>
            <w:top w:val="none" w:sz="0" w:space="0"/>
            <w:left w:val="none" w:sz="0" w:space="0"/>
            <w:bottom w:val="none" w:sz="0" w:space="0"/>
            <w:right w:val="none" w:sz="0" w:space="0"/>
          </w:pgBorders>
          <w:cols w:space="720" w:num="1"/>
          <w:docGrid w:type="linesAndChars" w:linePitch="326" w:charSpace="0"/>
        </w:sectPr>
      </w:pPr>
      <w:r>
        <w:rPr>
          <w:rFonts w:hint="default" w:ascii="Times New Roman" w:hAnsi="Times New Roman" w:eastAsia="宋体" w:cs="Times New Roman"/>
          <w:b/>
          <w:bCs/>
          <w:color w:val="auto"/>
          <w:kern w:val="2"/>
          <w:sz w:val="24"/>
          <w:szCs w:val="24"/>
          <w:shd w:val="clear" w:color="auto" w:fill="auto"/>
        </w:rPr>
        <w:t>附图4项目四至图</w:t>
      </w:r>
    </w:p>
    <w:tbl>
      <w:tblPr>
        <w:tblStyle w:val="44"/>
        <w:tblW w:w="126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8"/>
        <w:gridCol w:w="6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8" w:type="dxa"/>
            <w:vAlign w:val="center"/>
          </w:tcPr>
          <w:p>
            <w:pPr>
              <w:jc w:val="center"/>
              <w:rPr>
                <w:rFonts w:hint="default" w:ascii="Times New Roman" w:hAnsi="Times New Roman" w:cs="Times New Roman"/>
                <w:color w:val="FF0000"/>
              </w:rPr>
            </w:pPr>
            <w:r>
              <w:rPr>
                <w:rFonts w:hint="default" w:ascii="Times New Roman" w:hAnsi="Times New Roman" w:cs="Times New Roman"/>
                <w:color w:val="FF0000"/>
              </w:rPr>
              <w:drawing>
                <wp:inline distT="0" distB="0" distL="0" distR="0">
                  <wp:extent cx="3057525" cy="1828800"/>
                  <wp:effectExtent l="0" t="0" r="9525" b="0"/>
                  <wp:docPr id="18" name="图片 18" descr="42396b5a39507b477520a05c2fd91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2396b5a39507b477520a05c2fd91c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057525" cy="1828800"/>
                          </a:xfrm>
                          <a:prstGeom prst="rect">
                            <a:avLst/>
                          </a:prstGeom>
                          <a:noFill/>
                          <a:ln>
                            <a:noFill/>
                          </a:ln>
                        </pic:spPr>
                      </pic:pic>
                    </a:graphicData>
                  </a:graphic>
                </wp:inline>
              </w:drawing>
            </w:r>
          </w:p>
        </w:tc>
        <w:tc>
          <w:tcPr>
            <w:tcW w:w="6308" w:type="dxa"/>
            <w:vAlign w:val="center"/>
          </w:tcPr>
          <w:p>
            <w:pPr>
              <w:jc w:val="center"/>
              <w:rPr>
                <w:rFonts w:hint="default" w:ascii="Times New Roman" w:hAnsi="Times New Roman" w:cs="Times New Roman"/>
                <w:color w:val="FF0000"/>
              </w:rPr>
            </w:pPr>
            <w:r>
              <w:rPr>
                <w:rFonts w:hint="default" w:ascii="Times New Roman" w:hAnsi="Times New Roman" w:cs="Times New Roman"/>
                <w:color w:val="FF0000"/>
              </w:rPr>
              <w:drawing>
                <wp:inline distT="0" distB="0" distL="0" distR="0">
                  <wp:extent cx="2857500" cy="1885950"/>
                  <wp:effectExtent l="0" t="0" r="0" b="0"/>
                  <wp:docPr id="19" name="图片 19" descr="27a7e3b155d1701963422fb8a6d5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7a7e3b155d1701963422fb8a6d58e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857500" cy="18859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08" w:type="dxa"/>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项目东面—庄圆卫浴</w:t>
            </w:r>
          </w:p>
        </w:tc>
        <w:tc>
          <w:tcPr>
            <w:tcW w:w="6308" w:type="dxa"/>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项目南面—红芳五金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08" w:type="dxa"/>
            <w:vAlign w:val="center"/>
          </w:tcPr>
          <w:p>
            <w:pPr>
              <w:jc w:val="center"/>
              <w:rPr>
                <w:rFonts w:hint="default" w:ascii="Times New Roman" w:hAnsi="Times New Roman" w:cs="Times New Roman"/>
                <w:b/>
                <w:color w:val="auto"/>
              </w:rPr>
            </w:pPr>
            <w:r>
              <w:rPr>
                <w:rFonts w:hint="default" w:ascii="Times New Roman" w:hAnsi="Times New Roman" w:cs="Times New Roman"/>
                <w:color w:val="auto"/>
              </w:rPr>
              <w:drawing>
                <wp:inline distT="0" distB="0" distL="0" distR="0">
                  <wp:extent cx="2647950" cy="1895475"/>
                  <wp:effectExtent l="0" t="0" r="0" b="9525"/>
                  <wp:docPr id="17" name="图片 17" descr="0650547665742a2ea299bcb429b87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650547665742a2ea299bcb429b87f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647950" cy="1895475"/>
                          </a:xfrm>
                          <a:prstGeom prst="rect">
                            <a:avLst/>
                          </a:prstGeom>
                          <a:noFill/>
                          <a:ln>
                            <a:noFill/>
                          </a:ln>
                        </pic:spPr>
                      </pic:pic>
                    </a:graphicData>
                  </a:graphic>
                </wp:inline>
              </w:drawing>
            </w:r>
          </w:p>
        </w:tc>
        <w:tc>
          <w:tcPr>
            <w:tcW w:w="6308" w:type="dxa"/>
            <w:vAlign w:val="center"/>
          </w:tcPr>
          <w:p>
            <w:pPr>
              <w:jc w:val="center"/>
              <w:rPr>
                <w:rFonts w:hint="default" w:ascii="Times New Roman" w:hAnsi="Times New Roman" w:cs="Times New Roman"/>
                <w:b/>
                <w:color w:val="auto"/>
              </w:rPr>
            </w:pPr>
            <w:r>
              <w:rPr>
                <w:rFonts w:hint="default" w:ascii="Times New Roman" w:hAnsi="Times New Roman" w:cs="Times New Roman"/>
                <w:color w:val="auto"/>
              </w:rPr>
              <w:drawing>
                <wp:inline distT="0" distB="0" distL="0" distR="0">
                  <wp:extent cx="2962275" cy="1914525"/>
                  <wp:effectExtent l="0" t="0" r="9525" b="9525"/>
                  <wp:docPr id="16" name="图片 16" descr="1e15b487134657985703c3bf5d4d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e15b487134657985703c3bf5d4d5c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962275" cy="1914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08" w:type="dxa"/>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项目西面—空厂房</w:t>
            </w:r>
          </w:p>
        </w:tc>
        <w:tc>
          <w:tcPr>
            <w:tcW w:w="6308" w:type="dxa"/>
            <w:vAlign w:val="center"/>
          </w:tcPr>
          <w:p>
            <w:pPr>
              <w:jc w:val="center"/>
              <w:rPr>
                <w:rFonts w:hint="default" w:ascii="Times New Roman" w:hAnsi="Times New Roman" w:cs="Times New Roman"/>
                <w:b/>
                <w:color w:val="auto"/>
              </w:rPr>
            </w:pPr>
            <w:r>
              <w:rPr>
                <w:rFonts w:hint="default" w:ascii="Times New Roman" w:hAnsi="Times New Roman" w:cs="Times New Roman"/>
                <w:b/>
                <w:color w:val="auto"/>
              </w:rPr>
              <w:t xml:space="preserve">项目北面—空厂房 </w:t>
            </w:r>
          </w:p>
        </w:tc>
      </w:tr>
    </w:tbl>
    <w:p>
      <w:pPr>
        <w:widowControl/>
        <w:spacing w:before="93" w:after="93" w:line="240" w:lineRule="auto"/>
        <w:jc w:val="center"/>
        <w:outlineLvl w:val="0"/>
        <w:rPr>
          <w:rFonts w:hint="default" w:ascii="Times New Roman" w:hAnsi="Times New Roman" w:eastAsia="宋体" w:cs="Times New Roman"/>
          <w:b/>
          <w:bCs/>
          <w:color w:val="FF0000"/>
          <w:kern w:val="2"/>
          <w:sz w:val="24"/>
          <w:szCs w:val="24"/>
          <w:shd w:val="clear" w:color="auto" w:fill="auto"/>
        </w:rPr>
        <w:sectPr>
          <w:pgSz w:w="16838" w:h="11906" w:orient="landscape"/>
          <w:pgMar w:top="1440" w:right="1080" w:bottom="1440" w:left="1080" w:header="851" w:footer="992" w:gutter="0"/>
          <w:pgBorders>
            <w:top w:val="none" w:sz="0" w:space="0"/>
            <w:left w:val="none" w:sz="0" w:space="0"/>
            <w:bottom w:val="none" w:sz="0" w:space="0"/>
            <w:right w:val="none" w:sz="0" w:space="0"/>
          </w:pgBorders>
          <w:cols w:space="720" w:num="1"/>
          <w:docGrid w:type="linesAndChars" w:linePitch="326" w:charSpace="0"/>
        </w:sectPr>
      </w:pPr>
      <w:r>
        <w:rPr>
          <w:rFonts w:hint="default" w:ascii="Times New Roman" w:hAnsi="Times New Roman" w:eastAsia="宋体" w:cs="Times New Roman"/>
          <w:b/>
          <w:bCs/>
          <w:color w:val="auto"/>
          <w:kern w:val="2"/>
          <w:sz w:val="24"/>
          <w:szCs w:val="24"/>
          <w:shd w:val="clear" w:color="auto" w:fill="auto"/>
        </w:rPr>
        <w:t>附图5项目四至照片</w:t>
      </w:r>
    </w:p>
    <w:p>
      <w:pPr>
        <w:spacing w:after="0" w:line="240" w:lineRule="auto"/>
        <w:jc w:val="center"/>
        <w:rPr>
          <w:rFonts w:hint="eastAsia" w:ascii="Times New Roman" w:hAnsi="Times New Roman" w:eastAsia="宋体" w:cs="Times New Roman"/>
          <w:b/>
          <w:color w:val="FF0000"/>
          <w:kern w:val="2"/>
          <w:sz w:val="24"/>
          <w:lang w:eastAsia="zh-CN"/>
        </w:rPr>
      </w:pPr>
      <w:r>
        <w:rPr>
          <w:rFonts w:hint="default" w:ascii="Times New Roman" w:hAnsi="Times New Roman" w:eastAsia="宋体" w:cs="Times New Roman"/>
          <w:b/>
          <w:color w:val="FF0000"/>
          <w:kern w:val="2"/>
          <w:sz w:val="24"/>
        </w:rPr>
        <w:pict>
          <v:rect id="_x0000_s2133" o:spid="_x0000_s2133" o:spt="1" style="position:absolute;left:0pt;margin-left:384.5pt;margin-top:44.3pt;height:27.9pt;width:33.25pt;z-index:251661312;mso-width-relative:page;mso-height-relative:page;" filled="f" stroked="f" coordsize="21600,21600">
            <v:path/>
            <v:fill on="f" focussize="0,0"/>
            <v:stroke on="f"/>
            <v:imagedata o:title=""/>
            <o:lock v:ext="edit"/>
            <v:textbox>
              <w:txbxContent>
                <w:p>
                  <w:pPr>
                    <w:rPr>
                      <w:b/>
                    </w:rPr>
                  </w:pPr>
                  <w:r>
                    <w:rPr>
                      <w:rFonts w:hint="eastAsia"/>
                      <w:b/>
                    </w:rPr>
                    <w:t>北</w:t>
                  </w:r>
                </w:p>
              </w:txbxContent>
            </v:textbox>
          </v:rect>
        </w:pict>
      </w:r>
      <w:r>
        <w:rPr>
          <w:rFonts w:hint="default" w:ascii="Times New Roman" w:hAnsi="Times New Roman" w:eastAsia="宋体" w:cs="Times New Roman"/>
          <w:b/>
          <w:color w:val="FF0000"/>
          <w:kern w:val="2"/>
          <w:sz w:val="24"/>
        </w:rPr>
        <w:pict>
          <v:shape id="_x0000_s2134" o:spid="_x0000_s2134" o:spt="68" type="#_x0000_t68" style="position:absolute;left:0pt;margin-left:412.75pt;margin-top:18.95pt;height:36.45pt;width:14pt;rotation:-8688324f;z-index:251660288;mso-width-relative:page;mso-height-relative:page;" filled="f" stroked="t" coordsize="21600,21600" adj="5400,5400">
            <v:path/>
            <v:fill on="f" focussize="0,0"/>
            <v:stroke color="#000000" joinstyle="miter"/>
            <v:imagedata o:title=""/>
            <o:lock v:ext="edit" aspectratio="f"/>
            <v:textbox style="layout-flow:vertical-ideographic;"/>
          </v:shape>
        </w:pict>
      </w:r>
      <w:r>
        <w:pict>
          <v:shape id="_x0000_s2258" o:spid="_x0000_s2258" o:spt="136" type="#_x0000_t136" style="position:absolute;left:0pt;margin-left:138.6pt;margin-top:426.4pt;height:21pt;width:33.4pt;z-index:278612992;mso-width-relative:page;mso-height-relative:page;" fillcolor="#000000" filled="t" stroked="t" coordsize="21600,21600" adj="10800">
            <v:path/>
            <v:fill on="t" color2="#FFFFFF" focussize="0,0"/>
            <v:stroke color="#000000"/>
            <v:imagedata o:title=""/>
            <o:lock v:ext="edit" aspectratio="f"/>
            <v:textpath on="t" fitshape="t" fitpath="t" trim="t" xscale="f" string="一般固废&#10;暂存区" style="font-family:宋体;font-size:18pt;v-text-align:center;"/>
          </v:shape>
        </w:pict>
      </w:r>
      <w:r>
        <w:pict>
          <v:shape id="艺术字 3083" o:spid="_x0000_s2257" o:spt="136" type="#_x0000_t136" style="position:absolute;left:0pt;margin-left:203.1pt;margin-top:429.5pt;height:27.35pt;width:24.75pt;z-index:278611968;mso-width-relative:page;mso-height-relative:page;" fillcolor="#000000" filled="t" stroked="t" coordsize="21600,21600" adj="10800">
            <v:path/>
            <v:fill on="t" color2="#FFFFFF" focussize="0,0"/>
            <v:stroke color="#000000"/>
            <v:imagedata o:title=""/>
            <o:lock v:ext="edit" aspectratio="f"/>
            <v:textpath on="t" fitshape="t" fitpath="t" trim="t" xscale="f" string="危险废&#10;物暂&#10;存区" style="font-family:宋体;font-size:18pt;v-text-align:center;"/>
          </v:shape>
        </w:pict>
      </w:r>
      <w:r>
        <w:pict>
          <v:shape id="_x0000_s2251" o:spid="_x0000_s2251" o:spt="61" type="#_x0000_t61" style="position:absolute;left:0pt;margin-left:360.25pt;margin-top:364.7pt;height:39pt;width:83.2pt;z-index:278609920;mso-width-relative:page;mso-height-relative:page;" filled="f" stroked="t" coordsize="21600,21600" adj="-9789,43782">
            <v:path/>
            <v:fill on="f" focussize="0,0"/>
            <v:stroke weight="1.75pt" color="#000000" joinstyle="miter" dashstyle="1 1"/>
            <v:imagedata o:title=""/>
            <o:lock v:ext="edit" aspectratio="f"/>
            <v:textbox>
              <w:txbxContent>
                <w:p>
                  <w:pPr>
                    <w:spacing w:line="240" w:lineRule="auto"/>
                  </w:pPr>
                  <w:r>
                    <w:rPr>
                      <w:rFonts w:hint="eastAsia" w:ascii="Times New Roman" w:hAnsi="Times New Roman" w:cs="Times New Roman"/>
                      <w:color w:val="auto"/>
                      <w:kern w:val="2"/>
                      <w:sz w:val="21"/>
                      <w:szCs w:val="21"/>
                      <w:shd w:val="clear" w:color="auto" w:fill="auto"/>
                      <w:lang w:val="en-US" w:eastAsia="zh-CN"/>
                    </w:rPr>
                    <w:t>G</w:t>
                  </w:r>
                  <w:r>
                    <w:rPr>
                      <w:rFonts w:hint="eastAsia" w:cs="Times New Roman"/>
                      <w:color w:val="auto"/>
                      <w:kern w:val="2"/>
                      <w:sz w:val="21"/>
                      <w:szCs w:val="21"/>
                      <w:shd w:val="clear" w:color="auto" w:fill="auto"/>
                      <w:lang w:val="en-US" w:eastAsia="zh-CN"/>
                    </w:rPr>
                    <w:t>3</w:t>
                  </w:r>
                  <w:r>
                    <w:rPr>
                      <w:rFonts w:hint="eastAsia"/>
                      <w:lang w:val="en-US" w:eastAsia="zh-CN"/>
                    </w:rPr>
                    <w:t>抛光粉尘</w:t>
                  </w:r>
                  <w:r>
                    <w:rPr>
                      <w:rFonts w:hint="eastAsia"/>
                    </w:rPr>
                    <w:t>排放口</w:t>
                  </w:r>
                </w:p>
              </w:txbxContent>
            </v:textbox>
          </v:shape>
        </w:pict>
      </w:r>
      <w:r>
        <w:pict>
          <v:shape id="_x0000_s2249" o:spid="_x0000_s2249" o:spt="61" type="#_x0000_t61" style="position:absolute;left:0pt;margin-left:355.25pt;margin-top:483.5pt;height:43.45pt;width:79pt;z-index:278609920;mso-width-relative:page;mso-height-relative:page;" filled="f" stroked="t" coordsize="21600,21600" adj="-9158,-2460">
            <v:path/>
            <v:fill on="f" focussize="0,0"/>
            <v:stroke weight="1.75pt" color="#000000" joinstyle="miter" dashstyle="1 1"/>
            <v:imagedata o:title=""/>
            <o:lock v:ext="edit" aspectratio="f"/>
            <v:textbox>
              <w:txbxContent>
                <w:p>
                  <w:pPr>
                    <w:spacing w:line="240" w:lineRule="auto"/>
                  </w:pPr>
                  <w:r>
                    <w:rPr>
                      <w:rFonts w:hint="eastAsia" w:ascii="Times New Roman" w:hAnsi="Times New Roman" w:cs="Times New Roman"/>
                      <w:color w:val="auto"/>
                      <w:kern w:val="2"/>
                      <w:sz w:val="21"/>
                      <w:szCs w:val="21"/>
                      <w:shd w:val="clear" w:color="auto" w:fill="auto"/>
                      <w:lang w:val="en-US" w:eastAsia="zh-CN"/>
                    </w:rPr>
                    <w:t>G1</w:t>
                  </w:r>
                  <w:r>
                    <w:rPr>
                      <w:rFonts w:hint="eastAsia"/>
                      <w:lang w:val="en-US" w:eastAsia="zh-CN"/>
                    </w:rPr>
                    <w:t>红冲废气</w:t>
                  </w:r>
                  <w:r>
                    <w:rPr>
                      <w:rFonts w:hint="eastAsia"/>
                    </w:rPr>
                    <w:t>排放口</w:t>
                  </w:r>
                </w:p>
              </w:txbxContent>
            </v:textbox>
          </v:shape>
        </w:pict>
      </w:r>
      <w:r>
        <w:pict>
          <v:shape id="_x0000_s2253" o:spid="_x0000_s2253" o:spt="61" type="#_x0000_t61" style="position:absolute;left:0pt;margin-left:321.7pt;margin-top:569.75pt;height:30.8pt;width:110pt;z-index:278609920;mso-width-relative:page;mso-height-relative:page;" filled="f" stroked="t" coordsize="21600,21600" adj="324,-40499">
            <v:path/>
            <v:fill on="f" focussize="0,0"/>
            <v:stroke weight="1.75pt" color="#000000" joinstyle="miter" dashstyle="1 1"/>
            <v:imagedata o:title=""/>
            <o:lock v:ext="edit" aspectratio="f"/>
            <v:textbox>
              <w:txbxContent>
                <w:p>
                  <w:r>
                    <w:rPr>
                      <w:rFonts w:hint="eastAsia" w:ascii="Times New Roman" w:hAnsi="Times New Roman" w:cs="Times New Roman"/>
                      <w:color w:val="auto"/>
                      <w:kern w:val="2"/>
                      <w:sz w:val="21"/>
                      <w:szCs w:val="21"/>
                      <w:shd w:val="clear" w:color="auto" w:fill="auto"/>
                      <w:lang w:val="en-US" w:eastAsia="zh-CN"/>
                    </w:rPr>
                    <w:t>G</w:t>
                  </w:r>
                  <w:r>
                    <w:rPr>
                      <w:rFonts w:hint="eastAsia" w:cs="Times New Roman"/>
                      <w:color w:val="auto"/>
                      <w:kern w:val="2"/>
                      <w:sz w:val="21"/>
                      <w:szCs w:val="21"/>
                      <w:shd w:val="clear" w:color="auto" w:fill="auto"/>
                      <w:lang w:val="en-US" w:eastAsia="zh-CN"/>
                    </w:rPr>
                    <w:t>2</w:t>
                  </w:r>
                  <w:r>
                    <w:rPr>
                      <w:rFonts w:hint="eastAsia"/>
                      <w:lang w:val="en-US" w:eastAsia="zh-CN"/>
                    </w:rPr>
                    <w:t>燃料废气</w:t>
                  </w:r>
                  <w:r>
                    <w:rPr>
                      <w:rFonts w:hint="eastAsia"/>
                    </w:rPr>
                    <w:t>排放口</w:t>
                  </w:r>
                </w:p>
              </w:txbxContent>
            </v:textbox>
          </v:shape>
        </w:pict>
      </w:r>
      <w:r>
        <w:pict>
          <v:shape id="_x0000_s2254" o:spid="_x0000_s2254" o:spt="3" type="#_x0000_t3" style="position:absolute;left:0pt;flip:x;margin-left:316.75pt;margin-top:504pt;height:5pt;width:5.05pt;z-index:278609920;mso-width-relative:page;mso-height-relative:page;" fillcolor="#FFFFFF" filled="t" stroked="t" coordsize="21600,21600">
            <v:path/>
            <v:fill on="t" color2="#FFFFFF" focussize="0,0"/>
            <v:stroke weight="2.25pt" color="#000000"/>
            <v:imagedata o:title=""/>
            <o:lock v:ext="edit" aspectratio="f"/>
          </v:shape>
        </w:pict>
      </w:r>
      <w:r>
        <w:pict>
          <v:shape id="椭圆 3221" o:spid="_x0000_s2250" o:spt="3" type="#_x0000_t3" style="position:absolute;left:0pt;flip:x;margin-left:316.45pt;margin-top:473.7pt;height:5.05pt;width:5pt;z-index:278609920;mso-width-relative:page;mso-height-relative:page;" fillcolor="#FFFFFF" filled="t" stroked="t" coordsize="21600,21600">
            <v:path/>
            <v:fill on="t" color2="#FFFFFF" focussize="0,0"/>
            <v:stroke weight="2.25pt" color="#000000"/>
            <v:imagedata o:title=""/>
            <o:lock v:ext="edit" aspectratio="f"/>
          </v:shape>
        </w:pict>
      </w:r>
      <w:r>
        <w:pict>
          <v:shape id="_x0000_s2252" o:spid="_x0000_s2252" o:spt="3" type="#_x0000_t3" style="position:absolute;left:0pt;flip:x;margin-left:315.75pt;margin-top:444.75pt;height:5pt;width:5pt;z-index:278609920;mso-width-relative:page;mso-height-relative:page;" fillcolor="#FFFFFF" filled="t" stroked="t" coordsize="21600,21600">
            <v:path/>
            <v:fill on="t" color2="#FFFFFF" focussize="0,0"/>
            <v:stroke weight="2.25pt" color="#000000"/>
            <v:imagedata o:title=""/>
            <o:lock v:ext="edit" aspectratio="f"/>
          </v:shape>
        </w:pict>
      </w:r>
      <w:r>
        <w:pict>
          <v:shape id="自选图形 3220" o:spid="_x0000_s2248" o:spt="61" type="#_x0000_t61" style="position:absolute;left:0pt;margin-left:347pt;margin-top:75.45pt;height:30pt;width:97.45pt;z-index:278609920;mso-width-relative:page;mso-height-relative:page;" filled="f" stroked="t" coordsize="21600,21600" adj="-7868,40536">
            <v:path/>
            <v:fill on="f" focussize="0,0"/>
            <v:stroke weight="1.75pt" color="#000000" joinstyle="miter" dashstyle="1 1"/>
            <v:imagedata o:title=""/>
            <o:lock v:ext="edit" aspectratio="f"/>
            <v:textbox>
              <w:txbxContent>
                <w:p>
                  <w:pPr>
                    <w:rPr>
                      <w:sz w:val="21"/>
                      <w:szCs w:val="21"/>
                    </w:rPr>
                  </w:pPr>
                  <w:r>
                    <w:rPr>
                      <w:rFonts w:hint="eastAsia"/>
                      <w:sz w:val="21"/>
                      <w:szCs w:val="21"/>
                      <w:lang w:val="en-US" w:eastAsia="zh-CN"/>
                    </w:rPr>
                    <w:t>生活污水</w:t>
                  </w:r>
                  <w:r>
                    <w:rPr>
                      <w:rFonts w:hint="eastAsia"/>
                      <w:sz w:val="21"/>
                      <w:szCs w:val="21"/>
                    </w:rPr>
                    <w:t>排放口</w:t>
                  </w:r>
                </w:p>
              </w:txbxContent>
            </v:textbox>
          </v:shape>
        </w:pict>
      </w:r>
      <w:r>
        <w:pict>
          <v:shape id="_x0000_s2255" o:spid="_x0000_s2255" o:spt="5" type="#_x0000_t5" style="position:absolute;left:0pt;margin-left:300.95pt;margin-top:129pt;height:5.95pt;width:5.95pt;z-index:278610944;mso-width-relative:page;mso-height-relative:page;" fillcolor="#FFFFFF" filled="t" stroked="t" coordsize="21600,21600" adj="10800">
            <v:path/>
            <v:fill on="t" color2="#FFFFFF" focussize="0,0"/>
            <v:stroke weight="0.5pt" color="#000000" joinstyle="miter" startarrow="block" endarrow="block"/>
            <v:imagedata o:title=""/>
            <o:lock v:ext="edit" aspectratio="f"/>
          </v:shape>
        </w:pict>
      </w:r>
      <w:r>
        <w:rPr>
          <w:rFonts w:hint="eastAsia" w:ascii="Times New Roman" w:hAnsi="Times New Roman" w:eastAsia="宋体" w:cs="Times New Roman"/>
          <w:b/>
          <w:color w:val="FF0000"/>
          <w:kern w:val="2"/>
          <w:sz w:val="24"/>
          <w:lang w:eastAsia="zh-CN"/>
        </w:rPr>
        <w:drawing>
          <wp:inline distT="0" distB="0" distL="114300" distR="114300">
            <wp:extent cx="5714365" cy="8081010"/>
            <wp:effectExtent l="0" t="0" r="635" b="15240"/>
            <wp:docPr id="5" name="图片 5" descr="平面图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平面图1F"/>
                    <pic:cNvPicPr>
                      <a:picLocks noChangeAspect="1"/>
                    </pic:cNvPicPr>
                  </pic:nvPicPr>
                  <pic:blipFill>
                    <a:blip r:embed="rId67"/>
                    <a:stretch>
                      <a:fillRect/>
                    </a:stretch>
                  </pic:blipFill>
                  <pic:spPr>
                    <a:xfrm>
                      <a:off x="0" y="0"/>
                      <a:ext cx="5714365" cy="8081010"/>
                    </a:xfrm>
                    <a:prstGeom prst="rect">
                      <a:avLst/>
                    </a:prstGeom>
                  </pic:spPr>
                </pic:pic>
              </a:graphicData>
            </a:graphic>
          </wp:inline>
        </w:drawing>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sectPr>
          <w:pgSz w:w="11906" w:h="16838"/>
          <w:pgMar w:top="1080" w:right="1440" w:bottom="1080" w:left="1440" w:header="851" w:footer="992" w:gutter="0"/>
          <w:pgBorders>
            <w:top w:val="none" w:sz="0" w:space="0"/>
            <w:left w:val="none" w:sz="0" w:space="0"/>
            <w:bottom w:val="none" w:sz="0" w:space="0"/>
            <w:right w:val="none" w:sz="0" w:space="0"/>
          </w:pgBorders>
          <w:cols w:space="720" w:num="1"/>
          <w:docGrid w:type="linesAndChars" w:linePitch="326" w:charSpace="0"/>
        </w:sectPr>
      </w:pPr>
      <w:r>
        <w:rPr>
          <w:rFonts w:hint="default" w:ascii="Times New Roman" w:hAnsi="Times New Roman" w:eastAsia="宋体" w:cs="Times New Roman"/>
          <w:b/>
          <w:bCs/>
          <w:color w:val="auto"/>
          <w:kern w:val="2"/>
          <w:sz w:val="24"/>
          <w:szCs w:val="24"/>
          <w:shd w:val="clear" w:color="auto" w:fill="auto"/>
        </w:rPr>
        <w:t>附图6项目平面布置图-1F</w:t>
      </w:r>
    </w:p>
    <w:p>
      <w:pPr>
        <w:spacing w:after="0" w:line="240" w:lineRule="auto"/>
        <w:jc w:val="center"/>
        <w:rPr>
          <w:rFonts w:hint="eastAsia" w:ascii="Times New Roman" w:hAnsi="Times New Roman" w:eastAsia="宋体" w:cs="Times New Roman"/>
          <w:b/>
          <w:color w:val="FF0000"/>
          <w:kern w:val="2"/>
          <w:sz w:val="24"/>
          <w:lang w:eastAsia="zh-CN"/>
        </w:rPr>
      </w:pPr>
      <w:r>
        <w:rPr>
          <w:rFonts w:hint="default" w:ascii="Times New Roman" w:hAnsi="Times New Roman" w:eastAsia="宋体" w:cs="Times New Roman"/>
          <w:b/>
          <w:color w:val="FF0000"/>
          <w:kern w:val="2"/>
          <w:sz w:val="24"/>
        </w:rPr>
        <w:pict>
          <v:rect id="_x0000_s2136" o:spid="_x0000_s2136" o:spt="1" style="position:absolute;left:0pt;margin-left:385.25pt;margin-top:41.3pt;height:27.9pt;width:33.25pt;z-index:251663360;mso-width-relative:page;mso-height-relative:page;" filled="f" stroked="f" coordsize="21600,21600">
            <v:path/>
            <v:fill on="f" focussize="0,0"/>
            <v:stroke on="f"/>
            <v:imagedata o:title=""/>
            <o:lock v:ext="edit"/>
            <v:textbox>
              <w:txbxContent>
                <w:p>
                  <w:pPr>
                    <w:rPr>
                      <w:b/>
                    </w:rPr>
                  </w:pPr>
                  <w:r>
                    <w:rPr>
                      <w:rFonts w:hint="eastAsia"/>
                      <w:b/>
                    </w:rPr>
                    <w:t>北</w:t>
                  </w:r>
                </w:p>
              </w:txbxContent>
            </v:textbox>
          </v:rect>
        </w:pict>
      </w:r>
      <w:r>
        <w:rPr>
          <w:rFonts w:hint="default" w:ascii="Times New Roman" w:hAnsi="Times New Roman" w:eastAsia="宋体" w:cs="Times New Roman"/>
          <w:b/>
          <w:color w:val="FF0000"/>
          <w:kern w:val="2"/>
          <w:sz w:val="24"/>
        </w:rPr>
        <w:pict>
          <v:shape id="_x0000_s2135" o:spid="_x0000_s2135" o:spt="68" type="#_x0000_t68" style="position:absolute;left:0pt;margin-left:415.75pt;margin-top:16.7pt;height:36.45pt;width:14pt;rotation:-8426179f;z-index:251662336;mso-width-relative:page;mso-height-relative:page;" filled="f" stroked="t" coordsize="21600,21600" adj="5400,5400">
            <v:path/>
            <v:fill on="f" focussize="0,0"/>
            <v:stroke color="#000000" joinstyle="miter"/>
            <v:imagedata o:title=""/>
            <o:lock v:ext="edit" aspectratio="f"/>
            <v:textbox style="layout-flow:vertical-ideographic;"/>
          </v:shape>
        </w:pict>
      </w:r>
      <w:r>
        <w:rPr>
          <w:rFonts w:hint="eastAsia" w:ascii="Times New Roman" w:hAnsi="Times New Roman" w:eastAsia="宋体" w:cs="Times New Roman"/>
          <w:b/>
          <w:color w:val="FF0000"/>
          <w:kern w:val="2"/>
          <w:sz w:val="24"/>
          <w:lang w:eastAsia="zh-CN"/>
        </w:rPr>
        <w:drawing>
          <wp:inline distT="0" distB="0" distL="114300" distR="114300">
            <wp:extent cx="5714365" cy="8081010"/>
            <wp:effectExtent l="0" t="0" r="635" b="15240"/>
            <wp:docPr id="8" name="图片 8" descr="平面图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平面图2F"/>
                    <pic:cNvPicPr>
                      <a:picLocks noChangeAspect="1"/>
                    </pic:cNvPicPr>
                  </pic:nvPicPr>
                  <pic:blipFill>
                    <a:blip r:embed="rId68"/>
                    <a:stretch>
                      <a:fillRect/>
                    </a:stretch>
                  </pic:blipFill>
                  <pic:spPr>
                    <a:xfrm>
                      <a:off x="0" y="0"/>
                      <a:ext cx="5714365" cy="8081010"/>
                    </a:xfrm>
                    <a:prstGeom prst="rect">
                      <a:avLst/>
                    </a:prstGeom>
                  </pic:spPr>
                </pic:pic>
              </a:graphicData>
            </a:graphic>
          </wp:inline>
        </w:drawing>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sectPr>
          <w:pgSz w:w="11906" w:h="16838"/>
          <w:pgMar w:top="1080" w:right="1440" w:bottom="1080" w:left="1440" w:header="851" w:footer="992" w:gutter="0"/>
          <w:pgBorders>
            <w:top w:val="none" w:sz="0" w:space="0"/>
            <w:left w:val="none" w:sz="0" w:space="0"/>
            <w:bottom w:val="none" w:sz="0" w:space="0"/>
            <w:right w:val="none" w:sz="0" w:space="0"/>
          </w:pgBorders>
          <w:cols w:space="720" w:num="1"/>
          <w:docGrid w:type="linesAndChars" w:linePitch="326" w:charSpace="0"/>
        </w:sectPr>
      </w:pPr>
      <w:r>
        <w:rPr>
          <w:rFonts w:hint="default" w:ascii="Times New Roman" w:hAnsi="Times New Roman" w:eastAsia="宋体" w:cs="Times New Roman"/>
          <w:b/>
          <w:bCs/>
          <w:color w:val="auto"/>
          <w:kern w:val="2"/>
          <w:sz w:val="24"/>
          <w:szCs w:val="24"/>
          <w:shd w:val="clear" w:color="auto" w:fill="auto"/>
        </w:rPr>
        <w:t>附图6项目平面布置图-2F</w:t>
      </w:r>
    </w:p>
    <w:p>
      <w:pPr>
        <w:widowControl/>
        <w:spacing w:before="93" w:after="93" w:line="240" w:lineRule="auto"/>
        <w:jc w:val="center"/>
        <w:outlineLvl w:val="0"/>
        <w:rPr>
          <w:rFonts w:hint="default" w:ascii="Times New Roman" w:hAnsi="Times New Roman" w:eastAsia="宋体" w:cs="Times New Roman"/>
          <w:b/>
          <w:bCs/>
          <w:color w:val="auto"/>
          <w:kern w:val="2"/>
          <w:sz w:val="24"/>
          <w:szCs w:val="24"/>
          <w:shd w:val="clear" w:color="auto" w:fill="auto"/>
        </w:rPr>
      </w:pPr>
      <w:r>
        <w:rPr>
          <w:rFonts w:hint="default" w:ascii="Times New Roman" w:hAnsi="Times New Roman" w:eastAsia="宋体" w:cs="Times New Roman"/>
          <w:b/>
          <w:color w:val="FF0000"/>
          <w:kern w:val="2"/>
          <w:sz w:val="24"/>
        </w:rPr>
        <w:drawing>
          <wp:inline distT="0" distB="0" distL="0" distR="0">
            <wp:extent cx="5731510" cy="8108950"/>
            <wp:effectExtent l="19050" t="19050" r="21590" b="2540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8108950"/>
                    </a:xfrm>
                    <a:prstGeom prst="rect">
                      <a:avLst/>
                    </a:prstGeom>
                    <a:ln w="19050">
                      <a:solidFill>
                        <a:schemeClr val="tx1"/>
                      </a:solidFill>
                    </a:ln>
                  </pic:spPr>
                </pic:pic>
              </a:graphicData>
            </a:graphic>
          </wp:inline>
        </w:drawing>
      </w:r>
      <w:r>
        <w:rPr>
          <w:rFonts w:hint="default" w:ascii="Times New Roman" w:hAnsi="Times New Roman" w:eastAsia="宋体" w:cs="Times New Roman"/>
          <w:b/>
          <w:bCs/>
          <w:color w:val="auto"/>
          <w:kern w:val="2"/>
          <w:sz w:val="24"/>
          <w:szCs w:val="24"/>
          <w:shd w:val="clear" w:color="auto" w:fill="auto"/>
        </w:rPr>
        <w:t>附图7开平市主体功能区划图</w:t>
      </w:r>
    </w:p>
    <w:p>
      <w:pPr>
        <w:widowControl/>
        <w:spacing w:before="93" w:after="93" w:line="240" w:lineRule="auto"/>
        <w:jc w:val="center"/>
        <w:outlineLvl w:val="0"/>
        <w:rPr>
          <w:rFonts w:hint="default" w:ascii="Times New Roman" w:hAnsi="Times New Roman" w:cs="Times New Roman"/>
          <w:b/>
          <w:color w:val="auto"/>
          <w:szCs w:val="24"/>
        </w:rPr>
        <w:sectPr>
          <w:pgSz w:w="11906" w:h="16838"/>
          <w:pgMar w:top="1080" w:right="1440" w:bottom="1080" w:left="1440" w:header="851" w:footer="992" w:gutter="0"/>
          <w:pgBorders>
            <w:top w:val="none" w:sz="0" w:space="0"/>
            <w:left w:val="none" w:sz="0" w:space="0"/>
            <w:bottom w:val="none" w:sz="0" w:space="0"/>
            <w:right w:val="none" w:sz="0" w:space="0"/>
          </w:pgBorders>
          <w:cols w:space="720" w:num="1"/>
          <w:docGrid w:type="linesAndChars" w:linePitch="326" w:charSpace="0"/>
        </w:sectPr>
      </w:pPr>
    </w:p>
    <w:p>
      <w:pPr>
        <w:spacing w:after="0" w:line="240" w:lineRule="auto"/>
        <w:jc w:val="center"/>
        <w:rPr>
          <w:rFonts w:hint="default" w:ascii="Times New Roman" w:hAnsi="Times New Roman" w:eastAsia="宋体" w:cs="Times New Roman"/>
          <w:b/>
          <w:color w:val="FF0000"/>
          <w:kern w:val="2"/>
          <w:sz w:val="24"/>
        </w:rPr>
      </w:pPr>
      <w:r>
        <w:rPr>
          <w:rFonts w:hint="default" w:ascii="Times New Roman" w:hAnsi="Times New Roman" w:eastAsia="宋体" w:cs="Times New Roman"/>
          <w:b/>
          <w:color w:val="FF0000"/>
          <w:kern w:val="2"/>
          <w:sz w:val="24"/>
        </w:rPr>
        <w:drawing>
          <wp:inline distT="0" distB="0" distL="0" distR="0">
            <wp:extent cx="5731510" cy="8108950"/>
            <wp:effectExtent l="19050" t="19050" r="21590" b="2540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8108950"/>
                    </a:xfrm>
                    <a:prstGeom prst="rect">
                      <a:avLst/>
                    </a:prstGeom>
                    <a:ln w="19050">
                      <a:solidFill>
                        <a:schemeClr val="tx1"/>
                      </a:solidFill>
                    </a:ln>
                  </pic:spPr>
                </pic:pic>
              </a:graphicData>
            </a:graphic>
          </wp:inline>
        </w:drawing>
      </w:r>
    </w:p>
    <w:p>
      <w:pPr>
        <w:widowControl/>
        <w:spacing w:before="93" w:after="93" w:line="240" w:lineRule="auto"/>
        <w:jc w:val="center"/>
        <w:outlineLvl w:val="0"/>
        <w:rPr>
          <w:rFonts w:hint="default" w:ascii="Times New Roman" w:hAnsi="Times New Roman" w:eastAsia="宋体" w:cs="Times New Roman"/>
          <w:b/>
          <w:color w:val="auto"/>
          <w:kern w:val="2"/>
          <w:sz w:val="24"/>
        </w:rPr>
      </w:pPr>
      <w:r>
        <w:rPr>
          <w:rFonts w:hint="default" w:ascii="Times New Roman" w:hAnsi="Times New Roman" w:eastAsia="宋体" w:cs="Times New Roman"/>
          <w:b/>
          <w:color w:val="auto"/>
          <w:kern w:val="2"/>
          <w:sz w:val="24"/>
        </w:rPr>
        <w:t>附图8项目位置与饮用水源</w:t>
      </w:r>
      <w:r>
        <w:rPr>
          <w:rFonts w:hint="default" w:ascii="Times New Roman" w:hAnsi="Times New Roman" w:eastAsia="宋体" w:cs="Times New Roman"/>
          <w:b/>
          <w:bCs/>
          <w:color w:val="auto"/>
          <w:kern w:val="2"/>
          <w:sz w:val="24"/>
          <w:szCs w:val="24"/>
          <w:shd w:val="clear" w:color="auto" w:fill="auto"/>
        </w:rPr>
        <w:t>保护区</w:t>
      </w:r>
      <w:r>
        <w:rPr>
          <w:rFonts w:hint="default" w:ascii="Times New Roman" w:hAnsi="Times New Roman" w:eastAsia="宋体" w:cs="Times New Roman"/>
          <w:b/>
          <w:color w:val="auto"/>
          <w:kern w:val="2"/>
          <w:sz w:val="24"/>
        </w:rPr>
        <w:t>位置关系图</w:t>
      </w:r>
    </w:p>
    <w:p>
      <w:pPr>
        <w:pStyle w:val="2"/>
        <w:rPr>
          <w:rFonts w:hint="default" w:ascii="Times New Roman" w:hAnsi="Times New Roman" w:cs="Times New Roman"/>
          <w:color w:val="auto"/>
        </w:rPr>
        <w:sectPr>
          <w:pgSz w:w="11906" w:h="16838"/>
          <w:pgMar w:top="1080" w:right="1440" w:bottom="1080" w:left="1440" w:header="851" w:footer="992" w:gutter="0"/>
          <w:pgBorders>
            <w:top w:val="none" w:sz="0" w:space="0"/>
            <w:left w:val="none" w:sz="0" w:space="0"/>
            <w:bottom w:val="none" w:sz="0" w:space="0"/>
            <w:right w:val="none" w:sz="0" w:space="0"/>
          </w:pgBorders>
          <w:cols w:space="720" w:num="1"/>
          <w:docGrid w:type="linesAndChars" w:linePitch="326" w:charSpace="0"/>
        </w:sectPr>
      </w:pPr>
    </w:p>
    <w:p>
      <w:pPr>
        <w:spacing w:after="0" w:line="240" w:lineRule="auto"/>
        <w:jc w:val="center"/>
        <w:rPr>
          <w:rFonts w:hint="default" w:ascii="Times New Roman" w:hAnsi="Times New Roman" w:eastAsia="宋体" w:cs="Times New Roman"/>
          <w:b/>
          <w:color w:val="FF0000"/>
          <w:kern w:val="2"/>
          <w:sz w:val="24"/>
        </w:rPr>
      </w:pPr>
      <w:r>
        <w:rPr>
          <w:rFonts w:hint="default" w:ascii="Times New Roman" w:hAnsi="Times New Roman" w:eastAsia="宋体" w:cs="Times New Roman"/>
          <w:b/>
          <w:color w:val="FF0000"/>
          <w:kern w:val="2"/>
          <w:sz w:val="24"/>
        </w:rPr>
        <w:drawing>
          <wp:inline distT="0" distB="0" distL="0" distR="0">
            <wp:extent cx="5553075" cy="7856855"/>
            <wp:effectExtent l="19050" t="19050" r="9525"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55582" cy="7860900"/>
                    </a:xfrm>
                    <a:prstGeom prst="rect">
                      <a:avLst/>
                    </a:prstGeom>
                    <a:ln w="19050">
                      <a:solidFill>
                        <a:schemeClr val="tx1"/>
                      </a:solidFill>
                    </a:ln>
                  </pic:spPr>
                </pic:pic>
              </a:graphicData>
            </a:graphic>
          </wp:inline>
        </w:drawing>
      </w:r>
    </w:p>
    <w:p>
      <w:pPr>
        <w:widowControl/>
        <w:spacing w:before="93" w:after="93" w:line="240" w:lineRule="auto"/>
        <w:jc w:val="center"/>
        <w:outlineLvl w:val="0"/>
        <w:rPr>
          <w:rFonts w:hint="default" w:ascii="Times New Roman" w:hAnsi="Times New Roman" w:eastAsia="宋体" w:cs="Times New Roman"/>
          <w:b/>
          <w:color w:val="auto"/>
          <w:kern w:val="2"/>
          <w:sz w:val="24"/>
        </w:rPr>
        <w:sectPr>
          <w:pgSz w:w="11906" w:h="16838"/>
          <w:pgMar w:top="1080" w:right="1440" w:bottom="1080" w:left="1440" w:header="851" w:footer="992" w:gutter="0"/>
          <w:pgBorders>
            <w:top w:val="none" w:sz="0" w:space="0"/>
            <w:left w:val="none" w:sz="0" w:space="0"/>
            <w:bottom w:val="none" w:sz="0" w:space="0"/>
            <w:right w:val="none" w:sz="0" w:space="0"/>
          </w:pgBorders>
          <w:cols w:space="720" w:num="1"/>
          <w:docGrid w:type="linesAndChars" w:linePitch="326" w:charSpace="0"/>
        </w:sectPr>
      </w:pPr>
      <w:r>
        <w:rPr>
          <w:rFonts w:hint="default" w:ascii="Times New Roman" w:hAnsi="Times New Roman" w:eastAsia="宋体" w:cs="Times New Roman"/>
          <w:b/>
          <w:color w:val="auto"/>
          <w:kern w:val="2"/>
          <w:sz w:val="24"/>
        </w:rPr>
        <w:t>附图9项目所在地大气环境功能区划图</w:t>
      </w:r>
    </w:p>
    <w:p>
      <w:pPr>
        <w:jc w:val="center"/>
        <w:rPr>
          <w:rFonts w:hint="default" w:ascii="Times New Roman" w:hAnsi="Times New Roman" w:cs="Times New Roman"/>
          <w:b/>
          <w:color w:val="FF0000"/>
          <w:szCs w:val="24"/>
        </w:rPr>
      </w:pPr>
      <w:r>
        <w:rPr>
          <w:rFonts w:hint="default" w:ascii="Times New Roman" w:hAnsi="Times New Roman" w:cs="Times New Roman"/>
          <w:b/>
          <w:color w:val="FF0000"/>
          <w:szCs w:val="24"/>
        </w:rPr>
        <w:drawing>
          <wp:inline distT="0" distB="0" distL="0" distR="0">
            <wp:extent cx="7412355" cy="5238750"/>
            <wp:effectExtent l="19050" t="19050" r="17145" b="190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414036" cy="5239881"/>
                    </a:xfrm>
                    <a:prstGeom prst="rect">
                      <a:avLst/>
                    </a:prstGeom>
                    <a:ln w="19050">
                      <a:solidFill>
                        <a:schemeClr val="tx1"/>
                      </a:solidFill>
                    </a:ln>
                  </pic:spPr>
                </pic:pic>
              </a:graphicData>
            </a:graphic>
          </wp:inline>
        </w:drawing>
      </w:r>
    </w:p>
    <w:p>
      <w:pPr>
        <w:widowControl/>
        <w:spacing w:before="93" w:after="93" w:line="240" w:lineRule="auto"/>
        <w:jc w:val="center"/>
        <w:outlineLvl w:val="0"/>
        <w:rPr>
          <w:rFonts w:hint="default" w:ascii="Times New Roman" w:hAnsi="Times New Roman" w:eastAsia="宋体" w:cs="Times New Roman"/>
          <w:b/>
          <w:color w:val="auto"/>
          <w:kern w:val="2"/>
          <w:sz w:val="24"/>
        </w:rPr>
        <w:sectPr>
          <w:footerReference r:id="rId14" w:type="default"/>
          <w:pgSz w:w="16838" w:h="11906" w:orient="landscape"/>
          <w:pgMar w:top="1080" w:right="1440" w:bottom="1080" w:left="1440" w:header="851" w:footer="992" w:gutter="0"/>
          <w:pgBorders>
            <w:top w:val="none" w:sz="0" w:space="0"/>
            <w:left w:val="none" w:sz="0" w:space="0"/>
            <w:bottom w:val="none" w:sz="0" w:space="0"/>
            <w:right w:val="none" w:sz="0" w:space="0"/>
          </w:pgBorders>
          <w:cols w:space="720" w:num="1"/>
          <w:titlePg/>
          <w:docGrid w:type="linesAndChars" w:linePitch="326" w:charSpace="0"/>
        </w:sectPr>
      </w:pPr>
      <w:r>
        <w:rPr>
          <w:rFonts w:hint="default" w:ascii="Times New Roman" w:hAnsi="Times New Roman" w:eastAsia="宋体" w:cs="Times New Roman"/>
          <w:b/>
          <w:color w:val="auto"/>
          <w:kern w:val="2"/>
          <w:sz w:val="24"/>
        </w:rPr>
        <w:t>附图10项目所在地土地利用规划图</w:t>
      </w:r>
    </w:p>
    <w:p>
      <w:pPr>
        <w:widowControl/>
        <w:spacing w:before="93" w:after="93" w:line="240" w:lineRule="auto"/>
        <w:jc w:val="left"/>
        <w:outlineLvl w:val="0"/>
        <w:rPr>
          <w:rFonts w:hint="default" w:ascii="Times New Roman" w:hAnsi="Times New Roman" w:eastAsia="宋体" w:cs="Times New Roman"/>
          <w:b/>
          <w:color w:val="auto"/>
          <w:kern w:val="2"/>
          <w:sz w:val="21"/>
          <w:szCs w:val="21"/>
          <w:shd w:val="clear" w:color="auto" w:fill="auto"/>
        </w:rPr>
      </w:pPr>
      <w:r>
        <w:rPr>
          <w:rFonts w:hint="default" w:ascii="Times New Roman" w:hAnsi="Times New Roman" w:eastAsia="宋体" w:cs="Times New Roman"/>
          <w:b/>
          <w:color w:val="auto"/>
          <w:kern w:val="2"/>
          <w:sz w:val="21"/>
          <w:szCs w:val="21"/>
          <w:shd w:val="clear" w:color="auto" w:fill="auto"/>
        </w:rPr>
        <w:t>附表1</w:t>
      </w:r>
      <w:r>
        <w:rPr>
          <w:rFonts w:hint="eastAsia" w:ascii="Times New Roman" w:hAnsi="Times New Roman" w:eastAsia="宋体" w:cs="Times New Roman"/>
          <w:b/>
          <w:color w:val="auto"/>
          <w:kern w:val="2"/>
          <w:sz w:val="21"/>
          <w:szCs w:val="21"/>
          <w:shd w:val="clear" w:color="auto" w:fill="auto"/>
          <w:lang w:val="en-US" w:eastAsia="zh-CN"/>
        </w:rPr>
        <w:t xml:space="preserve"> </w:t>
      </w:r>
      <w:r>
        <w:rPr>
          <w:rFonts w:hint="default" w:ascii="Times New Roman" w:hAnsi="Times New Roman" w:eastAsia="宋体" w:cs="Times New Roman"/>
          <w:b/>
          <w:color w:val="auto"/>
          <w:kern w:val="2"/>
          <w:sz w:val="21"/>
          <w:szCs w:val="21"/>
          <w:shd w:val="clear" w:color="auto" w:fill="auto"/>
        </w:rPr>
        <w:t>建设项目大气环境影响评价自查表</w:t>
      </w:r>
    </w:p>
    <w:tbl>
      <w:tblPr>
        <w:tblStyle w:val="43"/>
        <w:tblW w:w="9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3"/>
        <w:gridCol w:w="2025"/>
        <w:gridCol w:w="865"/>
        <w:gridCol w:w="328"/>
        <w:gridCol w:w="607"/>
        <w:gridCol w:w="286"/>
        <w:gridCol w:w="77"/>
        <w:gridCol w:w="101"/>
        <w:gridCol w:w="1232"/>
        <w:gridCol w:w="812"/>
        <w:gridCol w:w="92"/>
        <w:gridCol w:w="67"/>
        <w:gridCol w:w="557"/>
        <w:gridCol w:w="92"/>
        <w:gridCol w:w="270"/>
        <w:gridCol w:w="514"/>
        <w:gridCol w:w="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3208" w:type="dxa"/>
            <w:gridSpan w:val="2"/>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shd w:val="clear" w:color="auto" w:fill="auto"/>
              </w:rPr>
            </w:pPr>
            <w:r>
              <w:rPr>
                <w:rFonts w:ascii="Times New Roman" w:hAnsi="Times New Roman" w:eastAsia="宋体" w:cs="Times New Roman"/>
                <w:color w:val="auto"/>
                <w:kern w:val="2"/>
                <w:sz w:val="21"/>
                <w:szCs w:val="21"/>
                <w:highlight w:val="none"/>
                <w:shd w:val="clear" w:color="auto" w:fill="auto"/>
              </w:rPr>
              <w:t>工作内容</w:t>
            </w:r>
          </w:p>
        </w:tc>
        <w:tc>
          <w:tcPr>
            <w:tcW w:w="6537" w:type="dxa"/>
            <w:gridSpan w:val="1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shd w:val="clear" w:color="auto" w:fill="auto"/>
              </w:rPr>
            </w:pPr>
            <w:r>
              <w:rPr>
                <w:rFonts w:ascii="Times New Roman" w:hAnsi="Times New Roman" w:eastAsia="宋体" w:cs="Times New Roman"/>
                <w:color w:val="auto"/>
                <w:kern w:val="2"/>
                <w:sz w:val="21"/>
                <w:szCs w:val="21"/>
                <w:highlight w:val="none"/>
                <w:shd w:val="clear" w:color="auto" w:fill="auto"/>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183" w:type="dxa"/>
            <w:vMerge w:val="restart"/>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评价等级与范围</w:t>
            </w: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评价等级</w:t>
            </w:r>
          </w:p>
        </w:tc>
        <w:tc>
          <w:tcPr>
            <w:tcW w:w="208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一级</w:t>
            </w:r>
            <w:r>
              <w:rPr>
                <w:rFonts w:ascii="Times New Roman" w:hAnsi="Times New Roman" w:eastAsia="宋体" w:cs="Times New Roman"/>
                <w:color w:val="auto"/>
                <w:kern w:val="0"/>
                <w:sz w:val="21"/>
                <w:szCs w:val="21"/>
                <w:highlight w:val="none"/>
              </w:rPr>
              <w:sym w:font="Wingdings 2" w:char="00A3"/>
            </w:r>
          </w:p>
        </w:tc>
        <w:tc>
          <w:tcPr>
            <w:tcW w:w="2381"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二级</w:t>
            </w:r>
            <w:r>
              <w:rPr>
                <w:rFonts w:ascii="Times New Roman" w:hAnsi="Times New Roman" w:eastAsia="宋体" w:cs="Times New Roman"/>
                <w:color w:val="auto"/>
                <w:kern w:val="0"/>
                <w:sz w:val="21"/>
                <w:szCs w:val="21"/>
                <w:highlight w:val="none"/>
              </w:rPr>
              <w:sym w:font="Wingdings 2" w:char="0052"/>
            </w:r>
          </w:p>
        </w:tc>
        <w:tc>
          <w:tcPr>
            <w:tcW w:w="2070"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三级</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评价范围</w:t>
            </w:r>
          </w:p>
        </w:tc>
        <w:tc>
          <w:tcPr>
            <w:tcW w:w="208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边长=50km</w:t>
            </w:r>
            <w:r>
              <w:rPr>
                <w:rFonts w:ascii="Times New Roman" w:hAnsi="Times New Roman" w:eastAsia="宋体" w:cs="Times New Roman"/>
                <w:color w:val="auto"/>
                <w:kern w:val="0"/>
                <w:sz w:val="21"/>
                <w:szCs w:val="21"/>
                <w:highlight w:val="none"/>
              </w:rPr>
              <w:sym w:font="Wingdings 2" w:char="00A3"/>
            </w:r>
          </w:p>
        </w:tc>
        <w:tc>
          <w:tcPr>
            <w:tcW w:w="2381"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边长5~50km</w:t>
            </w:r>
            <w:r>
              <w:rPr>
                <w:rFonts w:ascii="Times New Roman" w:hAnsi="Times New Roman" w:eastAsia="宋体" w:cs="Times New Roman"/>
                <w:color w:val="auto"/>
                <w:kern w:val="0"/>
                <w:sz w:val="21"/>
                <w:szCs w:val="21"/>
                <w:highlight w:val="none"/>
              </w:rPr>
              <w:sym w:font="Wingdings 2" w:char="00A3"/>
            </w:r>
          </w:p>
        </w:tc>
        <w:tc>
          <w:tcPr>
            <w:tcW w:w="2070"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边长=5km</w:t>
            </w:r>
            <w:r>
              <w:rPr>
                <w:rFonts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83" w:type="dxa"/>
            <w:vMerge w:val="restart"/>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评价因子</w:t>
            </w: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SO</w:t>
            </w:r>
            <w:r>
              <w:rPr>
                <w:rFonts w:ascii="Times New Roman" w:hAnsi="Times New Roman" w:eastAsia="宋体" w:cs="Times New Roman"/>
                <w:color w:val="auto"/>
                <w:kern w:val="2"/>
                <w:sz w:val="21"/>
                <w:szCs w:val="21"/>
                <w:highlight w:val="none"/>
                <w:vertAlign w:val="subscript"/>
              </w:rPr>
              <w:t>2</w:t>
            </w:r>
            <w:r>
              <w:rPr>
                <w:rFonts w:ascii="Times New Roman" w:hAnsi="Times New Roman" w:eastAsia="宋体" w:cs="Times New Roman"/>
                <w:color w:val="auto"/>
                <w:kern w:val="2"/>
                <w:sz w:val="21"/>
                <w:szCs w:val="21"/>
                <w:highlight w:val="none"/>
              </w:rPr>
              <w:t>+NO</w:t>
            </w:r>
            <w:r>
              <w:rPr>
                <w:rFonts w:ascii="Times New Roman" w:hAnsi="Times New Roman" w:eastAsia="宋体" w:cs="Times New Roman"/>
                <w:color w:val="auto"/>
                <w:kern w:val="2"/>
                <w:sz w:val="21"/>
                <w:szCs w:val="21"/>
                <w:highlight w:val="none"/>
                <w:vertAlign w:val="subscript"/>
              </w:rPr>
              <w:t>x</w:t>
            </w:r>
            <w:r>
              <w:rPr>
                <w:rFonts w:ascii="Times New Roman" w:hAnsi="Times New Roman" w:eastAsia="宋体" w:cs="Times New Roman"/>
                <w:color w:val="auto"/>
                <w:kern w:val="2"/>
                <w:sz w:val="21"/>
                <w:szCs w:val="21"/>
                <w:highlight w:val="none"/>
              </w:rPr>
              <w:t>排放量</w:t>
            </w:r>
          </w:p>
        </w:tc>
        <w:tc>
          <w:tcPr>
            <w:tcW w:w="208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≥2000t/a</w:t>
            </w:r>
            <w:r>
              <w:rPr>
                <w:rFonts w:ascii="Times New Roman" w:hAnsi="Times New Roman" w:eastAsia="宋体" w:cs="Times New Roman"/>
                <w:color w:val="auto"/>
                <w:kern w:val="0"/>
                <w:sz w:val="21"/>
                <w:szCs w:val="21"/>
                <w:highlight w:val="none"/>
              </w:rPr>
              <w:sym w:font="Wingdings 2" w:char="00A3"/>
            </w:r>
          </w:p>
        </w:tc>
        <w:tc>
          <w:tcPr>
            <w:tcW w:w="2381"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500~2000t/a</w:t>
            </w:r>
            <w:r>
              <w:rPr>
                <w:rFonts w:ascii="Times New Roman" w:hAnsi="Times New Roman" w:eastAsia="宋体" w:cs="Times New Roman"/>
                <w:color w:val="auto"/>
                <w:kern w:val="0"/>
                <w:sz w:val="21"/>
                <w:szCs w:val="21"/>
                <w:highlight w:val="none"/>
              </w:rPr>
              <w:sym w:font="Wingdings 2" w:char="00A3"/>
            </w:r>
          </w:p>
        </w:tc>
        <w:tc>
          <w:tcPr>
            <w:tcW w:w="2070"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&lt;500t/a</w:t>
            </w:r>
            <w:r>
              <w:rPr>
                <w:rFonts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FF0000"/>
                <w:kern w:val="2"/>
                <w:sz w:val="21"/>
                <w:szCs w:val="21"/>
                <w:highlight w:val="none"/>
              </w:rPr>
            </w:pP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评价因子</w:t>
            </w:r>
          </w:p>
        </w:tc>
        <w:tc>
          <w:tcPr>
            <w:tcW w:w="4467" w:type="dxa"/>
            <w:gridSpan w:val="10"/>
            <w:tcBorders>
              <w:tl2br w:val="nil"/>
              <w:tr2bl w:val="nil"/>
            </w:tcBorders>
            <w:tcMar>
              <w:top w:w="0" w:type="dxa"/>
              <w:left w:w="85" w:type="dxa"/>
              <w:bottom w:w="0" w:type="dxa"/>
              <w:right w:w="85" w:type="dxa"/>
            </w:tcMar>
            <w:vAlign w:val="center"/>
          </w:tcPr>
          <w:p>
            <w:pPr>
              <w:widowControl w:val="0"/>
              <w:spacing w:after="0" w:line="240" w:lineRule="auto"/>
              <w:jc w:val="left"/>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基本污染物（</w:t>
            </w:r>
            <w:r>
              <w:rPr>
                <w:rFonts w:ascii="Times New Roman" w:hAnsi="Times New Roman" w:eastAsia="Times New Roman" w:cs="Times New Roman"/>
                <w:color w:val="auto"/>
                <w:kern w:val="2"/>
                <w:sz w:val="21"/>
                <w:szCs w:val="24"/>
                <w:highlight w:val="none"/>
              </w:rPr>
              <w:t>SO</w:t>
            </w:r>
            <w:r>
              <w:rPr>
                <w:rFonts w:ascii="Times New Roman" w:hAnsi="Times New Roman" w:eastAsia="Times New Roman" w:cs="Times New Roman"/>
                <w:color w:val="auto"/>
                <w:kern w:val="2"/>
                <w:sz w:val="21"/>
                <w:szCs w:val="24"/>
                <w:highlight w:val="none"/>
                <w:vertAlign w:val="subscript"/>
              </w:rPr>
              <w:t>2</w:t>
            </w:r>
            <w:r>
              <w:rPr>
                <w:rFonts w:ascii="Times New Roman" w:hAnsi="Times New Roman" w:eastAsia="宋体" w:cs="Times New Roman"/>
                <w:color w:val="auto"/>
                <w:kern w:val="2"/>
                <w:sz w:val="21"/>
                <w:szCs w:val="21"/>
                <w:highlight w:val="none"/>
              </w:rPr>
              <w:t>、</w:t>
            </w:r>
            <w:r>
              <w:rPr>
                <w:rFonts w:ascii="Times New Roman" w:hAnsi="Times New Roman" w:eastAsia="Times New Roman" w:cs="Times New Roman"/>
                <w:color w:val="auto"/>
                <w:kern w:val="2"/>
                <w:sz w:val="21"/>
                <w:szCs w:val="24"/>
                <w:highlight w:val="none"/>
              </w:rPr>
              <w:t>NO</w:t>
            </w:r>
            <w:r>
              <w:rPr>
                <w:rFonts w:ascii="Times New Roman" w:hAnsi="Times New Roman" w:eastAsia="Times New Roman" w:cs="Times New Roman"/>
                <w:color w:val="auto"/>
                <w:kern w:val="2"/>
                <w:sz w:val="21"/>
                <w:szCs w:val="24"/>
                <w:highlight w:val="none"/>
                <w:vertAlign w:val="subscript"/>
              </w:rPr>
              <w:t>2</w:t>
            </w: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rPr>
              <w:t>PM</w:t>
            </w:r>
            <w:r>
              <w:rPr>
                <w:rFonts w:hint="eastAsia" w:ascii="Times New Roman" w:hAnsi="Times New Roman" w:eastAsia="宋体" w:cs="Times New Roman"/>
                <w:color w:val="auto"/>
                <w:kern w:val="2"/>
                <w:sz w:val="21"/>
                <w:szCs w:val="21"/>
                <w:highlight w:val="none"/>
                <w:vertAlign w:val="subscript"/>
              </w:rPr>
              <w:t>10</w:t>
            </w:r>
            <w:r>
              <w:rPr>
                <w:rFonts w:ascii="Times New Roman" w:hAnsi="Times New Roman" w:eastAsia="宋体" w:cs="Times New Roman"/>
                <w:color w:val="auto"/>
                <w:kern w:val="2"/>
                <w:sz w:val="21"/>
                <w:szCs w:val="21"/>
                <w:highlight w:val="none"/>
              </w:rPr>
              <w:t>）</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其他污染物（</w:t>
            </w:r>
            <w:r>
              <w:rPr>
                <w:rFonts w:hint="eastAsia" w:ascii="Times New Roman" w:hAnsi="Times New Roman" w:eastAsia="宋体" w:cs="Times New Roman"/>
                <w:color w:val="auto"/>
                <w:kern w:val="2"/>
                <w:sz w:val="21"/>
                <w:szCs w:val="21"/>
                <w:highlight w:val="none"/>
              </w:rPr>
              <w:t>TSP、</w:t>
            </w:r>
            <w:r>
              <w:rPr>
                <w:rFonts w:ascii="Times New Roman" w:hAnsi="Times New Roman" w:eastAsia="宋体" w:cs="Times New Roman"/>
                <w:color w:val="auto"/>
                <w:kern w:val="2"/>
                <w:sz w:val="21"/>
                <w:szCs w:val="21"/>
                <w:highlight w:val="none"/>
              </w:rPr>
              <w:t>非甲烷总烃）</w:t>
            </w:r>
          </w:p>
        </w:tc>
        <w:tc>
          <w:tcPr>
            <w:tcW w:w="2070"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包括二次PM</w:t>
            </w:r>
            <w:r>
              <w:rPr>
                <w:rFonts w:ascii="Times New Roman" w:hAnsi="Times New Roman" w:eastAsia="宋体" w:cs="Times New Roman"/>
                <w:color w:val="auto"/>
                <w:kern w:val="2"/>
                <w:sz w:val="21"/>
                <w:szCs w:val="21"/>
                <w:highlight w:val="none"/>
                <w:vertAlign w:val="subscript"/>
              </w:rPr>
              <w:t>2.5</w:t>
            </w:r>
            <w:r>
              <w:rPr>
                <w:rFonts w:ascii="Times New Roman" w:hAnsi="Times New Roman" w:eastAsia="宋体" w:cs="Times New Roman"/>
                <w:color w:val="auto"/>
                <w:kern w:val="0"/>
                <w:sz w:val="21"/>
                <w:szCs w:val="21"/>
                <w:highlight w:val="none"/>
              </w:rPr>
              <w:sym w:font="Wingdings 2" w:char="00A3"/>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不包括二次PM</w:t>
            </w:r>
            <w:r>
              <w:rPr>
                <w:rFonts w:ascii="Times New Roman" w:hAnsi="Times New Roman" w:eastAsia="宋体" w:cs="Times New Roman"/>
                <w:color w:val="auto"/>
                <w:kern w:val="2"/>
                <w:sz w:val="21"/>
                <w:szCs w:val="21"/>
                <w:highlight w:val="none"/>
                <w:vertAlign w:val="subscript"/>
              </w:rPr>
              <w:t>2.5</w:t>
            </w:r>
            <w:r>
              <w:rPr>
                <w:rFonts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183"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评价标准</w:t>
            </w: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评价标准</w:t>
            </w:r>
          </w:p>
        </w:tc>
        <w:tc>
          <w:tcPr>
            <w:tcW w:w="1800"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国家标准</w:t>
            </w:r>
            <w:r>
              <w:rPr>
                <w:rFonts w:ascii="Times New Roman" w:hAnsi="Times New Roman" w:eastAsia="宋体" w:cs="Times New Roman"/>
                <w:color w:val="auto"/>
                <w:kern w:val="0"/>
                <w:sz w:val="21"/>
                <w:szCs w:val="21"/>
                <w:highlight w:val="none"/>
              </w:rPr>
              <w:sym w:font="Wingdings 2" w:char="0052"/>
            </w:r>
          </w:p>
        </w:tc>
        <w:tc>
          <w:tcPr>
            <w:tcW w:w="169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地方标准</w:t>
            </w:r>
            <w:r>
              <w:rPr>
                <w:rFonts w:ascii="Times New Roman" w:hAnsi="Times New Roman" w:eastAsia="宋体" w:cs="Times New Roman"/>
                <w:color w:val="auto"/>
                <w:kern w:val="0"/>
                <w:sz w:val="21"/>
                <w:szCs w:val="21"/>
                <w:highlight w:val="none"/>
              </w:rPr>
              <w:sym w:font="Wingdings 2" w:char="00A3"/>
            </w:r>
          </w:p>
        </w:tc>
        <w:tc>
          <w:tcPr>
            <w:tcW w:w="1620"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附录D</w:t>
            </w:r>
            <w:r>
              <w:rPr>
                <w:rFonts w:ascii="Times New Roman" w:hAnsi="Times New Roman" w:eastAsia="宋体" w:cs="Times New Roman"/>
                <w:color w:val="auto"/>
                <w:kern w:val="0"/>
                <w:sz w:val="21"/>
                <w:szCs w:val="21"/>
                <w:highlight w:val="none"/>
              </w:rPr>
              <w:sym w:font="Wingdings 2" w:char="00A3"/>
            </w:r>
          </w:p>
        </w:tc>
        <w:tc>
          <w:tcPr>
            <w:tcW w:w="1421"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其他标准</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183" w:type="dxa"/>
            <w:vMerge w:val="restart"/>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现状评价</w:t>
            </w: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环境功能区</w:t>
            </w:r>
          </w:p>
        </w:tc>
        <w:tc>
          <w:tcPr>
            <w:tcW w:w="2163"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一类区</w:t>
            </w:r>
            <w:r>
              <w:rPr>
                <w:rFonts w:ascii="Times New Roman" w:hAnsi="Times New Roman" w:eastAsia="宋体" w:cs="Times New Roman"/>
                <w:color w:val="auto"/>
                <w:kern w:val="0"/>
                <w:sz w:val="21"/>
                <w:szCs w:val="21"/>
                <w:highlight w:val="none"/>
              </w:rPr>
              <w:sym w:font="Wingdings 2" w:char="00A3"/>
            </w:r>
          </w:p>
        </w:tc>
        <w:tc>
          <w:tcPr>
            <w:tcW w:w="2145"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二类区</w:t>
            </w:r>
            <w:r>
              <w:rPr>
                <w:rFonts w:ascii="Times New Roman" w:hAnsi="Times New Roman" w:eastAsia="宋体" w:cs="Times New Roman"/>
                <w:color w:val="auto"/>
                <w:kern w:val="0"/>
                <w:sz w:val="21"/>
                <w:szCs w:val="21"/>
                <w:highlight w:val="none"/>
              </w:rPr>
              <w:sym w:font="Wingdings 2" w:char="0052"/>
            </w:r>
          </w:p>
        </w:tc>
        <w:tc>
          <w:tcPr>
            <w:tcW w:w="2229"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一类区和二类区</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评价基准年</w:t>
            </w:r>
          </w:p>
        </w:tc>
        <w:tc>
          <w:tcPr>
            <w:tcW w:w="6537" w:type="dxa"/>
            <w:gridSpan w:val="1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环境空气质量现状调查数据来源</w:t>
            </w:r>
          </w:p>
        </w:tc>
        <w:tc>
          <w:tcPr>
            <w:tcW w:w="2163"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长期例行监测数据</w:t>
            </w:r>
            <w:r>
              <w:rPr>
                <w:rFonts w:ascii="Times New Roman" w:hAnsi="Times New Roman" w:eastAsia="宋体" w:cs="Times New Roman"/>
                <w:color w:val="auto"/>
                <w:kern w:val="0"/>
                <w:sz w:val="21"/>
                <w:szCs w:val="21"/>
                <w:highlight w:val="none"/>
              </w:rPr>
              <w:sym w:font="Wingdings 2" w:char="00A3"/>
            </w:r>
          </w:p>
        </w:tc>
        <w:tc>
          <w:tcPr>
            <w:tcW w:w="2145"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主管部门发布的数据</w:t>
            </w:r>
            <w:r>
              <w:rPr>
                <w:rFonts w:ascii="Times New Roman" w:hAnsi="Times New Roman" w:eastAsia="宋体" w:cs="Times New Roman"/>
                <w:color w:val="auto"/>
                <w:kern w:val="0"/>
                <w:sz w:val="21"/>
                <w:szCs w:val="21"/>
                <w:highlight w:val="none"/>
              </w:rPr>
              <w:sym w:font="Wingdings 2" w:char="0052"/>
            </w:r>
          </w:p>
        </w:tc>
        <w:tc>
          <w:tcPr>
            <w:tcW w:w="2229"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现状补充监测</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现状评价</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达标区</w:t>
            </w:r>
            <w:r>
              <w:rPr>
                <w:rFonts w:ascii="Times New Roman" w:hAnsi="Times New Roman" w:eastAsia="宋体" w:cs="Times New Roman"/>
                <w:color w:val="auto"/>
                <w:kern w:val="0"/>
                <w:sz w:val="21"/>
                <w:szCs w:val="21"/>
                <w:highlight w:val="none"/>
              </w:rPr>
              <w:sym w:font="Wingdings 2" w:char="00A3"/>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不达标区</w:t>
            </w:r>
            <w:r>
              <w:rPr>
                <w:rFonts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1183"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污染源调查</w:t>
            </w:r>
          </w:p>
        </w:tc>
        <w:tc>
          <w:tcPr>
            <w:tcW w:w="202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调查内容</w:t>
            </w:r>
          </w:p>
        </w:tc>
        <w:tc>
          <w:tcPr>
            <w:tcW w:w="208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2"/>
                <w:sz w:val="21"/>
                <w:szCs w:val="21"/>
                <w:highlight w:val="none"/>
              </w:rPr>
              <w:t>本项目正常排放源</w:t>
            </w:r>
            <w:r>
              <w:rPr>
                <w:rFonts w:ascii="Times New Roman" w:hAnsi="Times New Roman" w:eastAsia="宋体" w:cs="Times New Roman"/>
                <w:color w:val="auto"/>
                <w:kern w:val="0"/>
                <w:sz w:val="21"/>
                <w:szCs w:val="21"/>
                <w:highlight w:val="none"/>
              </w:rPr>
              <w:sym w:font="Wingdings 2" w:char="0052"/>
            </w:r>
          </w:p>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本项项目非正常排放源</w:t>
            </w:r>
            <w:r>
              <w:rPr>
                <w:rFonts w:ascii="Times New Roman" w:hAnsi="Times New Roman" w:eastAsia="宋体" w:cs="Times New Roman"/>
                <w:color w:val="auto"/>
                <w:kern w:val="0"/>
                <w:sz w:val="21"/>
                <w:szCs w:val="21"/>
                <w:highlight w:val="none"/>
              </w:rPr>
              <w:sym w:font="Wingdings 2" w:char="00A3"/>
            </w:r>
            <w:r>
              <w:rPr>
                <w:rFonts w:ascii="Times New Roman" w:hAnsi="Times New Roman" w:eastAsia="宋体" w:cs="Times New Roman"/>
                <w:color w:val="auto"/>
                <w:kern w:val="0"/>
                <w:sz w:val="21"/>
                <w:szCs w:val="21"/>
                <w:highlight w:val="none"/>
              </w:rPr>
              <w:t>现有污染源</w:t>
            </w:r>
            <w:r>
              <w:rPr>
                <w:rFonts w:ascii="Times New Roman" w:hAnsi="Times New Roman" w:eastAsia="宋体" w:cs="Times New Roman"/>
                <w:color w:val="auto"/>
                <w:kern w:val="0"/>
                <w:sz w:val="21"/>
                <w:szCs w:val="21"/>
                <w:highlight w:val="none"/>
              </w:rPr>
              <w:sym w:font="Wingdings 2" w:char="00A3"/>
            </w:r>
          </w:p>
        </w:tc>
        <w:tc>
          <w:tcPr>
            <w:tcW w:w="1410"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拟替代的污染源</w:t>
            </w:r>
            <w:r>
              <w:rPr>
                <w:rFonts w:ascii="Times New Roman" w:hAnsi="Times New Roman" w:eastAsia="宋体" w:cs="Times New Roman"/>
                <w:color w:val="auto"/>
                <w:kern w:val="0"/>
                <w:sz w:val="21"/>
                <w:szCs w:val="21"/>
                <w:highlight w:val="none"/>
              </w:rPr>
              <w:sym w:font="Wingdings 2" w:char="00A3"/>
            </w:r>
          </w:p>
        </w:tc>
        <w:tc>
          <w:tcPr>
            <w:tcW w:w="1620" w:type="dxa"/>
            <w:gridSpan w:val="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其他在建、拟建项目污染源</w:t>
            </w:r>
            <w:r>
              <w:rPr>
                <w:rFonts w:ascii="Times New Roman" w:hAnsi="Times New Roman" w:eastAsia="宋体" w:cs="Times New Roman"/>
                <w:color w:val="auto"/>
                <w:kern w:val="0"/>
                <w:sz w:val="21"/>
                <w:szCs w:val="21"/>
                <w:highlight w:val="none"/>
              </w:rPr>
              <w:sym w:font="Wingdings 2" w:char="00A3"/>
            </w:r>
          </w:p>
        </w:tc>
        <w:tc>
          <w:tcPr>
            <w:tcW w:w="1421"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区域污染源</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183" w:type="dxa"/>
            <w:vMerge w:val="restart"/>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大气环境影响预测与评价（不适用）</w:t>
            </w: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预测模型</w:t>
            </w:r>
          </w:p>
        </w:tc>
        <w:tc>
          <w:tcPr>
            <w:tcW w:w="1193" w:type="dxa"/>
            <w:gridSpan w:val="2"/>
            <w:tcBorders>
              <w:tl2br w:val="nil"/>
              <w:tr2bl w:val="nil"/>
            </w:tcBorders>
            <w:tcMar>
              <w:top w:w="0" w:type="dxa"/>
              <w:left w:w="0" w:type="dxa"/>
              <w:bottom w:w="0" w:type="dxa"/>
              <w:right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AERMOD</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0"/>
                <w:sz w:val="21"/>
                <w:szCs w:val="21"/>
                <w:highlight w:val="none"/>
              </w:rPr>
              <w:sym w:font="Wingdings 2" w:char="00A3"/>
            </w:r>
          </w:p>
        </w:tc>
        <w:tc>
          <w:tcPr>
            <w:tcW w:w="893" w:type="dxa"/>
            <w:gridSpan w:val="2"/>
            <w:tcBorders>
              <w:tl2br w:val="nil"/>
              <w:tr2bl w:val="nil"/>
            </w:tcBorders>
            <w:tcMar>
              <w:top w:w="0" w:type="dxa"/>
              <w:bottom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ADMS</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0"/>
                <w:sz w:val="21"/>
                <w:szCs w:val="21"/>
                <w:highlight w:val="none"/>
              </w:rPr>
              <w:sym w:font="Wingdings 2" w:char="00A3"/>
            </w:r>
          </w:p>
        </w:tc>
        <w:tc>
          <w:tcPr>
            <w:tcW w:w="1410" w:type="dxa"/>
            <w:gridSpan w:val="3"/>
            <w:tcBorders>
              <w:tl2br w:val="nil"/>
              <w:tr2bl w:val="nil"/>
            </w:tcBorders>
            <w:tcMar>
              <w:top w:w="0" w:type="dxa"/>
              <w:bottom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AUSTAL2000</w:t>
            </w:r>
            <w:r>
              <w:rPr>
                <w:rFonts w:ascii="Times New Roman" w:hAnsi="Times New Roman" w:eastAsia="宋体" w:cs="Times New Roman"/>
                <w:color w:val="auto"/>
                <w:kern w:val="0"/>
                <w:sz w:val="21"/>
                <w:szCs w:val="21"/>
                <w:highlight w:val="none"/>
              </w:rPr>
              <w:sym w:font="Wingdings 2" w:char="00A3"/>
            </w:r>
          </w:p>
        </w:tc>
        <w:tc>
          <w:tcPr>
            <w:tcW w:w="812" w:type="dxa"/>
            <w:tcBorders>
              <w:tl2br w:val="nil"/>
              <w:tr2bl w:val="nil"/>
            </w:tcBorders>
            <w:tcMar>
              <w:top w:w="0" w:type="dxa"/>
              <w:bottom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EDMS/AEDT</w:t>
            </w:r>
            <w:r>
              <w:rPr>
                <w:rFonts w:ascii="Times New Roman" w:hAnsi="Times New Roman" w:eastAsia="宋体" w:cs="Times New Roman"/>
                <w:color w:val="auto"/>
                <w:kern w:val="0"/>
                <w:sz w:val="21"/>
                <w:szCs w:val="21"/>
                <w:highlight w:val="none"/>
              </w:rPr>
              <w:sym w:font="Wingdings 2" w:char="00A3"/>
            </w:r>
          </w:p>
        </w:tc>
        <w:tc>
          <w:tcPr>
            <w:tcW w:w="808" w:type="dxa"/>
            <w:gridSpan w:val="4"/>
            <w:tcBorders>
              <w:tl2br w:val="nil"/>
              <w:tr2bl w:val="nil"/>
            </w:tcBorders>
            <w:tcMar>
              <w:top w:w="0" w:type="dxa"/>
              <w:bottom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CALPUFF</w:t>
            </w:r>
            <w:r>
              <w:rPr>
                <w:rFonts w:ascii="Times New Roman" w:hAnsi="Times New Roman" w:eastAsia="宋体" w:cs="Times New Roman"/>
                <w:color w:val="auto"/>
                <w:kern w:val="0"/>
                <w:sz w:val="21"/>
                <w:szCs w:val="21"/>
                <w:highlight w:val="none"/>
              </w:rPr>
              <w:sym w:font="Wingdings 2" w:char="00A3"/>
            </w:r>
          </w:p>
        </w:tc>
        <w:tc>
          <w:tcPr>
            <w:tcW w:w="784" w:type="dxa"/>
            <w:gridSpan w:val="2"/>
            <w:tcBorders>
              <w:tl2br w:val="nil"/>
              <w:tr2bl w:val="nil"/>
            </w:tcBorders>
            <w:tcMar>
              <w:top w:w="0" w:type="dxa"/>
              <w:bottom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网格模型</w:t>
            </w:r>
            <w:r>
              <w:rPr>
                <w:rFonts w:ascii="Times New Roman" w:hAnsi="Times New Roman" w:eastAsia="宋体" w:cs="Times New Roman"/>
                <w:color w:val="auto"/>
                <w:kern w:val="0"/>
                <w:sz w:val="21"/>
                <w:szCs w:val="21"/>
                <w:highlight w:val="none"/>
              </w:rPr>
              <w:sym w:font="Wingdings 2" w:char="00A3"/>
            </w:r>
          </w:p>
        </w:tc>
        <w:tc>
          <w:tcPr>
            <w:tcW w:w="637" w:type="dxa"/>
            <w:tcBorders>
              <w:tl2br w:val="nil"/>
              <w:tr2bl w:val="nil"/>
            </w:tcBorders>
            <w:tcMar>
              <w:top w:w="0" w:type="dxa"/>
              <w:bottom w:w="0"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其他</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预测范围</w:t>
            </w:r>
          </w:p>
        </w:tc>
        <w:tc>
          <w:tcPr>
            <w:tcW w:w="208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0"/>
                <w:sz w:val="21"/>
                <w:szCs w:val="21"/>
                <w:highlight w:val="none"/>
              </w:rPr>
              <w:t>边长</w:t>
            </w:r>
            <w:r>
              <w:rPr>
                <w:rFonts w:ascii="Times New Roman" w:hAnsi="Times New Roman" w:eastAsia="宋体" w:cs="Times New Roman"/>
                <w:color w:val="auto"/>
                <w:kern w:val="2"/>
                <w:sz w:val="21"/>
                <w:szCs w:val="21"/>
                <w:highlight w:val="none"/>
              </w:rPr>
              <w:t>≥50km</w:t>
            </w:r>
            <w:r>
              <w:rPr>
                <w:rFonts w:ascii="Times New Roman" w:hAnsi="Times New Roman" w:eastAsia="宋体" w:cs="Times New Roman"/>
                <w:color w:val="auto"/>
                <w:kern w:val="0"/>
                <w:sz w:val="21"/>
                <w:szCs w:val="21"/>
                <w:highlight w:val="none"/>
              </w:rPr>
              <w:sym w:font="Wingdings 2" w:char="00A3"/>
            </w:r>
          </w:p>
        </w:tc>
        <w:tc>
          <w:tcPr>
            <w:tcW w:w="3030"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2"/>
                <w:sz w:val="21"/>
                <w:szCs w:val="21"/>
                <w:highlight w:val="none"/>
              </w:rPr>
              <w:t>边长5~50km</w:t>
            </w:r>
            <w:r>
              <w:rPr>
                <w:rFonts w:ascii="Times New Roman" w:hAnsi="Times New Roman" w:eastAsia="宋体" w:cs="Times New Roman"/>
                <w:color w:val="auto"/>
                <w:kern w:val="0"/>
                <w:sz w:val="21"/>
                <w:szCs w:val="21"/>
                <w:highlight w:val="none"/>
              </w:rPr>
              <w:sym w:font="Wingdings 2" w:char="00A3"/>
            </w:r>
          </w:p>
        </w:tc>
        <w:tc>
          <w:tcPr>
            <w:tcW w:w="1421"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2"/>
                <w:sz w:val="21"/>
                <w:szCs w:val="21"/>
                <w:highlight w:val="none"/>
              </w:rPr>
              <w:t>边长=5km</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预测因子</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预测因子（                  ）</w:t>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包括二次PM</w:t>
            </w:r>
            <w:r>
              <w:rPr>
                <w:rFonts w:ascii="Times New Roman" w:hAnsi="Times New Roman" w:eastAsia="宋体" w:cs="Times New Roman"/>
                <w:color w:val="auto"/>
                <w:kern w:val="2"/>
                <w:sz w:val="21"/>
                <w:szCs w:val="21"/>
                <w:highlight w:val="none"/>
                <w:vertAlign w:val="subscript"/>
              </w:rPr>
              <w:t>2.5</w:t>
            </w:r>
            <w:r>
              <w:rPr>
                <w:rFonts w:ascii="Times New Roman" w:hAnsi="Times New Roman" w:eastAsia="宋体" w:cs="Times New Roman"/>
                <w:color w:val="auto"/>
                <w:kern w:val="0"/>
                <w:sz w:val="21"/>
                <w:szCs w:val="21"/>
                <w:highlight w:val="none"/>
              </w:rPr>
              <w:sym w:font="Wingdings 2" w:char="00A3"/>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不包括二次PM</w:t>
            </w:r>
            <w:r>
              <w:rPr>
                <w:rFonts w:ascii="Times New Roman" w:hAnsi="Times New Roman" w:eastAsia="宋体" w:cs="Times New Roman"/>
                <w:color w:val="auto"/>
                <w:kern w:val="2"/>
                <w:sz w:val="21"/>
                <w:szCs w:val="21"/>
                <w:highlight w:val="none"/>
                <w:vertAlign w:val="subscript"/>
              </w:rPr>
              <w:t>2.5</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正常排放短期浓度贡献值</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本项目</w:t>
            </w:r>
            <w:r>
              <w:rPr>
                <w:rFonts w:ascii="Times New Roman" w:hAnsi="Times New Roman" w:eastAsia="宋体" w:cs="Times New Roman"/>
                <w:color w:val="auto"/>
                <w:kern w:val="2"/>
                <w:sz w:val="21"/>
                <w:szCs w:val="21"/>
                <w:highlight w:val="none"/>
              </w:rPr>
              <w:t>最大占标率≤100%</w:t>
            </w:r>
            <w:r>
              <w:rPr>
                <w:rFonts w:ascii="Times New Roman" w:hAnsi="Times New Roman" w:eastAsia="宋体" w:cs="Times New Roman"/>
                <w:color w:val="auto"/>
                <w:kern w:val="0"/>
                <w:sz w:val="21"/>
                <w:szCs w:val="21"/>
                <w:highlight w:val="none"/>
              </w:rPr>
              <w:sym w:font="Wingdings 2" w:char="00A3"/>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本项目</w:t>
            </w:r>
            <w:r>
              <w:rPr>
                <w:rFonts w:ascii="Times New Roman" w:hAnsi="Times New Roman" w:eastAsia="宋体" w:cs="Times New Roman"/>
                <w:color w:val="auto"/>
                <w:kern w:val="2"/>
                <w:sz w:val="21"/>
                <w:szCs w:val="21"/>
                <w:highlight w:val="none"/>
              </w:rPr>
              <w:t>最大占标率&gt;100%</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vMerge w:val="restart"/>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正常排放年均浓度贡献值</w:t>
            </w:r>
          </w:p>
        </w:tc>
        <w:tc>
          <w:tcPr>
            <w:tcW w:w="86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一类区</w:t>
            </w:r>
          </w:p>
        </w:tc>
        <w:tc>
          <w:tcPr>
            <w:tcW w:w="2631"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本项目</w:t>
            </w:r>
            <w:r>
              <w:rPr>
                <w:rFonts w:ascii="Times New Roman" w:hAnsi="Times New Roman" w:eastAsia="宋体" w:cs="Times New Roman"/>
                <w:color w:val="auto"/>
                <w:kern w:val="2"/>
                <w:sz w:val="21"/>
                <w:szCs w:val="21"/>
                <w:highlight w:val="none"/>
              </w:rPr>
              <w:t>最大占标率≤10%</w:t>
            </w:r>
            <w:r>
              <w:rPr>
                <w:rFonts w:ascii="Times New Roman" w:hAnsi="Times New Roman" w:eastAsia="宋体" w:cs="Times New Roman"/>
                <w:color w:val="auto"/>
                <w:kern w:val="0"/>
                <w:sz w:val="21"/>
                <w:szCs w:val="21"/>
                <w:highlight w:val="none"/>
              </w:rPr>
              <w:sym w:font="Wingdings 2" w:char="00A3"/>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本项目</w:t>
            </w:r>
            <w:r>
              <w:rPr>
                <w:rFonts w:ascii="Times New Roman" w:hAnsi="Times New Roman" w:eastAsia="宋体" w:cs="Times New Roman"/>
                <w:color w:val="auto"/>
                <w:kern w:val="2"/>
                <w:sz w:val="21"/>
                <w:szCs w:val="21"/>
                <w:highlight w:val="none"/>
              </w:rPr>
              <w:t>最大占标率&gt;10%</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vMerge w:val="continue"/>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865" w:type="dxa"/>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二类区</w:t>
            </w:r>
          </w:p>
        </w:tc>
        <w:tc>
          <w:tcPr>
            <w:tcW w:w="2631"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本项目</w:t>
            </w:r>
            <w:r>
              <w:rPr>
                <w:rFonts w:ascii="Times New Roman" w:hAnsi="Times New Roman" w:eastAsia="宋体" w:cs="Times New Roman"/>
                <w:color w:val="auto"/>
                <w:kern w:val="2"/>
                <w:sz w:val="21"/>
                <w:szCs w:val="21"/>
                <w:highlight w:val="none"/>
              </w:rPr>
              <w:t>最大占标率≤30%</w:t>
            </w:r>
            <w:r>
              <w:rPr>
                <w:rFonts w:ascii="Times New Roman" w:hAnsi="Times New Roman" w:eastAsia="宋体" w:cs="Times New Roman"/>
                <w:color w:val="auto"/>
                <w:kern w:val="0"/>
                <w:sz w:val="21"/>
                <w:szCs w:val="21"/>
                <w:highlight w:val="none"/>
              </w:rPr>
              <w:sym w:font="Wingdings 2" w:char="00A3"/>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本项目</w:t>
            </w:r>
            <w:r>
              <w:rPr>
                <w:rFonts w:ascii="Times New Roman" w:hAnsi="Times New Roman" w:eastAsia="宋体" w:cs="Times New Roman"/>
                <w:color w:val="auto"/>
                <w:kern w:val="2"/>
                <w:sz w:val="21"/>
                <w:szCs w:val="21"/>
                <w:highlight w:val="none"/>
              </w:rPr>
              <w:t>最大占标率&gt;30%</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非正常排放1h浓度贡献值</w:t>
            </w:r>
          </w:p>
        </w:tc>
        <w:tc>
          <w:tcPr>
            <w:tcW w:w="2264"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非正常持续时长（   ）h</w:t>
            </w:r>
          </w:p>
        </w:tc>
        <w:tc>
          <w:tcPr>
            <w:tcW w:w="2136"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非正常</w:t>
            </w:r>
            <w:r>
              <w:rPr>
                <w:rFonts w:ascii="Times New Roman" w:hAnsi="Times New Roman" w:eastAsia="宋体" w:cs="Times New Roman"/>
                <w:color w:val="auto"/>
                <w:kern w:val="2"/>
                <w:sz w:val="21"/>
                <w:szCs w:val="21"/>
                <w:highlight w:val="none"/>
              </w:rPr>
              <w:t>占标率≤100%</w:t>
            </w:r>
            <w:r>
              <w:rPr>
                <w:rFonts w:ascii="Times New Roman" w:hAnsi="Times New Roman" w:eastAsia="宋体" w:cs="Times New Roman"/>
                <w:color w:val="auto"/>
                <w:kern w:val="0"/>
                <w:sz w:val="21"/>
                <w:szCs w:val="21"/>
                <w:highlight w:val="none"/>
              </w:rPr>
              <w:sym w:font="Wingdings 2" w:char="00A3"/>
            </w:r>
          </w:p>
        </w:tc>
        <w:tc>
          <w:tcPr>
            <w:tcW w:w="2137"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非正常</w:t>
            </w:r>
            <w:r>
              <w:rPr>
                <w:rFonts w:ascii="Times New Roman" w:hAnsi="Times New Roman" w:eastAsia="宋体" w:cs="Times New Roman"/>
                <w:color w:val="auto"/>
                <w:kern w:val="2"/>
                <w:sz w:val="21"/>
                <w:szCs w:val="21"/>
                <w:highlight w:val="none"/>
              </w:rPr>
              <w:t>占标率&gt;100%</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保证率日平均浓度和年平均浓度叠加值</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叠加</w:t>
            </w:r>
            <w:r>
              <w:rPr>
                <w:rFonts w:ascii="Times New Roman" w:hAnsi="Times New Roman" w:eastAsia="宋体" w:cs="Times New Roman"/>
                <w:color w:val="auto"/>
                <w:kern w:val="2"/>
                <w:sz w:val="21"/>
                <w:szCs w:val="21"/>
                <w:highlight w:val="none"/>
              </w:rPr>
              <w:t>达标</w:t>
            </w:r>
            <w:r>
              <w:rPr>
                <w:rFonts w:ascii="Times New Roman" w:hAnsi="Times New Roman" w:eastAsia="宋体" w:cs="Times New Roman"/>
                <w:color w:val="auto"/>
                <w:kern w:val="0"/>
                <w:sz w:val="21"/>
                <w:szCs w:val="21"/>
                <w:highlight w:val="none"/>
              </w:rPr>
              <w:sym w:font="Wingdings 2" w:char="00A3"/>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C</w:t>
            </w:r>
            <w:r>
              <w:rPr>
                <w:rFonts w:ascii="Times New Roman" w:hAnsi="Times New Roman" w:eastAsia="宋体" w:cs="Times New Roman"/>
                <w:color w:val="auto"/>
                <w:kern w:val="2"/>
                <w:sz w:val="21"/>
                <w:szCs w:val="21"/>
                <w:highlight w:val="none"/>
                <w:vertAlign w:val="subscript"/>
              </w:rPr>
              <w:t>叠加</w:t>
            </w:r>
            <w:r>
              <w:rPr>
                <w:rFonts w:ascii="Times New Roman" w:hAnsi="Times New Roman" w:eastAsia="宋体" w:cs="Times New Roman"/>
                <w:color w:val="auto"/>
                <w:kern w:val="2"/>
                <w:sz w:val="21"/>
                <w:szCs w:val="21"/>
                <w:highlight w:val="none"/>
              </w:rPr>
              <w:t>不达标</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区域环境质量的整体变化情况</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k≤ -20%</w:t>
            </w:r>
            <w:r>
              <w:rPr>
                <w:rFonts w:ascii="Times New Roman" w:hAnsi="Times New Roman" w:eastAsia="宋体" w:cs="Times New Roman"/>
                <w:color w:val="auto"/>
                <w:kern w:val="0"/>
                <w:sz w:val="21"/>
                <w:szCs w:val="21"/>
                <w:highlight w:val="none"/>
              </w:rPr>
              <w:sym w:font="Wingdings 2" w:char="00A3"/>
            </w:r>
          </w:p>
        </w:tc>
        <w:tc>
          <w:tcPr>
            <w:tcW w:w="3041" w:type="dxa"/>
            <w:gridSpan w:val="8"/>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K&gt; -20%</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183" w:type="dxa"/>
            <w:vMerge w:val="restart"/>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环境监测计划</w:t>
            </w: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污染源监测</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监测因子：（非甲烷总烃</w:t>
            </w:r>
            <w:r>
              <w:rPr>
                <w:rFonts w:hint="eastAsia" w:ascii="Times New Roman" w:hAnsi="Times New Roman" w:eastAsia="宋体" w:cs="Times New Roman"/>
                <w:color w:val="auto"/>
                <w:kern w:val="2"/>
                <w:sz w:val="21"/>
                <w:szCs w:val="21"/>
                <w:highlight w:val="none"/>
              </w:rPr>
              <w:t>、</w:t>
            </w:r>
            <w:r>
              <w:rPr>
                <w:rFonts w:ascii="Times New Roman" w:hAnsi="Times New Roman" w:eastAsia="宋体" w:cs="Times New Roman"/>
                <w:color w:val="auto"/>
                <w:kern w:val="2"/>
                <w:sz w:val="21"/>
                <w:szCs w:val="21"/>
                <w:highlight w:val="none"/>
              </w:rPr>
              <w:t>SO</w:t>
            </w:r>
            <w:r>
              <w:rPr>
                <w:rFonts w:ascii="Times New Roman" w:hAnsi="Times New Roman" w:eastAsia="宋体" w:cs="Times New Roman"/>
                <w:color w:val="auto"/>
                <w:kern w:val="2"/>
                <w:sz w:val="21"/>
                <w:szCs w:val="21"/>
                <w:highlight w:val="none"/>
                <w:vertAlign w:val="subscript"/>
              </w:rPr>
              <w:t>2</w:t>
            </w:r>
            <w:r>
              <w:rPr>
                <w:rFonts w:ascii="Times New Roman" w:hAnsi="宋体" w:eastAsia="宋体" w:cs="Times New Roman"/>
                <w:color w:val="auto"/>
                <w:kern w:val="2"/>
                <w:sz w:val="21"/>
                <w:szCs w:val="21"/>
                <w:highlight w:val="none"/>
              </w:rPr>
              <w:t>、</w:t>
            </w:r>
            <w:r>
              <w:rPr>
                <w:rFonts w:ascii="Times New Roman" w:hAnsi="Times New Roman" w:eastAsia="宋体" w:cs="Times New Roman"/>
                <w:color w:val="auto"/>
                <w:kern w:val="2"/>
                <w:sz w:val="21"/>
                <w:szCs w:val="21"/>
                <w:highlight w:val="none"/>
              </w:rPr>
              <w:t>NOx</w:t>
            </w:r>
            <w:r>
              <w:rPr>
                <w:rFonts w:hint="eastAsia" w:ascii="Times New Roman" w:hAnsi="Times New Roman" w:eastAsia="宋体" w:cs="Times New Roman"/>
                <w:color w:val="auto"/>
                <w:kern w:val="2"/>
                <w:sz w:val="21"/>
                <w:szCs w:val="21"/>
                <w:highlight w:val="none"/>
              </w:rPr>
              <w:t>、TSP、</w:t>
            </w:r>
            <w:r>
              <w:rPr>
                <w:rFonts w:hint="eastAsia" w:ascii="Times New Roman" w:hAnsi="Times New Roman" w:eastAsia="宋体" w:cs="Times New Roman"/>
                <w:color w:val="auto"/>
                <w:kern w:val="24"/>
                <w:sz w:val="21"/>
                <w:szCs w:val="21"/>
                <w:highlight w:val="none"/>
              </w:rPr>
              <w:t>PM</w:t>
            </w:r>
            <w:r>
              <w:rPr>
                <w:rFonts w:hint="eastAsia" w:ascii="Times New Roman" w:hAnsi="Times New Roman" w:eastAsia="宋体" w:cs="Times New Roman"/>
                <w:color w:val="auto"/>
                <w:kern w:val="24"/>
                <w:sz w:val="21"/>
                <w:szCs w:val="21"/>
                <w:highlight w:val="none"/>
                <w:vertAlign w:val="subscript"/>
              </w:rPr>
              <w:t>10</w:t>
            </w:r>
            <w:r>
              <w:rPr>
                <w:rFonts w:ascii="Times New Roman" w:hAnsi="Times New Roman" w:eastAsia="宋体" w:cs="Times New Roman"/>
                <w:color w:val="auto"/>
                <w:kern w:val="2"/>
                <w:sz w:val="21"/>
                <w:szCs w:val="21"/>
                <w:highlight w:val="none"/>
              </w:rPr>
              <w:t>）</w:t>
            </w:r>
          </w:p>
        </w:tc>
        <w:tc>
          <w:tcPr>
            <w:tcW w:w="1890"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2"/>
                <w:sz w:val="21"/>
                <w:szCs w:val="21"/>
                <w:highlight w:val="none"/>
              </w:rPr>
              <w:t>有组织废气监测</w:t>
            </w:r>
            <w:r>
              <w:rPr>
                <w:rFonts w:ascii="Times New Roman" w:hAnsi="Times New Roman" w:eastAsia="宋体" w:cs="Times New Roman"/>
                <w:color w:val="auto"/>
                <w:kern w:val="0"/>
                <w:sz w:val="21"/>
                <w:szCs w:val="21"/>
                <w:highlight w:val="none"/>
              </w:rPr>
              <w:sym w:font="Wingdings 2" w:char="0052"/>
            </w:r>
          </w:p>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无组织废气监测</w:t>
            </w:r>
            <w:r>
              <w:rPr>
                <w:rFonts w:ascii="Times New Roman" w:hAnsi="Times New Roman" w:eastAsia="宋体" w:cs="Times New Roman"/>
                <w:color w:val="auto"/>
                <w:kern w:val="0"/>
                <w:sz w:val="21"/>
                <w:szCs w:val="21"/>
                <w:highlight w:val="none"/>
              </w:rPr>
              <w:sym w:font="Wingdings 2" w:char="0052"/>
            </w:r>
          </w:p>
        </w:tc>
        <w:tc>
          <w:tcPr>
            <w:tcW w:w="1151" w:type="dxa"/>
            <w:gridSpan w:val="2"/>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无监测</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环境质量监测</w:t>
            </w:r>
          </w:p>
        </w:tc>
        <w:tc>
          <w:tcPr>
            <w:tcW w:w="3496" w:type="dxa"/>
            <w:gridSpan w:val="7"/>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监测因子：（）</w:t>
            </w:r>
          </w:p>
        </w:tc>
        <w:tc>
          <w:tcPr>
            <w:tcW w:w="1890" w:type="dxa"/>
            <w:gridSpan w:val="6"/>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监测点位数</w:t>
            </w:r>
            <w:r>
              <w:rPr>
                <w:rFonts w:ascii="Times New Roman" w:hAnsi="Times New Roman" w:eastAsia="宋体" w:cs="Times New Roman"/>
                <w:color w:val="auto"/>
                <w:kern w:val="2"/>
                <w:sz w:val="21"/>
                <w:szCs w:val="21"/>
                <w:highlight w:val="none"/>
              </w:rPr>
              <w:t>（）</w:t>
            </w:r>
          </w:p>
        </w:tc>
        <w:tc>
          <w:tcPr>
            <w:tcW w:w="1151" w:type="dxa"/>
            <w:gridSpan w:val="2"/>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无监测</w:t>
            </w:r>
            <w:r>
              <w:rPr>
                <w:rFonts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183" w:type="dxa"/>
            <w:vMerge w:val="restart"/>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评价结论</w:t>
            </w: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环境影响</w:t>
            </w:r>
          </w:p>
        </w:tc>
        <w:tc>
          <w:tcPr>
            <w:tcW w:w="6537" w:type="dxa"/>
            <w:gridSpan w:val="1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可以接受</w:t>
            </w:r>
            <w:r>
              <w:rPr>
                <w:rFonts w:ascii="Times New Roman" w:hAnsi="Times New Roman" w:eastAsia="宋体" w:cs="Times New Roman"/>
                <w:color w:val="auto"/>
                <w:kern w:val="0"/>
                <w:sz w:val="21"/>
                <w:szCs w:val="21"/>
                <w:highlight w:val="none"/>
              </w:rPr>
              <w:sym w:font="Wingdings 2" w:char="0052"/>
            </w:r>
            <w:r>
              <w:rPr>
                <w:rFonts w:ascii="Times New Roman" w:hAnsi="Times New Roman" w:eastAsia="宋体" w:cs="Times New Roman"/>
                <w:color w:val="auto"/>
                <w:kern w:val="2"/>
                <w:sz w:val="21"/>
                <w:szCs w:val="21"/>
                <w:highlight w:val="none"/>
              </w:rPr>
              <w:t xml:space="preserve">         不可以接受</w:t>
            </w:r>
            <w:r>
              <w:rPr>
                <w:rFonts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大气环境防护距离</w:t>
            </w:r>
          </w:p>
        </w:tc>
        <w:tc>
          <w:tcPr>
            <w:tcW w:w="6537" w:type="dxa"/>
            <w:gridSpan w:val="15"/>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距（      ）厂界最远（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183" w:type="dxa"/>
            <w:vMerge w:val="continue"/>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p>
        </w:tc>
        <w:tc>
          <w:tcPr>
            <w:tcW w:w="2025" w:type="dxa"/>
            <w:tcBorders>
              <w:tl2br w:val="nil"/>
              <w:tr2bl w:val="nil"/>
            </w:tcBorders>
            <w:tcMar>
              <w:top w:w="0" w:type="dxa"/>
              <w:left w:w="57" w:type="dxa"/>
              <w:bottom w:w="0" w:type="dxa"/>
              <w:right w:w="57"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污染源年排放量</w:t>
            </w:r>
          </w:p>
        </w:tc>
        <w:tc>
          <w:tcPr>
            <w:tcW w:w="2086"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SO</w:t>
            </w:r>
            <w:r>
              <w:rPr>
                <w:rFonts w:ascii="Times New Roman" w:hAnsi="Times New Roman" w:eastAsia="宋体" w:cs="Times New Roman"/>
                <w:color w:val="auto"/>
                <w:kern w:val="2"/>
                <w:sz w:val="21"/>
                <w:szCs w:val="21"/>
                <w:highlight w:val="none"/>
                <w:vertAlign w:val="subscript"/>
              </w:rPr>
              <w:t>2</w:t>
            </w:r>
            <w:r>
              <w:rPr>
                <w:rFonts w:ascii="Times New Roman" w:hAnsi="Times New Roman" w:eastAsia="宋体" w:cs="Times New Roman"/>
                <w:color w:val="auto"/>
                <w:kern w:val="2"/>
                <w:sz w:val="21"/>
                <w:szCs w:val="21"/>
                <w:highlight w:val="none"/>
              </w:rPr>
              <w:t>：</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0.020</w:t>
            </w:r>
            <w:r>
              <w:rPr>
                <w:rFonts w:ascii="Times New Roman" w:hAnsi="Times New Roman" w:eastAsia="宋体" w:cs="Times New Roman"/>
                <w:color w:val="auto"/>
                <w:kern w:val="2"/>
                <w:sz w:val="21"/>
                <w:szCs w:val="21"/>
                <w:highlight w:val="none"/>
              </w:rPr>
              <w:t>）t/a</w:t>
            </w:r>
          </w:p>
        </w:tc>
        <w:tc>
          <w:tcPr>
            <w:tcW w:w="1410" w:type="dxa"/>
            <w:gridSpan w:val="3"/>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NO</w:t>
            </w:r>
            <w:r>
              <w:rPr>
                <w:rFonts w:ascii="Times New Roman" w:hAnsi="Times New Roman" w:eastAsia="宋体" w:cs="Times New Roman"/>
                <w:color w:val="auto"/>
                <w:kern w:val="2"/>
                <w:sz w:val="21"/>
                <w:szCs w:val="21"/>
                <w:highlight w:val="none"/>
                <w:vertAlign w:val="subscript"/>
              </w:rPr>
              <w:t>x</w:t>
            </w:r>
            <w:r>
              <w:rPr>
                <w:rFonts w:ascii="Times New Roman" w:hAnsi="Times New Roman" w:eastAsia="宋体" w:cs="Times New Roman"/>
                <w:color w:val="auto"/>
                <w:kern w:val="2"/>
                <w:sz w:val="21"/>
                <w:szCs w:val="21"/>
                <w:highlight w:val="none"/>
              </w:rPr>
              <w:t>：</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0.032</w:t>
            </w:r>
            <w:r>
              <w:rPr>
                <w:rFonts w:ascii="Times New Roman" w:hAnsi="Times New Roman" w:eastAsia="宋体" w:cs="Times New Roman"/>
                <w:color w:val="auto"/>
                <w:kern w:val="2"/>
                <w:sz w:val="21"/>
                <w:szCs w:val="21"/>
                <w:highlight w:val="none"/>
              </w:rPr>
              <w:t>）t/a</w:t>
            </w:r>
          </w:p>
        </w:tc>
        <w:tc>
          <w:tcPr>
            <w:tcW w:w="1528"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颗粒物：（</w:t>
            </w:r>
            <w:r>
              <w:rPr>
                <w:rFonts w:hint="eastAsia" w:ascii="Times New Roman" w:hAnsi="Times New Roman" w:eastAsia="宋体" w:cs="Times New Roman"/>
                <w:color w:val="auto"/>
                <w:kern w:val="2"/>
                <w:sz w:val="21"/>
                <w:szCs w:val="21"/>
                <w:highlight w:val="none"/>
                <w:lang w:val="en-US" w:eastAsia="zh-CN"/>
              </w:rPr>
              <w:t>0.116</w:t>
            </w:r>
            <w:r>
              <w:rPr>
                <w:rFonts w:ascii="Times New Roman" w:hAnsi="Times New Roman" w:eastAsia="宋体" w:cs="Times New Roman"/>
                <w:color w:val="auto"/>
                <w:kern w:val="2"/>
                <w:sz w:val="21"/>
                <w:szCs w:val="21"/>
                <w:highlight w:val="none"/>
              </w:rPr>
              <w:t>）t/a</w:t>
            </w:r>
          </w:p>
        </w:tc>
        <w:tc>
          <w:tcPr>
            <w:tcW w:w="1513" w:type="dxa"/>
            <w:gridSpan w:val="4"/>
            <w:tcBorders>
              <w:tl2br w:val="nil"/>
              <w:tr2bl w:val="nil"/>
            </w:tcBorders>
            <w:tcMar>
              <w:top w:w="0" w:type="dxa"/>
              <w:left w:w="85" w:type="dxa"/>
              <w:bottom w:w="0" w:type="dxa"/>
              <w:right w:w="85" w:type="dxa"/>
            </w:tcMar>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VOCs</w:t>
            </w:r>
          </w:p>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0.072</w:t>
            </w:r>
            <w:r>
              <w:rPr>
                <w:rFonts w:ascii="Times New Roman" w:hAnsi="Times New Roman" w:eastAsia="宋体" w:cs="Times New Roman"/>
                <w:color w:val="auto"/>
                <w:kern w:val="2"/>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745" w:type="dxa"/>
            <w:gridSpan w:val="17"/>
            <w:tcBorders>
              <w:tl2br w:val="nil"/>
              <w:tr2bl w:val="nil"/>
            </w:tcBorders>
            <w:tcMar>
              <w:top w:w="0" w:type="dxa"/>
              <w:left w:w="85" w:type="dxa"/>
              <w:bottom w:w="0" w:type="dxa"/>
              <w:right w:w="85" w:type="dxa"/>
            </w:tcMar>
            <w:vAlign w:val="center"/>
          </w:tcPr>
          <w:p>
            <w:pPr>
              <w:widowControl w:val="0"/>
              <w:spacing w:after="0" w:line="240" w:lineRule="auto"/>
              <w:jc w:val="left"/>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注：“</w:t>
            </w:r>
            <w:r>
              <w:rPr>
                <w:rFonts w:ascii="Times New Roman" w:hAnsi="Times New Roman" w:eastAsia="宋体" w:cs="Times New Roman"/>
                <w:color w:val="auto"/>
                <w:kern w:val="0"/>
                <w:sz w:val="21"/>
                <w:szCs w:val="21"/>
                <w:highlight w:val="none"/>
              </w:rPr>
              <w:sym w:font="Wingdings 2" w:char="00A3"/>
            </w:r>
            <w:r>
              <w:rPr>
                <w:rFonts w:ascii="Times New Roman" w:hAnsi="Times New Roman" w:eastAsia="宋体" w:cs="Times New Roman"/>
                <w:color w:val="auto"/>
                <w:kern w:val="2"/>
                <w:sz w:val="21"/>
                <w:szCs w:val="21"/>
                <w:highlight w:val="none"/>
              </w:rPr>
              <w:t>”为勾选，填“√”，“（  ）”为内容填写项</w:t>
            </w:r>
          </w:p>
        </w:tc>
      </w:tr>
    </w:tbl>
    <w:p>
      <w:pPr>
        <w:widowControl w:val="0"/>
        <w:tabs>
          <w:tab w:val="left" w:pos="5520"/>
        </w:tabs>
        <w:spacing w:after="0" w:line="240" w:lineRule="auto"/>
        <w:ind w:firstLine="425"/>
        <w:jc w:val="center"/>
        <w:rPr>
          <w:rFonts w:hint="default" w:ascii="Times New Roman" w:hAnsi="Times New Roman" w:eastAsia="宋体" w:cs="Times New Roman"/>
          <w:b/>
          <w:color w:val="FF0000"/>
          <w:kern w:val="2"/>
          <w:sz w:val="24"/>
        </w:rPr>
        <w:sectPr>
          <w:pgSz w:w="11906" w:h="16838"/>
          <w:pgMar w:top="1134" w:right="1077" w:bottom="1134" w:left="1077" w:header="851" w:footer="992" w:gutter="0"/>
          <w:pgBorders>
            <w:top w:val="none" w:sz="0" w:space="0"/>
            <w:left w:val="none" w:sz="0" w:space="0"/>
            <w:bottom w:val="none" w:sz="0" w:space="0"/>
            <w:right w:val="none" w:sz="0" w:space="0"/>
          </w:pgBorders>
          <w:cols w:space="720" w:num="1"/>
          <w:titlePg/>
          <w:docGrid w:type="linesAndChars" w:linePitch="326" w:charSpace="0"/>
        </w:sectPr>
      </w:pPr>
    </w:p>
    <w:p>
      <w:pPr>
        <w:widowControl/>
        <w:spacing w:before="93" w:after="93" w:line="240" w:lineRule="auto"/>
        <w:jc w:val="left"/>
        <w:outlineLvl w:val="0"/>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kern w:val="2"/>
          <w:sz w:val="21"/>
          <w:szCs w:val="21"/>
        </w:rPr>
        <w:t>附表2 建设项目</w:t>
      </w:r>
      <w:r>
        <w:rPr>
          <w:rFonts w:hint="default" w:ascii="Times New Roman" w:hAnsi="Times New Roman" w:eastAsia="宋体" w:cs="Times New Roman"/>
          <w:b/>
          <w:bCs/>
          <w:color w:val="auto"/>
          <w:kern w:val="2"/>
          <w:sz w:val="21"/>
          <w:szCs w:val="21"/>
          <w:shd w:val="clear" w:color="auto" w:fill="auto"/>
        </w:rPr>
        <w:t>地表水</w:t>
      </w:r>
      <w:r>
        <w:rPr>
          <w:rFonts w:hint="default" w:ascii="Times New Roman" w:hAnsi="Times New Roman" w:eastAsia="宋体" w:cs="Times New Roman"/>
          <w:b/>
          <w:color w:val="auto"/>
          <w:kern w:val="2"/>
          <w:sz w:val="21"/>
          <w:szCs w:val="21"/>
        </w:rPr>
        <w:t>环境影响评价自查表</w:t>
      </w:r>
    </w:p>
    <w:tbl>
      <w:tblPr>
        <w:tblStyle w:val="44"/>
        <w:tblW w:w="96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
        <w:gridCol w:w="1831"/>
        <w:gridCol w:w="1180"/>
        <w:gridCol w:w="905"/>
        <w:gridCol w:w="541"/>
        <w:gridCol w:w="1445"/>
        <w:gridCol w:w="564"/>
        <w:gridCol w:w="883"/>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176"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工作内容</w:t>
            </w:r>
          </w:p>
        </w:tc>
        <w:tc>
          <w:tcPr>
            <w:tcW w:w="7500" w:type="dxa"/>
            <w:gridSpan w:val="7"/>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影响识别</w:t>
            </w: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影响类型</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水污染影响型</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；水文要素影响型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水环境保护目标</w:t>
            </w:r>
          </w:p>
        </w:tc>
        <w:tc>
          <w:tcPr>
            <w:tcW w:w="7500" w:type="dxa"/>
            <w:gridSpan w:val="7"/>
            <w:vAlign w:val="center"/>
          </w:tcPr>
          <w:p>
            <w:pPr>
              <w:widowControl w:val="0"/>
              <w:spacing w:after="0" w:line="240" w:lineRule="auto"/>
              <w:jc w:val="left"/>
              <w:rPr>
                <w:rFonts w:ascii="Times New Roman" w:hAnsi="Times New Roman" w:eastAsia="宋体" w:cs="Times New Roman"/>
                <w:b/>
                <w:bCs/>
                <w:kern w:val="2"/>
                <w:sz w:val="21"/>
                <w:szCs w:val="24"/>
              </w:rPr>
            </w:pPr>
            <w:r>
              <w:rPr>
                <w:rFonts w:ascii="Times New Roman" w:hAnsi="Times New Roman" w:eastAsia="宋体" w:cs="Times New Roman"/>
                <w:kern w:val="2"/>
                <w:sz w:val="21"/>
                <w:szCs w:val="24"/>
              </w:rPr>
              <w:t>饮用水水源保护区</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；饮用水取水</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；涉水的自然保护区</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；重要湿度</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w:t>
            </w:r>
          </w:p>
          <w:p>
            <w:pPr>
              <w:widowControl w:val="0"/>
              <w:spacing w:after="0" w:line="240" w:lineRule="auto"/>
              <w:jc w:val="left"/>
              <w:rPr>
                <w:rFonts w:ascii="Times New Roman" w:hAnsi="Times New Roman" w:eastAsia="宋体" w:cs="Times New Roman"/>
                <w:b/>
                <w:bCs/>
                <w:kern w:val="2"/>
                <w:sz w:val="21"/>
                <w:szCs w:val="24"/>
              </w:rPr>
            </w:pPr>
            <w:r>
              <w:rPr>
                <w:rFonts w:ascii="Times New Roman" w:hAnsi="Times New Roman" w:eastAsia="宋体" w:cs="Times New Roman"/>
                <w:kern w:val="2"/>
                <w:sz w:val="21"/>
                <w:szCs w:val="24"/>
              </w:rPr>
              <w:t>重点保护与珍稀水生生物的栖息地</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；重要水生生物的自然产卵场及索饵场、越冬场和洄游通道、天然渔场等渔业水体</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；涉水的风景名胜区</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影响途径</w:t>
            </w:r>
          </w:p>
        </w:tc>
        <w:tc>
          <w:tcPr>
            <w:tcW w:w="4635" w:type="dxa"/>
            <w:gridSpan w:val="5"/>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水污染影响型</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before="120" w:beforeLines="50" w:after="0" w:line="240" w:lineRule="auto"/>
              <w:jc w:val="center"/>
              <w:rPr>
                <w:rFonts w:ascii="Times New Roman" w:hAnsi="Times New Roman" w:eastAsia="宋体" w:cs="Times New Roman"/>
                <w:kern w:val="2"/>
                <w:sz w:val="21"/>
                <w:szCs w:val="24"/>
              </w:rPr>
            </w:pPr>
          </w:p>
        </w:tc>
        <w:tc>
          <w:tcPr>
            <w:tcW w:w="4635" w:type="dxa"/>
            <w:gridSpan w:val="5"/>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直接排放</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；间接排放</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c>
          <w:tcPr>
            <w:tcW w:w="2865" w:type="dxa"/>
            <w:gridSpan w:val="2"/>
            <w:vAlign w:val="center"/>
          </w:tcPr>
          <w:p>
            <w:pPr>
              <w:widowControl w:val="0"/>
              <w:spacing w:after="0" w:line="240" w:lineRule="auto"/>
              <w:jc w:val="left"/>
              <w:rPr>
                <w:rFonts w:ascii="Times New Roman" w:hAnsi="Times New Roman" w:eastAsia="宋体" w:cs="Times New Roman"/>
                <w:b/>
                <w:bCs/>
                <w:kern w:val="2"/>
                <w:sz w:val="21"/>
                <w:szCs w:val="24"/>
              </w:rPr>
            </w:pPr>
            <w:r>
              <w:rPr>
                <w:rFonts w:ascii="Times New Roman" w:hAnsi="Times New Roman" w:eastAsia="宋体" w:cs="Times New Roman"/>
                <w:kern w:val="2"/>
                <w:sz w:val="21"/>
                <w:szCs w:val="24"/>
              </w:rPr>
              <w:t>水温</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；径流</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；水域面积</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影响因子</w:t>
            </w:r>
          </w:p>
        </w:tc>
        <w:tc>
          <w:tcPr>
            <w:tcW w:w="4635" w:type="dxa"/>
            <w:gridSpan w:val="5"/>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持久性污染物</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；有毒有害污染物</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；非持久性污染物</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；pH值</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；热污染</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；富营养化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c>
          <w:tcPr>
            <w:tcW w:w="2865" w:type="dxa"/>
            <w:gridSpan w:val="2"/>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水温</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；水位（水深）</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；流速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；流量</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176" w:type="dxa"/>
            <w:gridSpan w:val="2"/>
            <w:vMerge w:val="restart"/>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评价等级</w:t>
            </w:r>
          </w:p>
        </w:tc>
        <w:tc>
          <w:tcPr>
            <w:tcW w:w="4635" w:type="dxa"/>
            <w:gridSpan w:val="5"/>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水污染影响型</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176" w:type="dxa"/>
            <w:gridSpan w:val="2"/>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4635" w:type="dxa"/>
            <w:gridSpan w:val="5"/>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一级</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；二级</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；三级A</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；三级B</w:t>
            </w:r>
            <w:r>
              <w:rPr>
                <w:rFonts w:ascii="Times New Roman" w:hAnsi="Times New Roman" w:eastAsia="宋体" w:cs="Times New Roman"/>
                <w:kern w:val="2"/>
                <w:sz w:val="21"/>
                <w:szCs w:val="21"/>
              </w:rPr>
              <w:t>√</w:t>
            </w:r>
          </w:p>
        </w:tc>
        <w:tc>
          <w:tcPr>
            <w:tcW w:w="2865" w:type="dxa"/>
            <w:gridSpan w:val="2"/>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一级</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；二级</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；三级</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现状调查</w:t>
            </w:r>
          </w:p>
        </w:tc>
        <w:tc>
          <w:tcPr>
            <w:tcW w:w="1831" w:type="dxa"/>
            <w:vMerge w:val="restart"/>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区域污染源</w:t>
            </w:r>
          </w:p>
        </w:tc>
        <w:tc>
          <w:tcPr>
            <w:tcW w:w="4635" w:type="dxa"/>
            <w:gridSpan w:val="5"/>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调查项目</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40" w:lineRule="auto"/>
              <w:jc w:val="left"/>
              <w:rPr>
                <w:rFonts w:ascii="Times New Roman" w:hAnsi="Times New Roman" w:eastAsia="宋体" w:cs="Times New Roman"/>
                <w:b/>
                <w:bCs/>
                <w:kern w:val="2"/>
                <w:sz w:val="21"/>
                <w:szCs w:val="24"/>
              </w:rPr>
            </w:pPr>
            <w:r>
              <w:rPr>
                <w:rFonts w:ascii="Times New Roman" w:hAnsi="Times New Roman" w:eastAsia="宋体" w:cs="Times New Roman"/>
                <w:kern w:val="2"/>
                <w:sz w:val="21"/>
                <w:szCs w:val="24"/>
              </w:rPr>
              <w:t>已建</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；在建</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；拟建</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c>
          <w:tcPr>
            <w:tcW w:w="2550" w:type="dxa"/>
            <w:gridSpan w:val="3"/>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拟替代的污染源</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c>
          <w:tcPr>
            <w:tcW w:w="2865" w:type="dxa"/>
            <w:gridSpan w:val="2"/>
            <w:vAlign w:val="center"/>
          </w:tcPr>
          <w:p>
            <w:pPr>
              <w:widowControl w:val="0"/>
              <w:spacing w:after="0" w:line="240" w:lineRule="auto"/>
              <w:jc w:val="left"/>
              <w:rPr>
                <w:rFonts w:ascii="Times New Roman" w:hAnsi="Times New Roman" w:eastAsia="宋体" w:cs="Times New Roman"/>
                <w:b/>
                <w:bCs/>
                <w:kern w:val="2"/>
                <w:sz w:val="21"/>
                <w:szCs w:val="24"/>
              </w:rPr>
            </w:pPr>
            <w:r>
              <w:rPr>
                <w:rFonts w:ascii="Times New Roman" w:hAnsi="Times New Roman" w:eastAsia="宋体" w:cs="Times New Roman"/>
                <w:kern w:val="2"/>
                <w:sz w:val="21"/>
                <w:szCs w:val="24"/>
              </w:rPr>
              <w:t>排污许可证</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；环评</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；环保验收</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；既有实测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；现场监测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；入河排放口数据</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受影响水体水环境质量</w:t>
            </w:r>
          </w:p>
        </w:tc>
        <w:tc>
          <w:tcPr>
            <w:tcW w:w="4635" w:type="dxa"/>
            <w:gridSpan w:val="5"/>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调查时期</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4635" w:type="dxa"/>
            <w:gridSpan w:val="5"/>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丰水期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；平水期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；枯水期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；冰封期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春季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；夏季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；秋季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；冬季</w:t>
            </w:r>
            <w:r>
              <w:rPr>
                <w:rFonts w:ascii="Times New Roman" w:hAnsi="Times New Roman" w:eastAsia="宋体" w:cs="Times New Roman"/>
                <w:kern w:val="2"/>
                <w:sz w:val="21"/>
                <w:szCs w:val="21"/>
              </w:rPr>
              <w:t>√</w:t>
            </w:r>
          </w:p>
        </w:tc>
        <w:tc>
          <w:tcPr>
            <w:tcW w:w="2865" w:type="dxa"/>
            <w:gridSpan w:val="2"/>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生态环境保护主管部门</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；补充监测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区域水资源开发利用状况</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未开发</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；开放量40% 以下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；开发量40% 以上</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水文情势调查</w:t>
            </w:r>
          </w:p>
        </w:tc>
        <w:tc>
          <w:tcPr>
            <w:tcW w:w="4635" w:type="dxa"/>
            <w:gridSpan w:val="5"/>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调查时期</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4635" w:type="dxa"/>
            <w:gridSpan w:val="5"/>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丰水期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；平水期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；枯水期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；冰封期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春季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；夏季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；秋季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；冬季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c>
          <w:tcPr>
            <w:tcW w:w="2865" w:type="dxa"/>
            <w:gridSpan w:val="2"/>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水行政主管部门</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；补充监测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补充监测</w:t>
            </w:r>
          </w:p>
        </w:tc>
        <w:tc>
          <w:tcPr>
            <w:tcW w:w="208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监测时期</w:t>
            </w:r>
          </w:p>
        </w:tc>
        <w:tc>
          <w:tcPr>
            <w:tcW w:w="2550" w:type="dxa"/>
            <w:gridSpan w:val="3"/>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监测因子</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8"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丰水期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；平水期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；枯水期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；冰封期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春季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；夏季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；秋季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；冬季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c>
          <w:tcPr>
            <w:tcW w:w="2550" w:type="dxa"/>
            <w:gridSpan w:val="3"/>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2865" w:type="dxa"/>
            <w:gridSpan w:val="2"/>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监测断面或点位个数（  ）个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现状评价</w:t>
            </w: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评价范围</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河流：长度（  ）km；湖库、河口及近岸海域：面积（  ）km</w:t>
            </w:r>
            <w:r>
              <w:rPr>
                <w:rFonts w:ascii="Times New Roman" w:hAnsi="Times New Roman" w:eastAsia="宋体" w:cs="Times New Roman"/>
                <w:kern w:val="2"/>
                <w:sz w:val="21"/>
                <w:szCs w:val="24"/>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评价因子</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 pH、CODcr、BOD</w:t>
            </w:r>
            <w:r>
              <w:rPr>
                <w:rFonts w:ascii="Times New Roman" w:hAnsi="Times New Roman" w:eastAsia="宋体" w:cs="Times New Roman"/>
                <w:kern w:val="2"/>
                <w:sz w:val="21"/>
                <w:szCs w:val="24"/>
                <w:vertAlign w:val="subscript"/>
              </w:rPr>
              <w:t>5</w:t>
            </w:r>
            <w:r>
              <w:rPr>
                <w:rFonts w:ascii="Times New Roman" w:hAnsi="Times New Roman" w:eastAsia="宋体" w:cs="Times New Roman"/>
                <w:kern w:val="2"/>
                <w:sz w:val="21"/>
                <w:szCs w:val="24"/>
              </w:rPr>
              <w:t>、DO、氨氮、总磷、SS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评价标准</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河流、湖库、河口：Ⅰ类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；Ⅱ类</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；Ⅲ类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；Ⅳ类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；Ⅴ类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近岸海域：第一类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；第二类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；第三类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；第四类</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评价时期</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丰水期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；平水期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；枯水期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；冰封期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春季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；夏季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；秋季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；冬季</w:t>
            </w:r>
            <w:r>
              <w:rPr>
                <w:rFonts w:ascii="Times New Roman" w:hAnsi="Times New Roman" w:eastAsia="宋体" w:cs="Times New Roman"/>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5"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评价结论</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水环境功能区或水功能区、近岸海域环境功能区水质达标状况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：达标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；不达标</w:t>
            </w:r>
            <w:r>
              <w:rPr>
                <w:rFonts w:ascii="Times New Roman" w:hAnsi="Times New Roman" w:eastAsia="宋体" w:cs="Times New Roman"/>
                <w:kern w:val="2"/>
                <w:sz w:val="21"/>
                <w:szCs w:val="21"/>
              </w:rPr>
              <w:t>√</w:t>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水环境控制单元或断面水质达标状况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：达标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；不达标</w:t>
            </w:r>
            <w:r>
              <w:rPr>
                <w:rFonts w:ascii="Times New Roman" w:hAnsi="Times New Roman" w:eastAsia="宋体" w:cs="Times New Roman"/>
                <w:kern w:val="2"/>
                <w:sz w:val="21"/>
                <w:szCs w:val="21"/>
              </w:rPr>
              <w:t>√</w:t>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水环境保护目标质量状况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：达标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；不达标</w:t>
            </w:r>
            <w:r>
              <w:rPr>
                <w:rFonts w:ascii="Times New Roman" w:hAnsi="Times New Roman" w:eastAsia="宋体" w:cs="Times New Roman"/>
                <w:kern w:val="2"/>
                <w:sz w:val="21"/>
                <w:szCs w:val="21"/>
              </w:rPr>
              <w:t>√</w:t>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对照断面、控制断面等代表性断面的水质状况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：达标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；不达标</w:t>
            </w:r>
            <w:r>
              <w:rPr>
                <w:rFonts w:ascii="Times New Roman" w:hAnsi="Times New Roman" w:eastAsia="宋体" w:cs="Times New Roman"/>
                <w:kern w:val="2"/>
                <w:sz w:val="21"/>
                <w:szCs w:val="21"/>
              </w:rPr>
              <w:t>√</w:t>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底泥污染评价</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水资源与开发利用程度及其水文情势评价</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水环境质量回顾评价</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流域（区域）水资源（包括谁能资源）与开发利用总体状况、生态流量管理要求与现状满足程度、建设项目占用水域空间的水流状况与河湖演变状况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影响预测</w:t>
            </w: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预测范围</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河流：长度（  ）km；湖库、河口及近岸海域：面积（  ）km</w:t>
            </w:r>
            <w:r>
              <w:rPr>
                <w:rFonts w:ascii="Times New Roman" w:hAnsi="Times New Roman" w:eastAsia="宋体" w:cs="Times New Roman"/>
                <w:kern w:val="2"/>
                <w:sz w:val="21"/>
                <w:szCs w:val="24"/>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预测因子</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预测时期</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丰水期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；平水期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；枯水期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；冰封期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春季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；夏季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；秋季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；冬季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设计水文条件</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8"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预测情景</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建设期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；生产运行期</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；服务器满后</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正常工况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；非正常工况</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污染控制和减缓措施方案</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区（流）域环境质量改善目标要求情景</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预测方法</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数值解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：解析解</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导则推荐模式</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5" w:type="dxa"/>
            <w:vMerge w:val="restart"/>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影响评价</w:t>
            </w: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水污染控制和水环境影响减缓措施有效性评价</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区（流）域水环境质量改善目标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；替代削减源</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p>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水环境影响评价</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排放口混合区外满足水环境管理要求</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水环境功能区或水功能区，近岸海域环境功能区水质达标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满足水环境保护目标水域水环境质量要求</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水环境控制单元或断面水质达标</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满足重点水污染物排放总量控制指标要求，重点行业建设项目，主要污染物排放满足等量或减量替代要求</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满足区（流）域水环境质量改善目标要求</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水文要素影响型建设项目同时应包括水文情势变化评价、主要水文特征值影响评价、生态流量符合性评价</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对于新设或调整入河（湖库、近岸海域）排放口的建设项目，应包括排放口设置的环境合理性评价</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满足生态保护红线、水环境质量底线、资源利用上线和环境准入清单管理要求</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污染源排放量核算</w:t>
            </w:r>
          </w:p>
        </w:tc>
        <w:tc>
          <w:tcPr>
            <w:tcW w:w="208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污染物名称</w:t>
            </w:r>
          </w:p>
        </w:tc>
        <w:tc>
          <w:tcPr>
            <w:tcW w:w="2550" w:type="dxa"/>
            <w:gridSpan w:val="3"/>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排放量（t/a）</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before="120" w:beforeLines="50"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76" w:lineRule="auto"/>
              <w:jc w:val="center"/>
              <w:rPr>
                <w:rFonts w:ascii="Times New Roman" w:hAnsi="Times New Roman" w:eastAsia="宋体" w:cs="Times New Roman"/>
                <w:kern w:val="2"/>
                <w:sz w:val="21"/>
                <w:szCs w:val="24"/>
              </w:rPr>
            </w:pPr>
            <w:r>
              <w:rPr>
                <w:rFonts w:ascii="Times New Roman" w:hAnsi="Times New Roman" w:cs="Times New Roman" w:eastAsiaTheme="minorEastAsia"/>
                <w:kern w:val="2"/>
                <w:sz w:val="21"/>
                <w:szCs w:val="21"/>
              </w:rPr>
              <w:t>CODcr</w:t>
            </w:r>
          </w:p>
        </w:tc>
        <w:tc>
          <w:tcPr>
            <w:tcW w:w="2550" w:type="dxa"/>
            <w:gridSpan w:val="3"/>
            <w:vAlign w:val="center"/>
          </w:tcPr>
          <w:p>
            <w:pPr>
              <w:widowControl w:val="0"/>
              <w:spacing w:after="0" w:line="240" w:lineRule="auto"/>
              <w:jc w:val="center"/>
              <w:rPr>
                <w:rFonts w:ascii="Times New Roman" w:hAnsi="Times New Roman" w:cs="Times New Roman" w:eastAsiaTheme="minorEastAsia"/>
                <w:kern w:val="2"/>
                <w:sz w:val="21"/>
                <w:szCs w:val="21"/>
              </w:rPr>
            </w:pPr>
            <w:r>
              <w:rPr>
                <w:rFonts w:hint="default" w:ascii="Times New Roman" w:hAnsi="Times New Roman" w:eastAsia="宋体" w:cs="Times New Roman"/>
                <w:bCs/>
                <w:color w:val="auto"/>
                <w:kern w:val="0"/>
                <w:sz w:val="21"/>
                <w:szCs w:val="21"/>
                <w:lang w:val="en-US" w:eastAsia="zh-CN"/>
              </w:rPr>
              <w:t xml:space="preserve">0.069 </w:t>
            </w:r>
          </w:p>
        </w:tc>
        <w:tc>
          <w:tcPr>
            <w:tcW w:w="2865" w:type="dxa"/>
            <w:gridSpan w:val="2"/>
            <w:vAlign w:val="center"/>
          </w:tcPr>
          <w:p>
            <w:pPr>
              <w:widowControl/>
              <w:spacing w:after="0" w:line="240" w:lineRule="auto"/>
              <w:jc w:val="center"/>
              <w:rPr>
                <w:rFonts w:ascii="Times New Roman" w:hAnsi="Times New Roman" w:cs="Times New Roman" w:eastAsiaTheme="minorEastAsia"/>
                <w:kern w:val="2"/>
                <w:sz w:val="21"/>
                <w:szCs w:val="21"/>
              </w:rPr>
            </w:pPr>
            <w:r>
              <w:rPr>
                <w:rFonts w:ascii="Times New Roman" w:hAnsi="Times New Roman" w:eastAsia="宋体" w:cs="Times New Roman"/>
                <w:kern w:val="0"/>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before="120" w:beforeLines="50"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76" w:lineRule="auto"/>
              <w:jc w:val="center"/>
              <w:rPr>
                <w:rFonts w:ascii="Times New Roman" w:hAnsi="Times New Roman" w:eastAsia="宋体" w:cs="Times New Roman"/>
                <w:kern w:val="2"/>
                <w:sz w:val="21"/>
                <w:szCs w:val="24"/>
              </w:rPr>
            </w:pPr>
            <w:r>
              <w:rPr>
                <w:rFonts w:ascii="Times New Roman" w:hAnsi="Times New Roman" w:cs="Times New Roman" w:eastAsiaTheme="minorEastAsia"/>
                <w:kern w:val="2"/>
                <w:sz w:val="21"/>
                <w:szCs w:val="21"/>
              </w:rPr>
              <w:t>BOD</w:t>
            </w:r>
            <w:r>
              <w:rPr>
                <w:rFonts w:ascii="Times New Roman" w:hAnsi="Times New Roman" w:cs="Times New Roman" w:eastAsiaTheme="minorEastAsia"/>
                <w:kern w:val="2"/>
                <w:sz w:val="21"/>
                <w:szCs w:val="21"/>
                <w:vertAlign w:val="subscript"/>
              </w:rPr>
              <w:t>5</w:t>
            </w:r>
          </w:p>
        </w:tc>
        <w:tc>
          <w:tcPr>
            <w:tcW w:w="2550" w:type="dxa"/>
            <w:gridSpan w:val="3"/>
            <w:vAlign w:val="center"/>
          </w:tcPr>
          <w:p>
            <w:pPr>
              <w:widowControl w:val="0"/>
              <w:spacing w:after="0" w:line="240" w:lineRule="auto"/>
              <w:jc w:val="center"/>
              <w:rPr>
                <w:rFonts w:ascii="Times New Roman" w:hAnsi="Times New Roman" w:cs="Times New Roman" w:eastAsiaTheme="minorEastAsia"/>
                <w:kern w:val="2"/>
                <w:sz w:val="21"/>
                <w:szCs w:val="21"/>
              </w:rPr>
            </w:pPr>
            <w:r>
              <w:rPr>
                <w:rFonts w:hint="default" w:ascii="Times New Roman" w:hAnsi="Times New Roman" w:eastAsia="宋体" w:cs="Times New Roman"/>
                <w:bCs/>
                <w:color w:val="auto"/>
                <w:kern w:val="0"/>
                <w:sz w:val="21"/>
                <w:szCs w:val="21"/>
                <w:lang w:val="en-US" w:eastAsia="zh-CN"/>
              </w:rPr>
              <w:t xml:space="preserve">0.041 </w:t>
            </w:r>
          </w:p>
        </w:tc>
        <w:tc>
          <w:tcPr>
            <w:tcW w:w="2865" w:type="dxa"/>
            <w:gridSpan w:val="2"/>
            <w:vAlign w:val="center"/>
          </w:tcPr>
          <w:p>
            <w:pPr>
              <w:widowControl/>
              <w:spacing w:after="0" w:line="240" w:lineRule="auto"/>
              <w:jc w:val="center"/>
              <w:rPr>
                <w:rFonts w:ascii="Times New Roman" w:hAnsi="Times New Roman" w:cs="Times New Roman" w:eastAsiaTheme="minorEastAsia"/>
                <w:kern w:val="2"/>
                <w:sz w:val="21"/>
                <w:szCs w:val="21"/>
              </w:rPr>
            </w:pPr>
            <w:r>
              <w:rPr>
                <w:rFonts w:ascii="Times New Roman" w:hAnsi="Times New Roman" w:eastAsia="宋体" w:cs="Times New Roman"/>
                <w:kern w:val="0"/>
                <w:sz w:val="21"/>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before="120" w:beforeLines="50"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76" w:lineRule="auto"/>
              <w:jc w:val="center"/>
              <w:rPr>
                <w:rFonts w:ascii="Times New Roman" w:hAnsi="Times New Roman" w:eastAsia="宋体" w:cs="Times New Roman"/>
                <w:kern w:val="2"/>
                <w:sz w:val="21"/>
                <w:szCs w:val="24"/>
              </w:rPr>
            </w:pPr>
            <w:r>
              <w:rPr>
                <w:rFonts w:ascii="Times New Roman" w:hAnsi="Times New Roman" w:cs="Times New Roman" w:eastAsiaTheme="minorEastAsia"/>
                <w:kern w:val="2"/>
                <w:sz w:val="21"/>
                <w:szCs w:val="21"/>
              </w:rPr>
              <w:t>SS</w:t>
            </w:r>
          </w:p>
        </w:tc>
        <w:tc>
          <w:tcPr>
            <w:tcW w:w="2550" w:type="dxa"/>
            <w:gridSpan w:val="3"/>
            <w:vAlign w:val="center"/>
          </w:tcPr>
          <w:p>
            <w:pPr>
              <w:widowControl w:val="0"/>
              <w:spacing w:after="0" w:line="240" w:lineRule="auto"/>
              <w:jc w:val="center"/>
              <w:rPr>
                <w:rFonts w:ascii="Times New Roman" w:hAnsi="Times New Roman" w:cs="Times New Roman" w:eastAsiaTheme="minorEastAsia"/>
                <w:kern w:val="2"/>
                <w:sz w:val="21"/>
                <w:szCs w:val="21"/>
              </w:rPr>
            </w:pPr>
            <w:r>
              <w:rPr>
                <w:rFonts w:hint="default" w:ascii="Times New Roman" w:hAnsi="Times New Roman" w:eastAsia="宋体" w:cs="Times New Roman"/>
                <w:bCs/>
                <w:color w:val="auto"/>
                <w:kern w:val="0"/>
                <w:sz w:val="21"/>
                <w:szCs w:val="21"/>
                <w:lang w:val="en-US" w:eastAsia="zh-CN"/>
              </w:rPr>
              <w:t xml:space="preserve">0.041 </w:t>
            </w:r>
          </w:p>
        </w:tc>
        <w:tc>
          <w:tcPr>
            <w:tcW w:w="2865" w:type="dxa"/>
            <w:gridSpan w:val="2"/>
            <w:vAlign w:val="center"/>
          </w:tcPr>
          <w:p>
            <w:pPr>
              <w:widowControl/>
              <w:spacing w:after="0" w:line="240" w:lineRule="auto"/>
              <w:jc w:val="center"/>
              <w:rPr>
                <w:rFonts w:ascii="Times New Roman" w:hAnsi="Times New Roman" w:cs="Times New Roman" w:eastAsiaTheme="minorEastAsia"/>
                <w:kern w:val="2"/>
                <w:sz w:val="21"/>
                <w:szCs w:val="21"/>
              </w:rPr>
            </w:pPr>
            <w:r>
              <w:rPr>
                <w:rFonts w:ascii="Times New Roman" w:hAnsi="Times New Roman" w:eastAsia="宋体" w:cs="Times New Roman"/>
                <w:kern w:val="0"/>
                <w:sz w:val="21"/>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before="120" w:beforeLines="50"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76" w:lineRule="auto"/>
              <w:jc w:val="center"/>
              <w:rPr>
                <w:rFonts w:ascii="Times New Roman" w:hAnsi="Times New Roman" w:eastAsia="宋体" w:cs="Times New Roman"/>
                <w:kern w:val="2"/>
                <w:sz w:val="21"/>
                <w:szCs w:val="24"/>
              </w:rPr>
            </w:pPr>
            <w:r>
              <w:rPr>
                <w:rFonts w:ascii="Times New Roman" w:hAnsi="Times New Roman" w:cs="Times New Roman" w:eastAsiaTheme="minorEastAsia"/>
                <w:kern w:val="2"/>
                <w:sz w:val="21"/>
                <w:szCs w:val="21"/>
              </w:rPr>
              <w:t>氨氮</w:t>
            </w:r>
          </w:p>
        </w:tc>
        <w:tc>
          <w:tcPr>
            <w:tcW w:w="2550" w:type="dxa"/>
            <w:gridSpan w:val="3"/>
            <w:vAlign w:val="center"/>
          </w:tcPr>
          <w:p>
            <w:pPr>
              <w:widowControl w:val="0"/>
              <w:spacing w:after="0" w:line="240" w:lineRule="auto"/>
              <w:jc w:val="center"/>
              <w:rPr>
                <w:rFonts w:ascii="Times New Roman" w:hAnsi="Times New Roman" w:cs="Times New Roman" w:eastAsiaTheme="minorEastAsia"/>
                <w:kern w:val="2"/>
                <w:sz w:val="21"/>
                <w:szCs w:val="21"/>
              </w:rPr>
            </w:pPr>
            <w:r>
              <w:rPr>
                <w:rFonts w:hint="default" w:ascii="Times New Roman" w:hAnsi="Times New Roman" w:eastAsia="宋体" w:cs="Times New Roman"/>
                <w:bCs/>
                <w:color w:val="auto"/>
                <w:kern w:val="0"/>
                <w:sz w:val="21"/>
                <w:szCs w:val="21"/>
                <w:lang w:val="en-US" w:eastAsia="zh-CN"/>
              </w:rPr>
              <w:t>0.007</w:t>
            </w:r>
          </w:p>
        </w:tc>
        <w:tc>
          <w:tcPr>
            <w:tcW w:w="2865" w:type="dxa"/>
            <w:gridSpan w:val="2"/>
            <w:vAlign w:val="center"/>
          </w:tcPr>
          <w:p>
            <w:pPr>
              <w:widowControl/>
              <w:spacing w:after="0" w:line="240" w:lineRule="auto"/>
              <w:jc w:val="center"/>
              <w:rPr>
                <w:rFonts w:ascii="Times New Roman" w:hAnsi="Times New Roman" w:cs="Times New Roman" w:eastAsiaTheme="minorEastAsia"/>
                <w:kern w:val="2"/>
                <w:sz w:val="21"/>
                <w:szCs w:val="21"/>
              </w:rPr>
            </w:pPr>
            <w:r>
              <w:rPr>
                <w:rFonts w:ascii="Times New Roman" w:hAnsi="Times New Roman" w:eastAsia="宋体" w:cs="Times New Roman"/>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替代源排放情况</w:t>
            </w:r>
          </w:p>
        </w:tc>
        <w:tc>
          <w:tcPr>
            <w:tcW w:w="1180"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污染源名称</w:t>
            </w:r>
          </w:p>
        </w:tc>
        <w:tc>
          <w:tcPr>
            <w:tcW w:w="1446"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排污许可证编号</w:t>
            </w:r>
          </w:p>
        </w:tc>
        <w:tc>
          <w:tcPr>
            <w:tcW w:w="1445"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污染物名称</w:t>
            </w:r>
          </w:p>
        </w:tc>
        <w:tc>
          <w:tcPr>
            <w:tcW w:w="1447"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排放量（t/a）</w:t>
            </w:r>
          </w:p>
        </w:tc>
        <w:tc>
          <w:tcPr>
            <w:tcW w:w="1982"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before="120" w:beforeLines="50" w:after="0" w:line="240" w:lineRule="auto"/>
              <w:jc w:val="center"/>
              <w:rPr>
                <w:rFonts w:ascii="Times New Roman" w:hAnsi="Times New Roman" w:eastAsia="宋体" w:cs="Times New Roman"/>
                <w:kern w:val="2"/>
                <w:sz w:val="21"/>
                <w:szCs w:val="24"/>
              </w:rPr>
            </w:pPr>
          </w:p>
        </w:tc>
        <w:tc>
          <w:tcPr>
            <w:tcW w:w="1180"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1446"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1445"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1447"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1982"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before="120" w:beforeLines="50"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生态流量确定</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生态流量：一般水期（  ）m</w:t>
            </w:r>
            <w:r>
              <w:rPr>
                <w:rFonts w:ascii="Times New Roman" w:hAnsi="Times New Roman" w:eastAsia="宋体" w:cs="Times New Roman"/>
                <w:kern w:val="2"/>
                <w:sz w:val="21"/>
                <w:szCs w:val="24"/>
                <w:vertAlign w:val="superscript"/>
              </w:rPr>
              <w:t>3</w:t>
            </w:r>
            <w:r>
              <w:rPr>
                <w:rFonts w:ascii="Times New Roman" w:hAnsi="Times New Roman" w:eastAsia="宋体" w:cs="Times New Roman"/>
                <w:kern w:val="2"/>
                <w:sz w:val="21"/>
                <w:szCs w:val="24"/>
              </w:rPr>
              <w:t>/s；鱼类繁殖期（  ）m</w:t>
            </w:r>
            <w:r>
              <w:rPr>
                <w:rFonts w:ascii="Times New Roman" w:hAnsi="Times New Roman" w:eastAsia="宋体" w:cs="Times New Roman"/>
                <w:kern w:val="2"/>
                <w:sz w:val="21"/>
                <w:szCs w:val="24"/>
                <w:vertAlign w:val="superscript"/>
              </w:rPr>
              <w:t>3</w:t>
            </w:r>
            <w:r>
              <w:rPr>
                <w:rFonts w:ascii="Times New Roman" w:hAnsi="Times New Roman" w:eastAsia="宋体" w:cs="Times New Roman"/>
                <w:kern w:val="2"/>
                <w:sz w:val="21"/>
                <w:szCs w:val="24"/>
              </w:rPr>
              <w:t>/s；其他（  ）m</w:t>
            </w:r>
            <w:r>
              <w:rPr>
                <w:rFonts w:ascii="Times New Roman" w:hAnsi="Times New Roman" w:eastAsia="宋体" w:cs="Times New Roman"/>
                <w:kern w:val="2"/>
                <w:sz w:val="21"/>
                <w:szCs w:val="24"/>
                <w:vertAlign w:val="superscript"/>
              </w:rPr>
              <w:t>3</w:t>
            </w:r>
            <w:r>
              <w:rPr>
                <w:rFonts w:ascii="Times New Roman" w:hAnsi="Times New Roman" w:eastAsia="宋体" w:cs="Times New Roman"/>
                <w:kern w:val="2"/>
                <w:sz w:val="21"/>
                <w:szCs w:val="24"/>
              </w:rPr>
              <w:t>/s；生态水位：一般水期（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45" w:type="dxa"/>
            <w:vMerge w:val="restart"/>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防治措施</w:t>
            </w: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环保措施</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污水处理设施</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；水温减缓设施</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；生态流量保障设施</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；区域削减</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；依托其他工程措施</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；其他</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restart"/>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监测计划</w:t>
            </w:r>
          </w:p>
        </w:tc>
        <w:tc>
          <w:tcPr>
            <w:tcW w:w="2085" w:type="dxa"/>
            <w:gridSpan w:val="2"/>
            <w:vAlign w:val="center"/>
          </w:tcPr>
          <w:p>
            <w:pPr>
              <w:widowControl w:val="0"/>
              <w:spacing w:after="0" w:line="240" w:lineRule="auto"/>
              <w:jc w:val="center"/>
              <w:rPr>
                <w:rFonts w:ascii="Times New Roman" w:hAnsi="Times New Roman" w:eastAsia="宋体" w:cs="Times New Roman"/>
                <w:kern w:val="2"/>
                <w:sz w:val="21"/>
                <w:szCs w:val="24"/>
              </w:rPr>
            </w:pPr>
          </w:p>
        </w:tc>
        <w:tc>
          <w:tcPr>
            <w:tcW w:w="2550" w:type="dxa"/>
            <w:gridSpan w:val="3"/>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环境质量</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监测方式</w:t>
            </w:r>
          </w:p>
        </w:tc>
        <w:tc>
          <w:tcPr>
            <w:tcW w:w="2550" w:type="dxa"/>
            <w:gridSpan w:val="3"/>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手动</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；自动</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；无监测</w:t>
            </w:r>
            <w:r>
              <w:rPr>
                <w:rFonts w:ascii="Times New Roman" w:hAnsi="Times New Roman" w:eastAsia="宋体" w:cs="Times New Roman"/>
                <w:kern w:val="2"/>
                <w:sz w:val="21"/>
                <w:szCs w:val="21"/>
              </w:rPr>
              <w:t>√</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手动</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；自动</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；无监测</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监测点位</w:t>
            </w:r>
          </w:p>
        </w:tc>
        <w:tc>
          <w:tcPr>
            <w:tcW w:w="2550" w:type="dxa"/>
            <w:gridSpan w:val="3"/>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w:t>
            </w:r>
            <w:r>
              <w:rPr>
                <w:rFonts w:ascii="Times New Roman" w:hAnsi="Times New Roman" w:cs="Times New Roman" w:eastAsiaTheme="minorEastAsia"/>
                <w:kern w:val="2"/>
                <w:sz w:val="21"/>
                <w:szCs w:val="21"/>
              </w:rPr>
              <w:t>生活污水处理设施出口</w:t>
            </w:r>
            <w:r>
              <w:rPr>
                <w:rFonts w:ascii="Times New Roman" w:hAnsi="Times New Roman" w:eastAsia="宋体" w:cs="Times New Roman"/>
                <w:kern w:val="2"/>
                <w:sz w:val="21"/>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208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监测因子</w:t>
            </w:r>
          </w:p>
        </w:tc>
        <w:tc>
          <w:tcPr>
            <w:tcW w:w="2550" w:type="dxa"/>
            <w:gridSpan w:val="3"/>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w:t>
            </w:r>
          </w:p>
        </w:tc>
        <w:tc>
          <w:tcPr>
            <w:tcW w:w="2865"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 xml:space="preserve">（ </w:t>
            </w:r>
            <w:r>
              <w:rPr>
                <w:rFonts w:ascii="Times New Roman" w:hAnsi="Times New Roman" w:eastAsia="宋体" w:cs="Times New Roman"/>
                <w:kern w:val="2"/>
                <w:sz w:val="21"/>
                <w:szCs w:val="21"/>
              </w:rPr>
              <w:t>COD</w:t>
            </w:r>
            <w:r>
              <w:rPr>
                <w:rFonts w:ascii="Times New Roman" w:hAnsi="Times New Roman" w:eastAsia="宋体" w:cs="Times New Roman"/>
                <w:kern w:val="2"/>
                <w:sz w:val="21"/>
                <w:szCs w:val="21"/>
                <w:vertAlign w:val="subscript"/>
              </w:rPr>
              <w:t>cr</w:t>
            </w:r>
            <w:r>
              <w:rPr>
                <w:rFonts w:ascii="Times New Roman" w:hAnsi="Times New Roman" w:eastAsia="宋体" w:cs="Times New Roman"/>
                <w:kern w:val="2"/>
                <w:sz w:val="21"/>
                <w:szCs w:val="21"/>
              </w:rPr>
              <w:t>、BOD</w:t>
            </w:r>
            <w:r>
              <w:rPr>
                <w:rFonts w:ascii="Times New Roman" w:hAnsi="Times New Roman" w:eastAsia="宋体" w:cs="Times New Roman"/>
                <w:kern w:val="2"/>
                <w:sz w:val="21"/>
                <w:szCs w:val="21"/>
                <w:vertAlign w:val="subscript"/>
              </w:rPr>
              <w:t>5</w:t>
            </w:r>
            <w:r>
              <w:rPr>
                <w:rFonts w:ascii="Times New Roman" w:hAnsi="Times New Roman" w:eastAsia="宋体" w:cs="Times New Roman"/>
                <w:kern w:val="2"/>
                <w:sz w:val="21"/>
                <w:szCs w:val="21"/>
              </w:rPr>
              <w:t>、SS、NH</w:t>
            </w:r>
            <w:r>
              <w:rPr>
                <w:rFonts w:ascii="Times New Roman" w:hAnsi="Times New Roman" w:eastAsia="宋体" w:cs="Times New Roman"/>
                <w:kern w:val="2"/>
                <w:sz w:val="21"/>
                <w:szCs w:val="21"/>
                <w:vertAlign w:val="subscript"/>
              </w:rPr>
              <w:t>3</w:t>
            </w:r>
            <w:r>
              <w:rPr>
                <w:rFonts w:ascii="Times New Roman" w:hAnsi="Times New Roman" w:eastAsia="宋体" w:cs="Times New Roman"/>
                <w:kern w:val="2"/>
                <w:sz w:val="21"/>
                <w:szCs w:val="21"/>
              </w:rPr>
              <w:t>-N</w:t>
            </w:r>
            <w:r>
              <w:rPr>
                <w:rFonts w:ascii="Times New Roman" w:hAnsi="Times New Roman" w:eastAsia="宋体" w:cs="Times New Roman"/>
                <w:kern w:val="2"/>
                <w:sz w:val="21"/>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345" w:type="dxa"/>
            <w:vMerge w:val="continue"/>
            <w:vAlign w:val="center"/>
          </w:tcPr>
          <w:p>
            <w:pPr>
              <w:widowControl w:val="0"/>
              <w:spacing w:after="0" w:line="240" w:lineRule="auto"/>
              <w:jc w:val="center"/>
              <w:rPr>
                <w:rFonts w:ascii="Times New Roman" w:hAnsi="Times New Roman" w:eastAsia="宋体" w:cs="Times New Roman"/>
                <w:kern w:val="2"/>
                <w:sz w:val="21"/>
                <w:szCs w:val="24"/>
              </w:rPr>
            </w:pPr>
          </w:p>
        </w:tc>
        <w:tc>
          <w:tcPr>
            <w:tcW w:w="1831" w:type="dxa"/>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污染物排放清单</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176" w:type="dxa"/>
            <w:gridSpan w:val="2"/>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评价结论</w:t>
            </w:r>
          </w:p>
        </w:tc>
        <w:tc>
          <w:tcPr>
            <w:tcW w:w="7500" w:type="dxa"/>
            <w:gridSpan w:val="7"/>
            <w:vAlign w:val="center"/>
          </w:tcPr>
          <w:p>
            <w:pPr>
              <w:widowControl w:val="0"/>
              <w:spacing w:after="0" w:line="240" w:lineRule="auto"/>
              <w:jc w:val="left"/>
              <w:rPr>
                <w:rFonts w:ascii="Times New Roman" w:hAnsi="Times New Roman" w:eastAsia="宋体" w:cs="Times New Roman"/>
                <w:kern w:val="2"/>
                <w:sz w:val="21"/>
                <w:szCs w:val="24"/>
              </w:rPr>
            </w:pPr>
            <w:r>
              <w:rPr>
                <w:rFonts w:ascii="Times New Roman" w:hAnsi="Times New Roman" w:eastAsia="宋体" w:cs="Times New Roman"/>
                <w:kern w:val="2"/>
                <w:sz w:val="21"/>
                <w:szCs w:val="24"/>
              </w:rPr>
              <w:t>可以接受</w:t>
            </w:r>
            <w:r>
              <w:rPr>
                <w:rFonts w:ascii="Times New Roman" w:hAnsi="Times New Roman" w:eastAsia="宋体" w:cs="Times New Roman"/>
                <w:kern w:val="2"/>
                <w:sz w:val="21"/>
                <w:szCs w:val="21"/>
              </w:rPr>
              <w:t>√</w:t>
            </w:r>
            <w:r>
              <w:rPr>
                <w:rFonts w:ascii="Times New Roman" w:hAnsi="Times New Roman" w:eastAsia="宋体" w:cs="Times New Roman"/>
                <w:kern w:val="2"/>
                <w:sz w:val="21"/>
                <w:szCs w:val="24"/>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9676" w:type="dxa"/>
            <w:gridSpan w:val="9"/>
            <w:vAlign w:val="center"/>
          </w:tcPr>
          <w:p>
            <w:pPr>
              <w:widowControl w:val="0"/>
              <w:spacing w:after="0" w:line="240" w:lineRule="auto"/>
              <w:jc w:val="center"/>
              <w:rPr>
                <w:rFonts w:ascii="Times New Roman" w:hAnsi="Times New Roman" w:eastAsia="宋体" w:cs="Times New Roman"/>
                <w:kern w:val="2"/>
                <w:sz w:val="21"/>
                <w:szCs w:val="24"/>
              </w:rPr>
            </w:pPr>
            <w:r>
              <w:rPr>
                <w:rFonts w:ascii="Times New Roman" w:hAnsi="Times New Roman" w:eastAsia="宋体" w:cs="Times New Roman"/>
                <w:kern w:val="2"/>
                <w:sz w:val="21"/>
                <w:szCs w:val="24"/>
              </w:rPr>
              <w:t>注：“</w:t>
            </w:r>
            <w:r>
              <w:rPr>
                <w:rFonts w:ascii="Times New Roman" w:hAnsi="Times New Roman" w:eastAsia="宋体" w:cs="Times New Roman"/>
                <w:kern w:val="2"/>
                <w:sz w:val="21"/>
                <w:szCs w:val="24"/>
              </w:rPr>
              <w:fldChar w:fldCharType="begin"/>
            </w:r>
            <w:r>
              <w:rPr>
                <w:rFonts w:ascii="Times New Roman" w:hAnsi="Times New Roman" w:eastAsia="宋体" w:cs="Times New Roman"/>
                <w:kern w:val="2"/>
                <w:sz w:val="21"/>
                <w:szCs w:val="24"/>
              </w:rPr>
              <w:instrText xml:space="preserve"> EQ \o\ac(□)</w:instrText>
            </w:r>
            <w:r>
              <w:rPr>
                <w:rFonts w:ascii="Times New Roman" w:hAnsi="Times New Roman" w:eastAsia="宋体" w:cs="Times New Roman"/>
                <w:kern w:val="2"/>
                <w:sz w:val="21"/>
                <w:szCs w:val="24"/>
              </w:rPr>
              <w:fldChar w:fldCharType="end"/>
            </w:r>
            <w:r>
              <w:rPr>
                <w:rFonts w:ascii="Times New Roman" w:hAnsi="Times New Roman" w:eastAsia="宋体" w:cs="Times New Roman"/>
                <w:kern w:val="2"/>
                <w:sz w:val="21"/>
                <w:szCs w:val="24"/>
              </w:rPr>
              <w:t>”为勾选项，可√；“（ ）”为内容填写项；“备注”为其他补充内容。</w:t>
            </w:r>
          </w:p>
        </w:tc>
      </w:tr>
    </w:tbl>
    <w:p>
      <w:pPr>
        <w:spacing w:line="288" w:lineRule="auto"/>
        <w:rPr>
          <w:rFonts w:hint="default" w:ascii="Times New Roman" w:hAnsi="Times New Roman" w:cs="Times New Roman"/>
          <w:color w:val="FF0000"/>
        </w:rPr>
        <w:sectPr>
          <w:pgSz w:w="11906" w:h="16838"/>
          <w:pgMar w:top="1134" w:right="1077" w:bottom="1134" w:left="1077" w:header="851" w:footer="992" w:gutter="0"/>
          <w:pgBorders>
            <w:top w:val="none" w:sz="0" w:space="0"/>
            <w:left w:val="none" w:sz="0" w:space="0"/>
            <w:bottom w:val="none" w:sz="0" w:space="0"/>
            <w:right w:val="none" w:sz="0" w:space="0"/>
          </w:pgBorders>
          <w:cols w:space="720" w:num="1"/>
          <w:titlePg/>
          <w:docGrid w:type="linesAndChars" w:linePitch="326" w:charSpace="0"/>
        </w:sectPr>
      </w:pPr>
    </w:p>
    <w:p>
      <w:pPr>
        <w:widowControl w:val="0"/>
        <w:spacing w:before="0" w:after="60"/>
        <w:jc w:val="left"/>
        <w:outlineLvl w:val="0"/>
        <w:rPr>
          <w:rFonts w:ascii="Times New Roman" w:hAnsi="Times New Roman" w:eastAsia="宋体" w:cs="Times New Roman"/>
          <w:b/>
          <w:bCs/>
          <w:kern w:val="2"/>
          <w:sz w:val="21"/>
          <w:szCs w:val="21"/>
          <w:lang w:val="en-US" w:eastAsia="zh-CN" w:bidi="ar-SA"/>
        </w:rPr>
      </w:pPr>
      <w:r>
        <w:rPr>
          <w:rFonts w:ascii="Times New Roman" w:hAnsi="Times New Roman" w:eastAsia="宋体" w:cs="Times New Roman"/>
          <w:b/>
          <w:bCs/>
          <w:kern w:val="2"/>
          <w:sz w:val="21"/>
          <w:szCs w:val="21"/>
          <w:lang w:val="en-US" w:eastAsia="zh-CN" w:bidi="ar-SA"/>
        </w:rPr>
        <w:t>附</w:t>
      </w:r>
      <w:r>
        <w:rPr>
          <w:rFonts w:hint="eastAsia" w:ascii="Times New Roman" w:hAnsi="Times New Roman" w:eastAsia="宋体" w:cs="Times New Roman"/>
          <w:b/>
          <w:bCs/>
          <w:kern w:val="2"/>
          <w:sz w:val="21"/>
          <w:szCs w:val="21"/>
          <w:lang w:val="en-US" w:eastAsia="zh-CN" w:bidi="ar-SA"/>
        </w:rPr>
        <w:t xml:space="preserve">表3 </w:t>
      </w:r>
      <w:r>
        <w:rPr>
          <w:rFonts w:ascii="Times New Roman" w:hAnsi="Times New Roman" w:eastAsia="宋体" w:cs="Times New Roman"/>
          <w:b/>
          <w:bCs/>
          <w:kern w:val="2"/>
          <w:sz w:val="21"/>
          <w:szCs w:val="21"/>
          <w:lang w:val="en-US" w:eastAsia="zh-CN" w:bidi="ar-SA"/>
        </w:rPr>
        <w:t>建设项目</w:t>
      </w:r>
      <w:r>
        <w:rPr>
          <w:rFonts w:hint="eastAsia" w:ascii="Times New Roman" w:hAnsi="Times New Roman" w:eastAsia="宋体" w:cs="Times New Roman"/>
          <w:b/>
          <w:bCs/>
          <w:kern w:val="2"/>
          <w:sz w:val="21"/>
          <w:szCs w:val="21"/>
          <w:lang w:val="en-US" w:eastAsia="zh-CN" w:bidi="ar-SA"/>
        </w:rPr>
        <w:t>环境风险评价自查表</w:t>
      </w:r>
    </w:p>
    <w:tbl>
      <w:tblPr>
        <w:tblStyle w:val="43"/>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5"/>
        <w:gridCol w:w="1396"/>
        <w:gridCol w:w="956"/>
        <w:gridCol w:w="289"/>
        <w:gridCol w:w="314"/>
        <w:gridCol w:w="288"/>
        <w:gridCol w:w="229"/>
        <w:gridCol w:w="297"/>
        <w:gridCol w:w="118"/>
        <w:gridCol w:w="224"/>
        <w:gridCol w:w="405"/>
        <w:gridCol w:w="473"/>
        <w:gridCol w:w="146"/>
        <w:gridCol w:w="415"/>
        <w:gridCol w:w="98"/>
        <w:gridCol w:w="222"/>
        <w:gridCol w:w="206"/>
        <w:gridCol w:w="224"/>
        <w:gridCol w:w="81"/>
        <w:gridCol w:w="587"/>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工作内容</w:t>
            </w:r>
          </w:p>
        </w:tc>
        <w:tc>
          <w:tcPr>
            <w:tcW w:w="6766" w:type="dxa"/>
            <w:gridSpan w:val="1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完成</w:t>
            </w:r>
            <w:r>
              <w:rPr>
                <w:rFonts w:ascii="Times New Roman" w:hAnsi="Times New Roman" w:eastAsia="宋体" w:cs="Times New Roman"/>
                <w:kern w:val="2"/>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风</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险</w:t>
            </w:r>
          </w:p>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调</w:t>
            </w:r>
          </w:p>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查</w:t>
            </w:r>
          </w:p>
        </w:tc>
        <w:tc>
          <w:tcPr>
            <w:tcW w:w="139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危险</w:t>
            </w:r>
            <w:r>
              <w:rPr>
                <w:rFonts w:ascii="Times New Roman" w:hAnsi="Times New Roman" w:eastAsia="宋体" w:cs="Times New Roman"/>
                <w:kern w:val="2"/>
                <w:sz w:val="21"/>
                <w:szCs w:val="21"/>
              </w:rPr>
              <w:t>物质</w:t>
            </w: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名称</w:t>
            </w:r>
          </w:p>
        </w:tc>
        <w:tc>
          <w:tcPr>
            <w:tcW w:w="891"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润滑油</w:t>
            </w:r>
          </w:p>
        </w:tc>
        <w:tc>
          <w:tcPr>
            <w:tcW w:w="868" w:type="dxa"/>
            <w:gridSpan w:val="4"/>
            <w:tcBorders>
              <w:tl2br w:val="nil"/>
              <w:tr2bl w:val="nil"/>
            </w:tcBorders>
            <w:vAlign w:val="center"/>
          </w:tcPr>
          <w:p>
            <w:pPr>
              <w:widowControl w:val="0"/>
              <w:spacing w:after="0" w:line="240" w:lineRule="auto"/>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天然气</w:t>
            </w:r>
          </w:p>
        </w:tc>
        <w:tc>
          <w:tcPr>
            <w:tcW w:w="878"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59"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5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68"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194"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存在总量</w:t>
            </w:r>
            <w:r>
              <w:rPr>
                <w:rFonts w:hint="eastAsia" w:ascii="Times New Roman" w:hAnsi="Times New Roman" w:eastAsia="宋体" w:cs="Times New Roman"/>
                <w:kern w:val="2"/>
                <w:sz w:val="21"/>
                <w:szCs w:val="21"/>
              </w:rPr>
              <w:t>/t</w:t>
            </w:r>
          </w:p>
        </w:tc>
        <w:tc>
          <w:tcPr>
            <w:tcW w:w="891" w:type="dxa"/>
            <w:gridSpan w:val="3"/>
            <w:tcBorders>
              <w:tl2br w:val="nil"/>
              <w:tr2bl w:val="nil"/>
            </w:tcBorders>
            <w:vAlign w:val="center"/>
          </w:tcPr>
          <w:p>
            <w:pPr>
              <w:widowControl w:val="0"/>
              <w:spacing w:after="0" w:line="240" w:lineRule="auto"/>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w:t>
            </w:r>
          </w:p>
        </w:tc>
        <w:tc>
          <w:tcPr>
            <w:tcW w:w="868" w:type="dxa"/>
            <w:gridSpan w:val="4"/>
            <w:tcBorders>
              <w:tl2br w:val="nil"/>
              <w:tr2bl w:val="nil"/>
            </w:tcBorders>
            <w:vAlign w:val="center"/>
          </w:tcPr>
          <w:p>
            <w:pPr>
              <w:widowControl w:val="0"/>
              <w:spacing w:after="0" w:line="240" w:lineRule="auto"/>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en-US" w:eastAsia="zh-CN"/>
              </w:rPr>
              <w:t>0</w:t>
            </w:r>
          </w:p>
        </w:tc>
        <w:tc>
          <w:tcPr>
            <w:tcW w:w="878"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59"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5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68"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194"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环境敏感性</w:t>
            </w:r>
          </w:p>
        </w:tc>
        <w:tc>
          <w:tcPr>
            <w:tcW w:w="95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大气</w:t>
            </w:r>
          </w:p>
        </w:tc>
        <w:tc>
          <w:tcPr>
            <w:tcW w:w="2637" w:type="dxa"/>
            <w:gridSpan w:val="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500m范围内人口数    人</w:t>
            </w:r>
          </w:p>
        </w:tc>
        <w:tc>
          <w:tcPr>
            <w:tcW w:w="3173" w:type="dxa"/>
            <w:gridSpan w:val="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5km范围内人口数      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3948" w:type="dxa"/>
            <w:gridSpan w:val="1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每公里管段周边200m范围内人口数（最大）</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      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地表水</w:t>
            </w: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地表水功能敏感性</w:t>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F1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F2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F3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环境敏感目标分级</w:t>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S1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S2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S3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地下水</w:t>
            </w: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地下水功能敏感性</w:t>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G1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G2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G3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包气带防污性能</w:t>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D1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D2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D3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物质及工艺系统</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危险性</w:t>
            </w: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Q值</w:t>
            </w: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Q＜1 </w:t>
            </w:r>
            <w:r>
              <w:rPr>
                <w:rFonts w:hint="eastAsia" w:ascii="Times New Roman" w:hAnsi="Times New Roman" w:eastAsia="宋体" w:cs="Times New Roman"/>
                <w:kern w:val="2"/>
                <w:sz w:val="21"/>
                <w:szCs w:val="21"/>
              </w:rPr>
              <w:sym w:font="Wingdings 2" w:char="0052"/>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1≤Q＜10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10≤Q＜100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Q＞100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M值</w:t>
            </w: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M1 □</w:t>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M2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M3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M4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P值</w:t>
            </w:r>
          </w:p>
        </w:tc>
        <w:tc>
          <w:tcPr>
            <w:tcW w:w="1417"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P1 □</w:t>
            </w:r>
          </w:p>
        </w:tc>
        <w:tc>
          <w:tcPr>
            <w:tcW w:w="1220"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P2 □</w:t>
            </w:r>
          </w:p>
        </w:tc>
        <w:tc>
          <w:tcPr>
            <w:tcW w:w="131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P3 □</w:t>
            </w:r>
          </w:p>
        </w:tc>
        <w:tc>
          <w:tcPr>
            <w:tcW w:w="1862"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P4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环境敏感</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程度</w:t>
            </w: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大气</w:t>
            </w:r>
          </w:p>
        </w:tc>
        <w:tc>
          <w:tcPr>
            <w:tcW w:w="1759" w:type="dxa"/>
            <w:gridSpan w:val="7"/>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E1 □</w:t>
            </w:r>
          </w:p>
        </w:tc>
        <w:tc>
          <w:tcPr>
            <w:tcW w:w="1759"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E2 □</w:t>
            </w:r>
          </w:p>
        </w:tc>
        <w:tc>
          <w:tcPr>
            <w:tcW w:w="2292"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地表水</w:t>
            </w:r>
          </w:p>
        </w:tc>
        <w:tc>
          <w:tcPr>
            <w:tcW w:w="1759" w:type="dxa"/>
            <w:gridSpan w:val="7"/>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E1 □</w:t>
            </w:r>
          </w:p>
        </w:tc>
        <w:tc>
          <w:tcPr>
            <w:tcW w:w="1759"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E2 □</w:t>
            </w:r>
          </w:p>
        </w:tc>
        <w:tc>
          <w:tcPr>
            <w:tcW w:w="2292"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95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地下水</w:t>
            </w:r>
          </w:p>
        </w:tc>
        <w:tc>
          <w:tcPr>
            <w:tcW w:w="1759" w:type="dxa"/>
            <w:gridSpan w:val="7"/>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E1 □</w:t>
            </w:r>
          </w:p>
        </w:tc>
        <w:tc>
          <w:tcPr>
            <w:tcW w:w="1759"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E2 □</w:t>
            </w:r>
          </w:p>
        </w:tc>
        <w:tc>
          <w:tcPr>
            <w:tcW w:w="2292"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环境风险</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潜势</w:t>
            </w:r>
          </w:p>
        </w:tc>
        <w:tc>
          <w:tcPr>
            <w:tcW w:w="1245"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Ⅳ</w:t>
            </w:r>
            <w:r>
              <w:rPr>
                <w:rFonts w:hint="eastAsia" w:ascii="Times New Roman" w:hAnsi="Times New Roman" w:eastAsia="宋体" w:cs="Times New Roman"/>
                <w:kern w:val="2"/>
                <w:sz w:val="21"/>
                <w:szCs w:val="21"/>
                <w:vertAlign w:val="superscript"/>
              </w:rPr>
              <w:t>+</w:t>
            </w:r>
            <w:r>
              <w:rPr>
                <w:rFonts w:hint="eastAsia" w:ascii="Times New Roman" w:hAnsi="Times New Roman" w:eastAsia="宋体" w:cs="Times New Roman"/>
                <w:kern w:val="2"/>
                <w:sz w:val="21"/>
                <w:szCs w:val="21"/>
              </w:rPr>
              <w:t xml:space="preserve"> □</w:t>
            </w:r>
          </w:p>
        </w:tc>
        <w:tc>
          <w:tcPr>
            <w:tcW w:w="1246"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Ⅳ □</w:t>
            </w:r>
          </w:p>
        </w:tc>
        <w:tc>
          <w:tcPr>
            <w:tcW w:w="1248"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Ⅲ □</w:t>
            </w:r>
          </w:p>
        </w:tc>
        <w:tc>
          <w:tcPr>
            <w:tcW w:w="1246"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Ⅱ</w:t>
            </w:r>
            <w:r>
              <w:rPr>
                <w:rFonts w:hint="eastAsia" w:ascii="Times New Roman" w:hAnsi="Times New Roman" w:eastAsia="宋体" w:cs="Times New Roman"/>
                <w:kern w:val="2"/>
                <w:sz w:val="21"/>
                <w:szCs w:val="21"/>
              </w:rPr>
              <w:t xml:space="preserve"> □</w:t>
            </w:r>
          </w:p>
        </w:tc>
        <w:tc>
          <w:tcPr>
            <w:tcW w:w="178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I </w:t>
            </w:r>
            <w:r>
              <w:rPr>
                <w:rFonts w:ascii="Times New Roman" w:hAnsi="Times New Roman" w:eastAsia="宋体" w:cs="Times New Roman"/>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评价等级</w:t>
            </w:r>
          </w:p>
        </w:tc>
        <w:tc>
          <w:tcPr>
            <w:tcW w:w="1559"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一级 □</w:t>
            </w:r>
          </w:p>
        </w:tc>
        <w:tc>
          <w:tcPr>
            <w:tcW w:w="156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二级 □</w:t>
            </w:r>
          </w:p>
        </w:tc>
        <w:tc>
          <w:tcPr>
            <w:tcW w:w="1560"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三级 □</w:t>
            </w:r>
          </w:p>
        </w:tc>
        <w:tc>
          <w:tcPr>
            <w:tcW w:w="2086"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简单分析 </w:t>
            </w:r>
            <w:r>
              <w:rPr>
                <w:rFonts w:ascii="Times New Roman" w:hAnsi="Times New Roman" w:eastAsia="宋体" w:cs="Times New Roman"/>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风</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险</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识</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别</w:t>
            </w:r>
          </w:p>
        </w:tc>
        <w:tc>
          <w:tcPr>
            <w:tcW w:w="139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物质危险性</w:t>
            </w:r>
          </w:p>
        </w:tc>
        <w:tc>
          <w:tcPr>
            <w:tcW w:w="3120" w:type="dxa"/>
            <w:gridSpan w:val="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有毒有害 </w:t>
            </w:r>
            <w:r>
              <w:rPr>
                <w:rFonts w:hint="eastAsia" w:ascii="Times New Roman" w:hAnsi="Times New Roman" w:eastAsia="宋体" w:cs="Times New Roman"/>
                <w:kern w:val="2"/>
                <w:sz w:val="21"/>
                <w:szCs w:val="21"/>
              </w:rPr>
              <w:sym w:font="Wingdings 2" w:char="00A3"/>
            </w:r>
          </w:p>
        </w:tc>
        <w:tc>
          <w:tcPr>
            <w:tcW w:w="3646" w:type="dxa"/>
            <w:gridSpan w:val="10"/>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易燃易爆 </w:t>
            </w:r>
            <w:r>
              <w:rPr>
                <w:rFonts w:hint="eastAsia" w:ascii="Times New Roman" w:hAnsi="Times New Roman" w:eastAsia="宋体" w:cs="Times New Roman"/>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环境风险</w:t>
            </w:r>
          </w:p>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类型</w:t>
            </w:r>
          </w:p>
        </w:tc>
        <w:tc>
          <w:tcPr>
            <w:tcW w:w="3120" w:type="dxa"/>
            <w:gridSpan w:val="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泄漏 </w:t>
            </w:r>
            <w:r>
              <w:rPr>
                <w:rFonts w:hint="eastAsia" w:ascii="Times New Roman" w:hAnsi="Times New Roman" w:eastAsia="宋体" w:cs="Times New Roman"/>
                <w:kern w:val="2"/>
                <w:sz w:val="21"/>
                <w:szCs w:val="21"/>
              </w:rPr>
              <w:sym w:font="Wingdings 2" w:char="0052"/>
            </w:r>
            <w:r>
              <w:rPr>
                <w:rFonts w:hint="eastAsia" w:ascii="Times New Roman" w:hAnsi="Times New Roman" w:eastAsia="宋体" w:cs="Times New Roman"/>
                <w:kern w:val="2"/>
                <w:sz w:val="21"/>
                <w:szCs w:val="21"/>
              </w:rPr>
              <w:t xml:space="preserve"> </w:t>
            </w:r>
          </w:p>
        </w:tc>
        <w:tc>
          <w:tcPr>
            <w:tcW w:w="3646" w:type="dxa"/>
            <w:gridSpan w:val="10"/>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火灾、爆炸引发伴生/次生污染物排放 </w:t>
            </w:r>
            <w:r>
              <w:rPr>
                <w:rFonts w:hint="eastAsia" w:ascii="Times New Roman" w:hAnsi="Times New Roman" w:eastAsia="宋体" w:cs="Times New Roman"/>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影响途径</w:t>
            </w:r>
          </w:p>
        </w:tc>
        <w:tc>
          <w:tcPr>
            <w:tcW w:w="2076" w:type="dxa"/>
            <w:gridSpan w:val="5"/>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大气 </w:t>
            </w:r>
            <w:r>
              <w:rPr>
                <w:rFonts w:ascii="Times New Roman" w:hAnsi="Times New Roman" w:eastAsia="宋体" w:cs="Times New Roman"/>
                <w:kern w:val="2"/>
                <w:sz w:val="21"/>
                <w:szCs w:val="21"/>
              </w:rPr>
              <w:sym w:font="Wingdings 2" w:char="0052"/>
            </w:r>
          </w:p>
        </w:tc>
        <w:tc>
          <w:tcPr>
            <w:tcW w:w="2078" w:type="dxa"/>
            <w:gridSpan w:val="7"/>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地表水 </w:t>
            </w:r>
            <w:r>
              <w:rPr>
                <w:rFonts w:hint="eastAsia" w:ascii="Times New Roman" w:hAnsi="Times New Roman" w:eastAsia="宋体" w:cs="Times New Roman"/>
                <w:kern w:val="2"/>
                <w:sz w:val="21"/>
                <w:szCs w:val="21"/>
              </w:rPr>
              <w:sym w:font="Wingdings 2" w:char="0052"/>
            </w:r>
          </w:p>
        </w:tc>
        <w:tc>
          <w:tcPr>
            <w:tcW w:w="2612" w:type="dxa"/>
            <w:gridSpan w:val="7"/>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地下水 </w:t>
            </w:r>
            <w:r>
              <w:rPr>
                <w:rFonts w:ascii="Times New Roman" w:hAnsi="Times New Roman" w:eastAsia="宋体" w:cs="Times New Roman"/>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 xml:space="preserve">事故情形分析 </w:t>
            </w:r>
          </w:p>
        </w:tc>
        <w:tc>
          <w:tcPr>
            <w:tcW w:w="1559"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源强设定方法</w:t>
            </w:r>
          </w:p>
        </w:tc>
        <w:tc>
          <w:tcPr>
            <w:tcW w:w="156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计算法 □</w:t>
            </w:r>
          </w:p>
        </w:tc>
        <w:tc>
          <w:tcPr>
            <w:tcW w:w="1560"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经验估算法 □</w:t>
            </w:r>
          </w:p>
        </w:tc>
        <w:tc>
          <w:tcPr>
            <w:tcW w:w="2086"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其他估算法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风险</w:t>
            </w:r>
          </w:p>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预测</w:t>
            </w:r>
          </w:p>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与</w:t>
            </w:r>
          </w:p>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评价</w:t>
            </w:r>
          </w:p>
        </w:tc>
        <w:tc>
          <w:tcPr>
            <w:tcW w:w="139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大气</w:t>
            </w:r>
          </w:p>
        </w:tc>
        <w:tc>
          <w:tcPr>
            <w:tcW w:w="1559" w:type="dxa"/>
            <w:gridSpan w:val="3"/>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预测模型</w:t>
            </w:r>
          </w:p>
        </w:tc>
        <w:tc>
          <w:tcPr>
            <w:tcW w:w="1561"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SLAB □</w:t>
            </w:r>
          </w:p>
        </w:tc>
        <w:tc>
          <w:tcPr>
            <w:tcW w:w="1560" w:type="dxa"/>
            <w:gridSpan w:val="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AFTOX □</w:t>
            </w:r>
          </w:p>
        </w:tc>
        <w:tc>
          <w:tcPr>
            <w:tcW w:w="2086" w:type="dxa"/>
            <w:gridSpan w:val="4"/>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559" w:type="dxa"/>
            <w:gridSpan w:val="3"/>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预测结果</w:t>
            </w:r>
          </w:p>
        </w:tc>
        <w:tc>
          <w:tcPr>
            <w:tcW w:w="5207" w:type="dxa"/>
            <w:gridSpan w:val="1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大气毒性终点浓度-1 最大影响范围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559" w:type="dxa"/>
            <w:gridSpan w:val="3"/>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5207" w:type="dxa"/>
            <w:gridSpan w:val="16"/>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大气毒性终点浓度-2 最大影响范围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地表水</w:t>
            </w:r>
          </w:p>
        </w:tc>
        <w:tc>
          <w:tcPr>
            <w:tcW w:w="6766" w:type="dxa"/>
            <w:gridSpan w:val="1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最近环境敏感目标      ，到达时间      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restart"/>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地下水</w:t>
            </w:r>
          </w:p>
        </w:tc>
        <w:tc>
          <w:tcPr>
            <w:tcW w:w="6766" w:type="dxa"/>
            <w:gridSpan w:val="1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下游厂区边界到达时间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5"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1396" w:type="dxa"/>
            <w:vMerge w:val="continue"/>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p>
        </w:tc>
        <w:tc>
          <w:tcPr>
            <w:tcW w:w="6766" w:type="dxa"/>
            <w:gridSpan w:val="1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最近环境敏感目标      ，到达时间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重点风险防范</w:t>
            </w:r>
          </w:p>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措施</w:t>
            </w:r>
          </w:p>
        </w:tc>
        <w:tc>
          <w:tcPr>
            <w:tcW w:w="6766" w:type="dxa"/>
            <w:gridSpan w:val="19"/>
            <w:tcBorders>
              <w:tl2br w:val="nil"/>
              <w:tr2bl w:val="nil"/>
            </w:tcBorders>
            <w:vAlign w:val="center"/>
          </w:tcPr>
          <w:p>
            <w:pPr>
              <w:widowControl w:val="0"/>
              <w:spacing w:after="0" w:line="240" w:lineRule="auto"/>
              <w:jc w:val="left"/>
              <w:rPr>
                <w:rFonts w:ascii="Times New Roman" w:hAnsi="Times New Roman" w:eastAsia="TT174o00" w:cs="Times New Roman"/>
                <w:kern w:val="2"/>
                <w:sz w:val="21"/>
                <w:szCs w:val="21"/>
              </w:rPr>
            </w:pPr>
            <w:r>
              <w:rPr>
                <w:rFonts w:ascii="Times New Roman" w:hAnsi="Times New Roman" w:cs="Times New Roman" w:eastAsiaTheme="minorEastAsia"/>
                <w:kern w:val="2"/>
                <w:sz w:val="21"/>
                <w:szCs w:val="21"/>
              </w:rPr>
              <w:t>①储存危险废物必须严实包装，储存场地硬底化，设置漫坡围堰，储存场地选择室内或设置遮雨措施</w:t>
            </w:r>
            <w:r>
              <w:rPr>
                <w:rFonts w:hint="eastAsia" w:ascii="Times New Roman" w:hAnsi="Times New Roman" w:cs="Times New Roman" w:eastAsiaTheme="minorEastAsia"/>
                <w:kern w:val="2"/>
                <w:sz w:val="21"/>
                <w:szCs w:val="21"/>
              </w:rPr>
              <w:t>；</w:t>
            </w:r>
            <w:r>
              <w:rPr>
                <w:rFonts w:ascii="Times New Roman" w:hAnsi="Times New Roman" w:cs="Times New Roman" w:eastAsiaTheme="minorEastAsia"/>
                <w:kern w:val="2"/>
                <w:sz w:val="21"/>
                <w:szCs w:val="21"/>
              </w:rPr>
              <w:t>②储存化学品必须严实包装，储存场地硬底化，设置漫坡围堰，储存场地选择室内或设置遮雨措施</w:t>
            </w:r>
            <w:r>
              <w:rPr>
                <w:rFonts w:hint="eastAsia" w:ascii="Times New Roman" w:hAnsi="Times New Roman" w:cs="Times New Roman" w:eastAsiaTheme="minorEastAsia"/>
                <w:kern w:val="2"/>
                <w:sz w:val="21"/>
                <w:szCs w:val="21"/>
              </w:rPr>
              <w:t>；</w:t>
            </w:r>
            <w:r>
              <w:rPr>
                <w:rFonts w:ascii="Times New Roman" w:hAnsi="Times New Roman" w:cs="Times New Roman" w:eastAsiaTheme="minorEastAsia"/>
                <w:kern w:val="2"/>
                <w:sz w:val="21"/>
                <w:szCs w:val="21"/>
              </w:rPr>
              <w:t>③加强检修维护，确保废气收集系统的正常运行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2261" w:type="dxa"/>
            <w:gridSpan w:val="2"/>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评价结论与建议</w:t>
            </w:r>
          </w:p>
        </w:tc>
        <w:tc>
          <w:tcPr>
            <w:tcW w:w="6766" w:type="dxa"/>
            <w:gridSpan w:val="19"/>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项目物质不构成重大危险源，企业在落实相应风险防范和控制措施的情况下，总体环境风险可控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7" w:type="dxa"/>
            <w:gridSpan w:val="21"/>
            <w:tcBorders>
              <w:tl2br w:val="nil"/>
              <w:tr2bl w:val="nil"/>
            </w:tcBorders>
            <w:vAlign w:val="center"/>
          </w:tcPr>
          <w:p>
            <w:pPr>
              <w:widowControl w:val="0"/>
              <w:spacing w:after="0" w:line="240" w:lineRule="auto"/>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rPr>
              <w:t>注：“□”为勾选项，“ ”为填写项。</w:t>
            </w:r>
          </w:p>
        </w:tc>
      </w:tr>
    </w:tbl>
    <w:p>
      <w:pPr>
        <w:sectPr>
          <w:pgSz w:w="11907" w:h="16840"/>
          <w:pgMar w:top="1440" w:right="1134" w:bottom="1134" w:left="1361" w:header="851" w:footer="851" w:gutter="0"/>
          <w:cols w:space="720" w:num="1"/>
          <w:docGrid w:linePitch="312" w:charSpace="0"/>
        </w:sectPr>
      </w:pPr>
    </w:p>
    <w:p>
      <w:pPr>
        <w:widowControl w:val="0"/>
        <w:spacing w:before="0" w:after="60"/>
        <w:jc w:val="left"/>
        <w:outlineLvl w:val="0"/>
        <w:rPr>
          <w:rFonts w:hint="eastAsia" w:ascii="Times New Roman" w:hAnsi="Times New Roman" w:eastAsia="宋体" w:cs="Times New Roman"/>
          <w:b/>
          <w:bCs/>
          <w:kern w:val="2"/>
          <w:sz w:val="21"/>
          <w:szCs w:val="21"/>
          <w:lang w:val="en-US" w:eastAsia="zh-CN" w:bidi="ar-SA"/>
        </w:rPr>
      </w:pPr>
      <w:bookmarkStart w:id="32" w:name="_GoBack"/>
      <w:bookmarkEnd w:id="32"/>
      <w:r>
        <w:rPr>
          <w:rFonts w:ascii="Times New Roman" w:hAnsi="Times New Roman" w:eastAsia="宋体" w:cs="Times New Roman"/>
          <w:b/>
          <w:bCs/>
          <w:kern w:val="2"/>
          <w:sz w:val="21"/>
          <w:szCs w:val="21"/>
          <w:lang w:val="en-US" w:eastAsia="zh-CN" w:bidi="ar-SA"/>
        </w:rPr>
        <w:t>附</w:t>
      </w:r>
      <w:r>
        <w:rPr>
          <w:rFonts w:hint="eastAsia" w:ascii="Times New Roman" w:hAnsi="Times New Roman" w:eastAsia="宋体" w:cs="Times New Roman"/>
          <w:b/>
          <w:bCs/>
          <w:kern w:val="2"/>
          <w:sz w:val="21"/>
          <w:szCs w:val="21"/>
          <w:lang w:val="en-US" w:eastAsia="zh-CN" w:bidi="ar-SA"/>
        </w:rPr>
        <w:t>表4 建设项目环评审批基础信息表</w:t>
      </w:r>
    </w:p>
    <w:p>
      <w:pPr>
        <w:pStyle w:val="2"/>
        <w:rPr>
          <w:rFonts w:hint="default"/>
        </w:rPr>
      </w:pPr>
      <w:r>
        <w:drawing>
          <wp:inline distT="0" distB="0" distL="114300" distR="114300">
            <wp:extent cx="7636510" cy="5480050"/>
            <wp:effectExtent l="0" t="0" r="2540" b="635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73"/>
                    <a:stretch>
                      <a:fillRect/>
                    </a:stretch>
                  </pic:blipFill>
                  <pic:spPr>
                    <a:xfrm>
                      <a:off x="0" y="0"/>
                      <a:ext cx="7636510" cy="5480050"/>
                    </a:xfrm>
                    <a:prstGeom prst="rect">
                      <a:avLst/>
                    </a:prstGeom>
                    <a:noFill/>
                    <a:ln>
                      <a:noFill/>
                    </a:ln>
                  </pic:spPr>
                </pic:pic>
              </a:graphicData>
            </a:graphic>
          </wp:inline>
        </w:drawing>
      </w:r>
    </w:p>
    <w:sectPr>
      <w:pgSz w:w="16838" w:h="11906" w:orient="landscape"/>
      <w:pgMar w:top="1077" w:right="1134" w:bottom="1077" w:left="1134" w:header="851" w:footer="992" w:gutter="0"/>
      <w:pgBorders>
        <w:top w:val="none" w:sz="0" w:space="0"/>
        <w:left w:val="none" w:sz="0" w:space="0"/>
        <w:bottom w:val="none" w:sz="0" w:space="0"/>
        <w:right w:val="none" w:sz="0" w:space="0"/>
      </w:pgBorders>
      <w:cols w:space="720" w:num="1"/>
      <w:titlePg/>
      <w:docGrid w:type="linesAndChar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Impact">
    <w:panose1 w:val="020B0806030902050204"/>
    <w:charset w:val="00"/>
    <w:family w:val="swiss"/>
    <w:pitch w:val="default"/>
    <w:sig w:usb0="00000287" w:usb1="00000000" w:usb2="00000000" w:usb3="00000000" w:csb0="2000009F" w:csb1="DFD7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Arial Unicode MS">
    <w:panose1 w:val="020B0604020202020204"/>
    <w:charset w:val="86"/>
    <w:family w:val="roman"/>
    <w:pitch w:val="default"/>
    <w:sig w:usb0="FFFFFFFF" w:usb1="E9FFFFFF" w:usb2="0000003F" w:usb3="00000000" w:csb0="603F01FF" w:csb1="FFFF0000"/>
  </w:font>
  <w:font w:name="仿宋体">
    <w:altName w:val="新宋体"/>
    <w:panose1 w:val="00000000000000000000"/>
    <w:charset w:val="86"/>
    <w:family w:val="roma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MingLiU">
    <w:panose1 w:val="02020509000000000000"/>
    <w:charset w:val="88"/>
    <w:family w:val="modern"/>
    <w:pitch w:val="default"/>
    <w:sig w:usb0="A00002FF" w:usb1="28CFFCFA" w:usb2="00000016" w:usb3="00000000" w:csb0="00100001" w:csb1="00000000"/>
  </w:font>
  <w:font w:name="楷体">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Noto Sans CJK JP Regular">
    <w:altName w:val="Arial"/>
    <w:panose1 w:val="00000000000000000000"/>
    <w:charset w:val="00"/>
    <w:family w:val="swiss"/>
    <w:pitch w:val="default"/>
    <w:sig w:usb0="00000000" w:usb1="00000000" w:usb2="00000000" w:usb3="00000000" w:csb0="00000000" w:csb1="00000000"/>
  </w:font>
  <w:font w:name="方正仿宋_GBK">
    <w:altName w:val="微软雅黑"/>
    <w:panose1 w:val="00000000000000000000"/>
    <w:charset w:val="86"/>
    <w:family w:val="script"/>
    <w:pitch w:val="default"/>
    <w:sig w:usb0="00000000" w:usb1="00000000" w:usb2="00000010" w:usb3="00000000" w:csb0="003C0040" w:csb1="00000000"/>
  </w:font>
  <w:font w:name="TimesNewRomanPSMT">
    <w:altName w:val="Times New Roman"/>
    <w:panose1 w:val="00000000000000000000"/>
    <w:charset w:val="00"/>
    <w:family w:val="roman"/>
    <w:pitch w:val="default"/>
    <w:sig w:usb0="00000000" w:usb1="00000000" w:usb2="00000010"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TT174o00">
    <w:altName w:val="宋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jc w:val="center"/>
    </w:pPr>
    <w:r>
      <w:fldChar w:fldCharType="begin"/>
    </w:r>
    <w:r>
      <w:instrText xml:space="preserve"> PAGE   \* MERGEFORMAT </w:instrText>
    </w:r>
    <w:r>
      <w:fldChar w:fldCharType="separate"/>
    </w:r>
    <w:r>
      <w:rPr>
        <w:lang w:val="zh-CN"/>
      </w:rPr>
      <w:t>31</w:t>
    </w:r>
    <w:r>
      <w:rPr>
        <w:lang w:val="zh-CN"/>
      </w:rPr>
      <w:fldChar w:fldCharType="end"/>
    </w:r>
  </w:p>
  <w:p>
    <w:pPr>
      <w:pStyle w:val="3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4566136"/>
      <w:docPartObj>
        <w:docPartGallery w:val="autotext"/>
      </w:docPartObj>
    </w:sdtPr>
    <w:sdtContent>
      <w:p>
        <w:pPr>
          <w:pStyle w:val="35"/>
          <w:jc w:val="center"/>
        </w:pPr>
        <w:r>
          <w:fldChar w:fldCharType="begin"/>
        </w:r>
        <w:r>
          <w:instrText xml:space="preserve">PAGE   \* MERGEFORMAT</w:instrText>
        </w:r>
        <w:r>
          <w:fldChar w:fldCharType="separate"/>
        </w:r>
        <w:r>
          <w:rPr>
            <w:lang w:val="zh-CN"/>
          </w:rPr>
          <w:t>43</w:t>
        </w:r>
        <w:r>
          <w:rPr>
            <w:lang w:val="zh-CN"/>
          </w:rPr>
          <w:fldChar w:fldCharType="end"/>
        </w:r>
      </w:p>
    </w:sdtContent>
  </w:sdt>
  <w:p>
    <w:pPr>
      <w:pStyle w:val="3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jc w:val="center"/>
    </w:pPr>
  </w:p>
  <w:p>
    <w:pPr>
      <w:pStyle w:val="3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EBE4352"/>
    <w:multiLevelType w:val="singleLevel"/>
    <w:tmpl w:val="AEBE4352"/>
    <w:lvl w:ilvl="0" w:tentative="0">
      <w:start w:val="6"/>
      <w:numFmt w:val="decimal"/>
      <w:suff w:val="nothing"/>
      <w:lvlText w:val="%1、"/>
      <w:lvlJc w:val="left"/>
    </w:lvl>
  </w:abstractNum>
  <w:abstractNum w:abstractNumId="1">
    <w:nsid w:val="FFF6BD2C"/>
    <w:multiLevelType w:val="singleLevel"/>
    <w:tmpl w:val="FFF6BD2C"/>
    <w:lvl w:ilvl="0" w:tentative="0">
      <w:start w:val="6"/>
      <w:numFmt w:val="chineseCounting"/>
      <w:suff w:val="nothing"/>
      <w:lvlText w:val="%1、"/>
      <w:lvlJc w:val="left"/>
      <w:rPr>
        <w:rFonts w:hint="eastAsia"/>
      </w:rPr>
    </w:lvl>
  </w:abstractNum>
  <w:abstractNum w:abstractNumId="2">
    <w:nsid w:val="01567D9A"/>
    <w:multiLevelType w:val="singleLevel"/>
    <w:tmpl w:val="01567D9A"/>
    <w:lvl w:ilvl="0" w:tentative="0">
      <w:start w:val="1"/>
      <w:numFmt w:val="decimal"/>
      <w:lvlText w:val="%1."/>
      <w:lvlJc w:val="left"/>
      <w:pPr>
        <w:tabs>
          <w:tab w:val="left" w:pos="312"/>
        </w:tabs>
      </w:pPr>
    </w:lvl>
  </w:abstractNum>
  <w:abstractNum w:abstractNumId="3">
    <w:nsid w:val="04690D27"/>
    <w:multiLevelType w:val="singleLevel"/>
    <w:tmpl w:val="04690D27"/>
    <w:lvl w:ilvl="0" w:tentative="0">
      <w:start w:val="1"/>
      <w:numFmt w:val="decimal"/>
      <w:suff w:val="nothing"/>
      <w:lvlText w:val="%1、"/>
      <w:lvlJc w:val="left"/>
    </w:lvl>
  </w:abstractNum>
  <w:abstractNum w:abstractNumId="4">
    <w:nsid w:val="1168ABA4"/>
    <w:multiLevelType w:val="singleLevel"/>
    <w:tmpl w:val="1168ABA4"/>
    <w:lvl w:ilvl="0" w:tentative="0">
      <w:start w:val="1"/>
      <w:numFmt w:val="bullet"/>
      <w:pStyle w:val="10"/>
      <w:lvlText w:val=""/>
      <w:lvlJc w:val="left"/>
      <w:pPr>
        <w:tabs>
          <w:tab w:val="left" w:pos="780"/>
        </w:tabs>
        <w:ind w:left="780" w:hanging="360"/>
      </w:pPr>
      <w:rPr>
        <w:rFonts w:hint="default" w:ascii="Wingdings" w:hAnsi="Wingdings"/>
      </w:rPr>
    </w:lvl>
  </w:abstractNum>
  <w:abstractNum w:abstractNumId="5">
    <w:nsid w:val="1AFC7BAF"/>
    <w:multiLevelType w:val="multilevel"/>
    <w:tmpl w:val="1AFC7BAF"/>
    <w:lvl w:ilvl="0" w:tentative="0">
      <w:start w:val="1"/>
      <w:numFmt w:val="decimal"/>
      <w:lvlText w:val="表 %1 "/>
      <w:lvlJc w:val="left"/>
      <w:pPr>
        <w:ind w:left="420" w:hanging="420"/>
      </w:pPr>
      <w:rPr>
        <w:rFonts w:hint="eastAsia"/>
        <w:b/>
        <w:lang w:val="en-U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
    <w:nsid w:val="47AB34A2"/>
    <w:multiLevelType w:val="multilevel"/>
    <w:tmpl w:val="47AB34A2"/>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86806FE"/>
    <w:multiLevelType w:val="multilevel"/>
    <w:tmpl w:val="486806FE"/>
    <w:lvl w:ilvl="0" w:tentative="0">
      <w:start w:val="1"/>
      <w:numFmt w:val="decimal"/>
      <w:lvlText w:val="%1."/>
      <w:lvlJc w:val="left"/>
      <w:pPr>
        <w:tabs>
          <w:tab w:val="left" w:pos="420"/>
        </w:tabs>
        <w:ind w:left="420" w:hanging="420"/>
      </w:pPr>
      <w:rPr>
        <w:color w:val="auto"/>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5"/>
  </w:num>
  <w:num w:numId="3">
    <w:abstractNumId w:val="3"/>
  </w:num>
  <w:num w:numId="4">
    <w:abstractNumId w:val="2"/>
  </w:num>
  <w:num w:numId="5">
    <w:abstractNumId w:val="7"/>
  </w:num>
  <w:num w:numId="6">
    <w:abstractNumId w:val="6"/>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hideSpellingErrors/>
  <w:documentProtection w:enforcement="0"/>
  <w:defaultTabStop w:val="420"/>
  <w:drawingGridHorizontalSpacing w:val="110"/>
  <w:drawingGridVerticalSpacing w:val="163"/>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16F7"/>
    <w:rsid w:val="00002FE7"/>
    <w:rsid w:val="00003944"/>
    <w:rsid w:val="000041BF"/>
    <w:rsid w:val="00007A49"/>
    <w:rsid w:val="00010432"/>
    <w:rsid w:val="0001149C"/>
    <w:rsid w:val="00012764"/>
    <w:rsid w:val="00012F6F"/>
    <w:rsid w:val="000160C0"/>
    <w:rsid w:val="00016F98"/>
    <w:rsid w:val="00021A49"/>
    <w:rsid w:val="00022A85"/>
    <w:rsid w:val="00025C25"/>
    <w:rsid w:val="00027857"/>
    <w:rsid w:val="000318F4"/>
    <w:rsid w:val="000326A5"/>
    <w:rsid w:val="000326BF"/>
    <w:rsid w:val="000339A5"/>
    <w:rsid w:val="00035AC7"/>
    <w:rsid w:val="00040FA1"/>
    <w:rsid w:val="0004164A"/>
    <w:rsid w:val="00042F9B"/>
    <w:rsid w:val="0004402E"/>
    <w:rsid w:val="00045234"/>
    <w:rsid w:val="00050392"/>
    <w:rsid w:val="00050A3B"/>
    <w:rsid w:val="00053835"/>
    <w:rsid w:val="00060390"/>
    <w:rsid w:val="00062181"/>
    <w:rsid w:val="000632EA"/>
    <w:rsid w:val="00065814"/>
    <w:rsid w:val="00065F4F"/>
    <w:rsid w:val="0006632E"/>
    <w:rsid w:val="0006664A"/>
    <w:rsid w:val="000666E9"/>
    <w:rsid w:val="000709BD"/>
    <w:rsid w:val="00070A7F"/>
    <w:rsid w:val="000713F6"/>
    <w:rsid w:val="0007238E"/>
    <w:rsid w:val="000723FD"/>
    <w:rsid w:val="00080AE2"/>
    <w:rsid w:val="00082807"/>
    <w:rsid w:val="000828C2"/>
    <w:rsid w:val="00084903"/>
    <w:rsid w:val="00085EFE"/>
    <w:rsid w:val="00085F81"/>
    <w:rsid w:val="000863DF"/>
    <w:rsid w:val="00087592"/>
    <w:rsid w:val="00087A67"/>
    <w:rsid w:val="00090533"/>
    <w:rsid w:val="000918A7"/>
    <w:rsid w:val="0009354C"/>
    <w:rsid w:val="00094EC3"/>
    <w:rsid w:val="00096541"/>
    <w:rsid w:val="000967FE"/>
    <w:rsid w:val="000968E0"/>
    <w:rsid w:val="000A037A"/>
    <w:rsid w:val="000A18A3"/>
    <w:rsid w:val="000A437C"/>
    <w:rsid w:val="000B1726"/>
    <w:rsid w:val="000B2569"/>
    <w:rsid w:val="000B2E8A"/>
    <w:rsid w:val="000B338F"/>
    <w:rsid w:val="000B3E11"/>
    <w:rsid w:val="000B40E8"/>
    <w:rsid w:val="000B497C"/>
    <w:rsid w:val="000B4FCF"/>
    <w:rsid w:val="000B5033"/>
    <w:rsid w:val="000B578A"/>
    <w:rsid w:val="000B6FA3"/>
    <w:rsid w:val="000C0665"/>
    <w:rsid w:val="000C1B3D"/>
    <w:rsid w:val="000C36BD"/>
    <w:rsid w:val="000C3B7B"/>
    <w:rsid w:val="000C52CD"/>
    <w:rsid w:val="000C6C62"/>
    <w:rsid w:val="000C6FE3"/>
    <w:rsid w:val="000D2631"/>
    <w:rsid w:val="000D39FD"/>
    <w:rsid w:val="000D6328"/>
    <w:rsid w:val="000D6822"/>
    <w:rsid w:val="000D709C"/>
    <w:rsid w:val="000E08FE"/>
    <w:rsid w:val="000E11E8"/>
    <w:rsid w:val="000E337F"/>
    <w:rsid w:val="000E41F0"/>
    <w:rsid w:val="000F1B59"/>
    <w:rsid w:val="000F3C04"/>
    <w:rsid w:val="000F4A5C"/>
    <w:rsid w:val="001108E1"/>
    <w:rsid w:val="00110D53"/>
    <w:rsid w:val="0011111B"/>
    <w:rsid w:val="00111924"/>
    <w:rsid w:val="00112FDC"/>
    <w:rsid w:val="0011306A"/>
    <w:rsid w:val="00114117"/>
    <w:rsid w:val="00114532"/>
    <w:rsid w:val="0011467F"/>
    <w:rsid w:val="001160D0"/>
    <w:rsid w:val="00123037"/>
    <w:rsid w:val="00123CEA"/>
    <w:rsid w:val="0012580B"/>
    <w:rsid w:val="0012684A"/>
    <w:rsid w:val="001274B2"/>
    <w:rsid w:val="00127BEC"/>
    <w:rsid w:val="00127E14"/>
    <w:rsid w:val="001307AF"/>
    <w:rsid w:val="001323CF"/>
    <w:rsid w:val="00132C86"/>
    <w:rsid w:val="0013357E"/>
    <w:rsid w:val="001367C6"/>
    <w:rsid w:val="00136CB8"/>
    <w:rsid w:val="001375DF"/>
    <w:rsid w:val="0014009A"/>
    <w:rsid w:val="00140B5E"/>
    <w:rsid w:val="00140DA2"/>
    <w:rsid w:val="00140E79"/>
    <w:rsid w:val="00142EE7"/>
    <w:rsid w:val="00143B07"/>
    <w:rsid w:val="001463C1"/>
    <w:rsid w:val="00150A1A"/>
    <w:rsid w:val="00153D6E"/>
    <w:rsid w:val="00154E5D"/>
    <w:rsid w:val="0015636D"/>
    <w:rsid w:val="00157D15"/>
    <w:rsid w:val="0016168E"/>
    <w:rsid w:val="00163A05"/>
    <w:rsid w:val="001651F6"/>
    <w:rsid w:val="001655C2"/>
    <w:rsid w:val="00165E06"/>
    <w:rsid w:val="001705EF"/>
    <w:rsid w:val="00171B7E"/>
    <w:rsid w:val="00172A27"/>
    <w:rsid w:val="00177462"/>
    <w:rsid w:val="001824F1"/>
    <w:rsid w:val="00190B8E"/>
    <w:rsid w:val="001916D3"/>
    <w:rsid w:val="00191C3D"/>
    <w:rsid w:val="00191E9B"/>
    <w:rsid w:val="0019356C"/>
    <w:rsid w:val="00194CB6"/>
    <w:rsid w:val="001951C3"/>
    <w:rsid w:val="00195372"/>
    <w:rsid w:val="001954E5"/>
    <w:rsid w:val="0019588A"/>
    <w:rsid w:val="00196A86"/>
    <w:rsid w:val="00197647"/>
    <w:rsid w:val="001976A3"/>
    <w:rsid w:val="00197EF5"/>
    <w:rsid w:val="001A118B"/>
    <w:rsid w:val="001A2BB4"/>
    <w:rsid w:val="001A5CDF"/>
    <w:rsid w:val="001A7D71"/>
    <w:rsid w:val="001A7F81"/>
    <w:rsid w:val="001B0046"/>
    <w:rsid w:val="001B120C"/>
    <w:rsid w:val="001B1709"/>
    <w:rsid w:val="001B27AA"/>
    <w:rsid w:val="001B3F05"/>
    <w:rsid w:val="001B487F"/>
    <w:rsid w:val="001B5257"/>
    <w:rsid w:val="001B58C5"/>
    <w:rsid w:val="001C08AC"/>
    <w:rsid w:val="001C1B96"/>
    <w:rsid w:val="001C2199"/>
    <w:rsid w:val="001C3E97"/>
    <w:rsid w:val="001C54F6"/>
    <w:rsid w:val="001C6BC6"/>
    <w:rsid w:val="001C7E08"/>
    <w:rsid w:val="001D1754"/>
    <w:rsid w:val="001D198C"/>
    <w:rsid w:val="001D78E7"/>
    <w:rsid w:val="001D7DF1"/>
    <w:rsid w:val="001E039B"/>
    <w:rsid w:val="001E3DCB"/>
    <w:rsid w:val="001E40BA"/>
    <w:rsid w:val="001E541C"/>
    <w:rsid w:val="001E6701"/>
    <w:rsid w:val="001E7A4B"/>
    <w:rsid w:val="001F013D"/>
    <w:rsid w:val="001F4519"/>
    <w:rsid w:val="001F58D9"/>
    <w:rsid w:val="001F7F83"/>
    <w:rsid w:val="00200DA1"/>
    <w:rsid w:val="00200F0F"/>
    <w:rsid w:val="00203344"/>
    <w:rsid w:val="002039E9"/>
    <w:rsid w:val="00204F39"/>
    <w:rsid w:val="00205DA0"/>
    <w:rsid w:val="00206562"/>
    <w:rsid w:val="0020668E"/>
    <w:rsid w:val="002079B7"/>
    <w:rsid w:val="00211929"/>
    <w:rsid w:val="00215AA9"/>
    <w:rsid w:val="00216BA3"/>
    <w:rsid w:val="0021791B"/>
    <w:rsid w:val="00217D6E"/>
    <w:rsid w:val="00217F13"/>
    <w:rsid w:val="00220B09"/>
    <w:rsid w:val="00223C56"/>
    <w:rsid w:val="00224A82"/>
    <w:rsid w:val="002250A3"/>
    <w:rsid w:val="00225611"/>
    <w:rsid w:val="00225985"/>
    <w:rsid w:val="00227FBD"/>
    <w:rsid w:val="0023121D"/>
    <w:rsid w:val="0023266C"/>
    <w:rsid w:val="00232826"/>
    <w:rsid w:val="002351F0"/>
    <w:rsid w:val="00236AE1"/>
    <w:rsid w:val="00237619"/>
    <w:rsid w:val="00237FA6"/>
    <w:rsid w:val="0024187E"/>
    <w:rsid w:val="00241F45"/>
    <w:rsid w:val="002421F3"/>
    <w:rsid w:val="0024250B"/>
    <w:rsid w:val="00246714"/>
    <w:rsid w:val="00251AE7"/>
    <w:rsid w:val="0025399B"/>
    <w:rsid w:val="00254B22"/>
    <w:rsid w:val="00256175"/>
    <w:rsid w:val="00260A28"/>
    <w:rsid w:val="002614E3"/>
    <w:rsid w:val="002632B5"/>
    <w:rsid w:val="002635BB"/>
    <w:rsid w:val="002642CA"/>
    <w:rsid w:val="0026761C"/>
    <w:rsid w:val="00267BA4"/>
    <w:rsid w:val="00271C2C"/>
    <w:rsid w:val="002720F1"/>
    <w:rsid w:val="00272860"/>
    <w:rsid w:val="00273969"/>
    <w:rsid w:val="00274969"/>
    <w:rsid w:val="00274A39"/>
    <w:rsid w:val="00274E00"/>
    <w:rsid w:val="0027517D"/>
    <w:rsid w:val="00280371"/>
    <w:rsid w:val="00280628"/>
    <w:rsid w:val="00282CAC"/>
    <w:rsid w:val="0028401B"/>
    <w:rsid w:val="002864E7"/>
    <w:rsid w:val="00287F84"/>
    <w:rsid w:val="00293A06"/>
    <w:rsid w:val="002948D6"/>
    <w:rsid w:val="0029748D"/>
    <w:rsid w:val="002A1B08"/>
    <w:rsid w:val="002A1DB0"/>
    <w:rsid w:val="002A3C0D"/>
    <w:rsid w:val="002A5503"/>
    <w:rsid w:val="002A61F3"/>
    <w:rsid w:val="002A630B"/>
    <w:rsid w:val="002A7387"/>
    <w:rsid w:val="002B0807"/>
    <w:rsid w:val="002B31F0"/>
    <w:rsid w:val="002B4622"/>
    <w:rsid w:val="002B4928"/>
    <w:rsid w:val="002B7453"/>
    <w:rsid w:val="002C3976"/>
    <w:rsid w:val="002C49AE"/>
    <w:rsid w:val="002C52D3"/>
    <w:rsid w:val="002C54C6"/>
    <w:rsid w:val="002D0F5C"/>
    <w:rsid w:val="002D1328"/>
    <w:rsid w:val="002D1335"/>
    <w:rsid w:val="002D1897"/>
    <w:rsid w:val="002D56B2"/>
    <w:rsid w:val="002D735F"/>
    <w:rsid w:val="002D7495"/>
    <w:rsid w:val="002E4BFE"/>
    <w:rsid w:val="002E6FF3"/>
    <w:rsid w:val="002F02D0"/>
    <w:rsid w:val="002F3607"/>
    <w:rsid w:val="002F36B4"/>
    <w:rsid w:val="002F5688"/>
    <w:rsid w:val="002F6624"/>
    <w:rsid w:val="00302617"/>
    <w:rsid w:val="00302F53"/>
    <w:rsid w:val="00303055"/>
    <w:rsid w:val="00303BDB"/>
    <w:rsid w:val="003042CF"/>
    <w:rsid w:val="003048B4"/>
    <w:rsid w:val="003072FC"/>
    <w:rsid w:val="00307542"/>
    <w:rsid w:val="003113AC"/>
    <w:rsid w:val="00312A65"/>
    <w:rsid w:val="00313B66"/>
    <w:rsid w:val="00314F9E"/>
    <w:rsid w:val="00316ACE"/>
    <w:rsid w:val="00317D30"/>
    <w:rsid w:val="00320808"/>
    <w:rsid w:val="00321431"/>
    <w:rsid w:val="003218CD"/>
    <w:rsid w:val="00321B9A"/>
    <w:rsid w:val="00322A14"/>
    <w:rsid w:val="00323BE3"/>
    <w:rsid w:val="00331B3D"/>
    <w:rsid w:val="00333772"/>
    <w:rsid w:val="003355D3"/>
    <w:rsid w:val="0033638B"/>
    <w:rsid w:val="00336E34"/>
    <w:rsid w:val="00340DF5"/>
    <w:rsid w:val="003439FF"/>
    <w:rsid w:val="003445B9"/>
    <w:rsid w:val="00344977"/>
    <w:rsid w:val="00346F55"/>
    <w:rsid w:val="00346F73"/>
    <w:rsid w:val="00347208"/>
    <w:rsid w:val="00351186"/>
    <w:rsid w:val="00351329"/>
    <w:rsid w:val="00356E76"/>
    <w:rsid w:val="0036135F"/>
    <w:rsid w:val="003620F5"/>
    <w:rsid w:val="00363A6E"/>
    <w:rsid w:val="003673C4"/>
    <w:rsid w:val="0037039C"/>
    <w:rsid w:val="00370566"/>
    <w:rsid w:val="00371733"/>
    <w:rsid w:val="0037313A"/>
    <w:rsid w:val="00374CD0"/>
    <w:rsid w:val="003750C9"/>
    <w:rsid w:val="00377341"/>
    <w:rsid w:val="00385ED3"/>
    <w:rsid w:val="00386E24"/>
    <w:rsid w:val="00390240"/>
    <w:rsid w:val="0039058A"/>
    <w:rsid w:val="00390FA4"/>
    <w:rsid w:val="0039116D"/>
    <w:rsid w:val="00392F70"/>
    <w:rsid w:val="00393A10"/>
    <w:rsid w:val="00396085"/>
    <w:rsid w:val="003A064E"/>
    <w:rsid w:val="003A6B2E"/>
    <w:rsid w:val="003A7847"/>
    <w:rsid w:val="003B2BBD"/>
    <w:rsid w:val="003C003F"/>
    <w:rsid w:val="003C0688"/>
    <w:rsid w:val="003C0FE2"/>
    <w:rsid w:val="003C1679"/>
    <w:rsid w:val="003C4A01"/>
    <w:rsid w:val="003C7049"/>
    <w:rsid w:val="003D026F"/>
    <w:rsid w:val="003D5B87"/>
    <w:rsid w:val="003D7961"/>
    <w:rsid w:val="003D7A17"/>
    <w:rsid w:val="003E0C2D"/>
    <w:rsid w:val="003E5F63"/>
    <w:rsid w:val="003F0379"/>
    <w:rsid w:val="003F0727"/>
    <w:rsid w:val="003F4B68"/>
    <w:rsid w:val="003F72A7"/>
    <w:rsid w:val="004010FF"/>
    <w:rsid w:val="00402839"/>
    <w:rsid w:val="00404312"/>
    <w:rsid w:val="00404F1F"/>
    <w:rsid w:val="004054F1"/>
    <w:rsid w:val="004059CC"/>
    <w:rsid w:val="00406DEB"/>
    <w:rsid w:val="00407785"/>
    <w:rsid w:val="00410601"/>
    <w:rsid w:val="004121DE"/>
    <w:rsid w:val="00412DC3"/>
    <w:rsid w:val="00415E66"/>
    <w:rsid w:val="00415FC9"/>
    <w:rsid w:val="00417AA3"/>
    <w:rsid w:val="00420194"/>
    <w:rsid w:val="004209C1"/>
    <w:rsid w:val="0042128D"/>
    <w:rsid w:val="00422D1A"/>
    <w:rsid w:val="00423E1F"/>
    <w:rsid w:val="0042537B"/>
    <w:rsid w:val="00425A28"/>
    <w:rsid w:val="00431243"/>
    <w:rsid w:val="00434073"/>
    <w:rsid w:val="00435075"/>
    <w:rsid w:val="004352B1"/>
    <w:rsid w:val="00435435"/>
    <w:rsid w:val="00435ABE"/>
    <w:rsid w:val="00436EAB"/>
    <w:rsid w:val="0044016C"/>
    <w:rsid w:val="00441383"/>
    <w:rsid w:val="00441CF5"/>
    <w:rsid w:val="00442573"/>
    <w:rsid w:val="00444920"/>
    <w:rsid w:val="00444AA4"/>
    <w:rsid w:val="00445D0E"/>
    <w:rsid w:val="00447860"/>
    <w:rsid w:val="00452ADE"/>
    <w:rsid w:val="0045705B"/>
    <w:rsid w:val="00457566"/>
    <w:rsid w:val="00460E1C"/>
    <w:rsid w:val="00465A34"/>
    <w:rsid w:val="00466485"/>
    <w:rsid w:val="00466B02"/>
    <w:rsid w:val="00466CD4"/>
    <w:rsid w:val="0046729E"/>
    <w:rsid w:val="00470162"/>
    <w:rsid w:val="00470AD6"/>
    <w:rsid w:val="00470CB1"/>
    <w:rsid w:val="004714CA"/>
    <w:rsid w:val="004727C5"/>
    <w:rsid w:val="00473779"/>
    <w:rsid w:val="0047559B"/>
    <w:rsid w:val="0047569E"/>
    <w:rsid w:val="004759B8"/>
    <w:rsid w:val="004767A6"/>
    <w:rsid w:val="00476EA1"/>
    <w:rsid w:val="004775EF"/>
    <w:rsid w:val="0048049E"/>
    <w:rsid w:val="004807D2"/>
    <w:rsid w:val="00482DE7"/>
    <w:rsid w:val="00483232"/>
    <w:rsid w:val="004837CC"/>
    <w:rsid w:val="004847E2"/>
    <w:rsid w:val="004875AC"/>
    <w:rsid w:val="00487832"/>
    <w:rsid w:val="00487FCA"/>
    <w:rsid w:val="004903FA"/>
    <w:rsid w:val="00491072"/>
    <w:rsid w:val="0049162E"/>
    <w:rsid w:val="0049182D"/>
    <w:rsid w:val="004942FA"/>
    <w:rsid w:val="004962D6"/>
    <w:rsid w:val="004968CB"/>
    <w:rsid w:val="004A07A1"/>
    <w:rsid w:val="004A0C9A"/>
    <w:rsid w:val="004A1087"/>
    <w:rsid w:val="004A12A5"/>
    <w:rsid w:val="004A39A9"/>
    <w:rsid w:val="004A5316"/>
    <w:rsid w:val="004A6B65"/>
    <w:rsid w:val="004B1303"/>
    <w:rsid w:val="004B1A53"/>
    <w:rsid w:val="004B3E6C"/>
    <w:rsid w:val="004B52AB"/>
    <w:rsid w:val="004C128A"/>
    <w:rsid w:val="004C1AC4"/>
    <w:rsid w:val="004C4DEB"/>
    <w:rsid w:val="004C52F2"/>
    <w:rsid w:val="004C6E83"/>
    <w:rsid w:val="004D4171"/>
    <w:rsid w:val="004D4A3D"/>
    <w:rsid w:val="004D5E37"/>
    <w:rsid w:val="004D73C4"/>
    <w:rsid w:val="004D7E87"/>
    <w:rsid w:val="004E3872"/>
    <w:rsid w:val="004E3AA0"/>
    <w:rsid w:val="004E42A0"/>
    <w:rsid w:val="004F0A6A"/>
    <w:rsid w:val="004F1581"/>
    <w:rsid w:val="004F6A9F"/>
    <w:rsid w:val="00500585"/>
    <w:rsid w:val="0050477F"/>
    <w:rsid w:val="00505819"/>
    <w:rsid w:val="00505E85"/>
    <w:rsid w:val="0050676D"/>
    <w:rsid w:val="00507287"/>
    <w:rsid w:val="00507712"/>
    <w:rsid w:val="00510732"/>
    <w:rsid w:val="00510C1D"/>
    <w:rsid w:val="005115FE"/>
    <w:rsid w:val="005125B4"/>
    <w:rsid w:val="00515619"/>
    <w:rsid w:val="00517661"/>
    <w:rsid w:val="00517793"/>
    <w:rsid w:val="0052112B"/>
    <w:rsid w:val="0052238E"/>
    <w:rsid w:val="00523233"/>
    <w:rsid w:val="00523917"/>
    <w:rsid w:val="00523B80"/>
    <w:rsid w:val="00525546"/>
    <w:rsid w:val="00526497"/>
    <w:rsid w:val="00526D40"/>
    <w:rsid w:val="00530B55"/>
    <w:rsid w:val="00531D55"/>
    <w:rsid w:val="00531DA3"/>
    <w:rsid w:val="00532503"/>
    <w:rsid w:val="00532E64"/>
    <w:rsid w:val="00533BC0"/>
    <w:rsid w:val="00534C00"/>
    <w:rsid w:val="00535044"/>
    <w:rsid w:val="0053532D"/>
    <w:rsid w:val="00537224"/>
    <w:rsid w:val="00541AE2"/>
    <w:rsid w:val="0054307A"/>
    <w:rsid w:val="00545382"/>
    <w:rsid w:val="00545ABB"/>
    <w:rsid w:val="00550090"/>
    <w:rsid w:val="005509A3"/>
    <w:rsid w:val="00550C95"/>
    <w:rsid w:val="005514E7"/>
    <w:rsid w:val="00552DA1"/>
    <w:rsid w:val="005542EC"/>
    <w:rsid w:val="005550ED"/>
    <w:rsid w:val="00555AD8"/>
    <w:rsid w:val="005569A3"/>
    <w:rsid w:val="00556B44"/>
    <w:rsid w:val="0055797B"/>
    <w:rsid w:val="00561051"/>
    <w:rsid w:val="00561603"/>
    <w:rsid w:val="00562752"/>
    <w:rsid w:val="005636B0"/>
    <w:rsid w:val="00563970"/>
    <w:rsid w:val="00564C94"/>
    <w:rsid w:val="0057004D"/>
    <w:rsid w:val="00572622"/>
    <w:rsid w:val="005736B2"/>
    <w:rsid w:val="00575C7C"/>
    <w:rsid w:val="00580572"/>
    <w:rsid w:val="00581C83"/>
    <w:rsid w:val="00582C8F"/>
    <w:rsid w:val="00583DA5"/>
    <w:rsid w:val="0058778A"/>
    <w:rsid w:val="00595509"/>
    <w:rsid w:val="0059589F"/>
    <w:rsid w:val="005964BF"/>
    <w:rsid w:val="0059684B"/>
    <w:rsid w:val="005A1D05"/>
    <w:rsid w:val="005A2D17"/>
    <w:rsid w:val="005A3DFD"/>
    <w:rsid w:val="005A43B8"/>
    <w:rsid w:val="005A4BA4"/>
    <w:rsid w:val="005B3007"/>
    <w:rsid w:val="005B7006"/>
    <w:rsid w:val="005C1676"/>
    <w:rsid w:val="005C271C"/>
    <w:rsid w:val="005C4D66"/>
    <w:rsid w:val="005C55BA"/>
    <w:rsid w:val="005D0EC1"/>
    <w:rsid w:val="005D157E"/>
    <w:rsid w:val="005D51E7"/>
    <w:rsid w:val="005D69AC"/>
    <w:rsid w:val="005D6FC0"/>
    <w:rsid w:val="005E165D"/>
    <w:rsid w:val="005E1DC5"/>
    <w:rsid w:val="005E3432"/>
    <w:rsid w:val="005E3EF6"/>
    <w:rsid w:val="005E523A"/>
    <w:rsid w:val="005E5C09"/>
    <w:rsid w:val="005E75A3"/>
    <w:rsid w:val="005F1F9B"/>
    <w:rsid w:val="005F4C95"/>
    <w:rsid w:val="005F589D"/>
    <w:rsid w:val="005F5CBA"/>
    <w:rsid w:val="005F72A4"/>
    <w:rsid w:val="005F7997"/>
    <w:rsid w:val="00600BC1"/>
    <w:rsid w:val="006010D5"/>
    <w:rsid w:val="00602EBE"/>
    <w:rsid w:val="00603550"/>
    <w:rsid w:val="00611514"/>
    <w:rsid w:val="006129AD"/>
    <w:rsid w:val="00612A9A"/>
    <w:rsid w:val="00613697"/>
    <w:rsid w:val="006146F6"/>
    <w:rsid w:val="00616EAD"/>
    <w:rsid w:val="00623349"/>
    <w:rsid w:val="00623933"/>
    <w:rsid w:val="00623C5B"/>
    <w:rsid w:val="006315B0"/>
    <w:rsid w:val="00636093"/>
    <w:rsid w:val="00636431"/>
    <w:rsid w:val="0064116E"/>
    <w:rsid w:val="00643CB5"/>
    <w:rsid w:val="006452A8"/>
    <w:rsid w:val="00645B8E"/>
    <w:rsid w:val="00645FBD"/>
    <w:rsid w:val="00647058"/>
    <w:rsid w:val="00650F5C"/>
    <w:rsid w:val="00652E1A"/>
    <w:rsid w:val="00653A1C"/>
    <w:rsid w:val="00655D6D"/>
    <w:rsid w:val="00656B77"/>
    <w:rsid w:val="00660DEA"/>
    <w:rsid w:val="00661A1A"/>
    <w:rsid w:val="0066628E"/>
    <w:rsid w:val="006674AB"/>
    <w:rsid w:val="006718F4"/>
    <w:rsid w:val="00672DBF"/>
    <w:rsid w:val="00673C70"/>
    <w:rsid w:val="00673DF9"/>
    <w:rsid w:val="00674D32"/>
    <w:rsid w:val="00677DE4"/>
    <w:rsid w:val="00682183"/>
    <w:rsid w:val="00683700"/>
    <w:rsid w:val="006851CD"/>
    <w:rsid w:val="006866DA"/>
    <w:rsid w:val="00686D31"/>
    <w:rsid w:val="006918B2"/>
    <w:rsid w:val="00693D60"/>
    <w:rsid w:val="006961AF"/>
    <w:rsid w:val="006977DD"/>
    <w:rsid w:val="006A0A18"/>
    <w:rsid w:val="006A149E"/>
    <w:rsid w:val="006A3802"/>
    <w:rsid w:val="006A4620"/>
    <w:rsid w:val="006A4CB3"/>
    <w:rsid w:val="006A5387"/>
    <w:rsid w:val="006A6212"/>
    <w:rsid w:val="006B0108"/>
    <w:rsid w:val="006B1340"/>
    <w:rsid w:val="006B18F3"/>
    <w:rsid w:val="006B2417"/>
    <w:rsid w:val="006B277B"/>
    <w:rsid w:val="006B283D"/>
    <w:rsid w:val="006B6083"/>
    <w:rsid w:val="006B7D3E"/>
    <w:rsid w:val="006B7FEF"/>
    <w:rsid w:val="006C184A"/>
    <w:rsid w:val="006C1DDE"/>
    <w:rsid w:val="006C484B"/>
    <w:rsid w:val="006C59C8"/>
    <w:rsid w:val="006C721F"/>
    <w:rsid w:val="006C76CA"/>
    <w:rsid w:val="006D029B"/>
    <w:rsid w:val="006D3CD4"/>
    <w:rsid w:val="006D6DCD"/>
    <w:rsid w:val="006D75BF"/>
    <w:rsid w:val="006D7BC5"/>
    <w:rsid w:val="006D7D45"/>
    <w:rsid w:val="006E06C5"/>
    <w:rsid w:val="006E5E32"/>
    <w:rsid w:val="006E7DCE"/>
    <w:rsid w:val="006F0BE6"/>
    <w:rsid w:val="006F34FC"/>
    <w:rsid w:val="006F36BF"/>
    <w:rsid w:val="006F4F61"/>
    <w:rsid w:val="00700715"/>
    <w:rsid w:val="00700A7D"/>
    <w:rsid w:val="007023FA"/>
    <w:rsid w:val="00702E6F"/>
    <w:rsid w:val="007053B0"/>
    <w:rsid w:val="00706308"/>
    <w:rsid w:val="00706664"/>
    <w:rsid w:val="00706712"/>
    <w:rsid w:val="007129FA"/>
    <w:rsid w:val="00715F7A"/>
    <w:rsid w:val="00716118"/>
    <w:rsid w:val="00716C1E"/>
    <w:rsid w:val="007209F5"/>
    <w:rsid w:val="00724069"/>
    <w:rsid w:val="00724A17"/>
    <w:rsid w:val="007312FC"/>
    <w:rsid w:val="00731A14"/>
    <w:rsid w:val="00731BD1"/>
    <w:rsid w:val="00733DF4"/>
    <w:rsid w:val="007343AE"/>
    <w:rsid w:val="00734444"/>
    <w:rsid w:val="00735CD5"/>
    <w:rsid w:val="00736CBD"/>
    <w:rsid w:val="00736EB0"/>
    <w:rsid w:val="007459B0"/>
    <w:rsid w:val="00745EEF"/>
    <w:rsid w:val="00746ADB"/>
    <w:rsid w:val="00746F52"/>
    <w:rsid w:val="007478E4"/>
    <w:rsid w:val="007506C8"/>
    <w:rsid w:val="00750855"/>
    <w:rsid w:val="00751243"/>
    <w:rsid w:val="00751603"/>
    <w:rsid w:val="00751A2B"/>
    <w:rsid w:val="00752502"/>
    <w:rsid w:val="00755C0D"/>
    <w:rsid w:val="00756947"/>
    <w:rsid w:val="00756C12"/>
    <w:rsid w:val="00756CF0"/>
    <w:rsid w:val="007619BD"/>
    <w:rsid w:val="0076342C"/>
    <w:rsid w:val="0076587F"/>
    <w:rsid w:val="00771784"/>
    <w:rsid w:val="0077243A"/>
    <w:rsid w:val="00774DEE"/>
    <w:rsid w:val="007754FB"/>
    <w:rsid w:val="0077596F"/>
    <w:rsid w:val="007763C9"/>
    <w:rsid w:val="007806D7"/>
    <w:rsid w:val="0078129E"/>
    <w:rsid w:val="00781656"/>
    <w:rsid w:val="00782845"/>
    <w:rsid w:val="00783025"/>
    <w:rsid w:val="00783A14"/>
    <w:rsid w:val="00783FB1"/>
    <w:rsid w:val="007904B1"/>
    <w:rsid w:val="0079197B"/>
    <w:rsid w:val="00794333"/>
    <w:rsid w:val="00794406"/>
    <w:rsid w:val="00794ED7"/>
    <w:rsid w:val="007959BF"/>
    <w:rsid w:val="00796CBA"/>
    <w:rsid w:val="007A0443"/>
    <w:rsid w:val="007A0CCF"/>
    <w:rsid w:val="007A1398"/>
    <w:rsid w:val="007A221F"/>
    <w:rsid w:val="007A3950"/>
    <w:rsid w:val="007A675E"/>
    <w:rsid w:val="007A70C9"/>
    <w:rsid w:val="007A70FD"/>
    <w:rsid w:val="007B0723"/>
    <w:rsid w:val="007B2C88"/>
    <w:rsid w:val="007B2F39"/>
    <w:rsid w:val="007B356F"/>
    <w:rsid w:val="007B3F8D"/>
    <w:rsid w:val="007B7434"/>
    <w:rsid w:val="007B7C62"/>
    <w:rsid w:val="007C119B"/>
    <w:rsid w:val="007C42E9"/>
    <w:rsid w:val="007C4D1D"/>
    <w:rsid w:val="007C4E97"/>
    <w:rsid w:val="007C6633"/>
    <w:rsid w:val="007C67BA"/>
    <w:rsid w:val="007C69A3"/>
    <w:rsid w:val="007C6EB7"/>
    <w:rsid w:val="007C7F56"/>
    <w:rsid w:val="007D3BCE"/>
    <w:rsid w:val="007D42F2"/>
    <w:rsid w:val="007D4D6B"/>
    <w:rsid w:val="007D51BA"/>
    <w:rsid w:val="007E3612"/>
    <w:rsid w:val="007E7019"/>
    <w:rsid w:val="007E7835"/>
    <w:rsid w:val="007F48CE"/>
    <w:rsid w:val="007F7B90"/>
    <w:rsid w:val="007F7CF9"/>
    <w:rsid w:val="007F7D30"/>
    <w:rsid w:val="00802E5F"/>
    <w:rsid w:val="0080635F"/>
    <w:rsid w:val="00810B66"/>
    <w:rsid w:val="00813EA4"/>
    <w:rsid w:val="008142C6"/>
    <w:rsid w:val="00817384"/>
    <w:rsid w:val="00820713"/>
    <w:rsid w:val="00822075"/>
    <w:rsid w:val="00827CF2"/>
    <w:rsid w:val="0083013E"/>
    <w:rsid w:val="0083101C"/>
    <w:rsid w:val="00831ED4"/>
    <w:rsid w:val="00832EBB"/>
    <w:rsid w:val="00833337"/>
    <w:rsid w:val="00836676"/>
    <w:rsid w:val="008415E4"/>
    <w:rsid w:val="008426B8"/>
    <w:rsid w:val="00843EF8"/>
    <w:rsid w:val="00844083"/>
    <w:rsid w:val="00844355"/>
    <w:rsid w:val="00844709"/>
    <w:rsid w:val="008451C5"/>
    <w:rsid w:val="00850006"/>
    <w:rsid w:val="00852C96"/>
    <w:rsid w:val="00853398"/>
    <w:rsid w:val="00853752"/>
    <w:rsid w:val="0085447E"/>
    <w:rsid w:val="00855BEB"/>
    <w:rsid w:val="00855D99"/>
    <w:rsid w:val="00856016"/>
    <w:rsid w:val="00857683"/>
    <w:rsid w:val="008621BA"/>
    <w:rsid w:val="00863071"/>
    <w:rsid w:val="00865A9B"/>
    <w:rsid w:val="00866F20"/>
    <w:rsid w:val="00870027"/>
    <w:rsid w:val="00870C64"/>
    <w:rsid w:val="00870FD5"/>
    <w:rsid w:val="00874999"/>
    <w:rsid w:val="00877282"/>
    <w:rsid w:val="00880170"/>
    <w:rsid w:val="008814F5"/>
    <w:rsid w:val="00883E7B"/>
    <w:rsid w:val="00885C7E"/>
    <w:rsid w:val="00886169"/>
    <w:rsid w:val="0088640C"/>
    <w:rsid w:val="00886AB0"/>
    <w:rsid w:val="00887490"/>
    <w:rsid w:val="0089026D"/>
    <w:rsid w:val="00890334"/>
    <w:rsid w:val="00890B69"/>
    <w:rsid w:val="00890E2F"/>
    <w:rsid w:val="00892903"/>
    <w:rsid w:val="00893CB2"/>
    <w:rsid w:val="00893DB0"/>
    <w:rsid w:val="008A0B24"/>
    <w:rsid w:val="008A4099"/>
    <w:rsid w:val="008A51DE"/>
    <w:rsid w:val="008A6450"/>
    <w:rsid w:val="008A7F7D"/>
    <w:rsid w:val="008B23DC"/>
    <w:rsid w:val="008B36CF"/>
    <w:rsid w:val="008B39CA"/>
    <w:rsid w:val="008B3D43"/>
    <w:rsid w:val="008B3E4E"/>
    <w:rsid w:val="008B3F7E"/>
    <w:rsid w:val="008B4370"/>
    <w:rsid w:val="008B49DB"/>
    <w:rsid w:val="008B5291"/>
    <w:rsid w:val="008B55A9"/>
    <w:rsid w:val="008B795F"/>
    <w:rsid w:val="008C1C7F"/>
    <w:rsid w:val="008C3CE5"/>
    <w:rsid w:val="008C7520"/>
    <w:rsid w:val="008D1237"/>
    <w:rsid w:val="008D5158"/>
    <w:rsid w:val="008D55D7"/>
    <w:rsid w:val="008D5B93"/>
    <w:rsid w:val="008E101A"/>
    <w:rsid w:val="008E1479"/>
    <w:rsid w:val="008E29DE"/>
    <w:rsid w:val="008E2A55"/>
    <w:rsid w:val="008E2AAD"/>
    <w:rsid w:val="008E6B2B"/>
    <w:rsid w:val="008F602B"/>
    <w:rsid w:val="008F7C90"/>
    <w:rsid w:val="008F7D59"/>
    <w:rsid w:val="009006FC"/>
    <w:rsid w:val="00902BCC"/>
    <w:rsid w:val="00907FFA"/>
    <w:rsid w:val="0091100D"/>
    <w:rsid w:val="00912ED7"/>
    <w:rsid w:val="00914829"/>
    <w:rsid w:val="00914FDA"/>
    <w:rsid w:val="00917F62"/>
    <w:rsid w:val="00920627"/>
    <w:rsid w:val="00920F0C"/>
    <w:rsid w:val="00922C5E"/>
    <w:rsid w:val="00922D2C"/>
    <w:rsid w:val="009237BD"/>
    <w:rsid w:val="00923EE3"/>
    <w:rsid w:val="0092459C"/>
    <w:rsid w:val="00924C1A"/>
    <w:rsid w:val="0092602B"/>
    <w:rsid w:val="00930CE3"/>
    <w:rsid w:val="0093253A"/>
    <w:rsid w:val="0093320C"/>
    <w:rsid w:val="00934C23"/>
    <w:rsid w:val="00935476"/>
    <w:rsid w:val="00935EEC"/>
    <w:rsid w:val="00936A1D"/>
    <w:rsid w:val="00937BAB"/>
    <w:rsid w:val="00941884"/>
    <w:rsid w:val="00943740"/>
    <w:rsid w:val="00943D9F"/>
    <w:rsid w:val="0094409C"/>
    <w:rsid w:val="00945573"/>
    <w:rsid w:val="00947B7E"/>
    <w:rsid w:val="00953544"/>
    <w:rsid w:val="009536A7"/>
    <w:rsid w:val="00956E77"/>
    <w:rsid w:val="00960FEE"/>
    <w:rsid w:val="00962CD0"/>
    <w:rsid w:val="00963DD4"/>
    <w:rsid w:val="009649BE"/>
    <w:rsid w:val="00965F78"/>
    <w:rsid w:val="009662F5"/>
    <w:rsid w:val="0096778F"/>
    <w:rsid w:val="009717AD"/>
    <w:rsid w:val="0097289F"/>
    <w:rsid w:val="00973728"/>
    <w:rsid w:val="00973EFB"/>
    <w:rsid w:val="00974CCB"/>
    <w:rsid w:val="00975F00"/>
    <w:rsid w:val="00976ADE"/>
    <w:rsid w:val="00980B34"/>
    <w:rsid w:val="009825F4"/>
    <w:rsid w:val="00983560"/>
    <w:rsid w:val="009844C6"/>
    <w:rsid w:val="009850B8"/>
    <w:rsid w:val="009852B6"/>
    <w:rsid w:val="0098626E"/>
    <w:rsid w:val="00990AFD"/>
    <w:rsid w:val="0099234F"/>
    <w:rsid w:val="0099261A"/>
    <w:rsid w:val="009931B6"/>
    <w:rsid w:val="00994751"/>
    <w:rsid w:val="00994C4F"/>
    <w:rsid w:val="009A0E79"/>
    <w:rsid w:val="009A18E1"/>
    <w:rsid w:val="009A1DCF"/>
    <w:rsid w:val="009A21A4"/>
    <w:rsid w:val="009A220B"/>
    <w:rsid w:val="009A26A6"/>
    <w:rsid w:val="009A51A1"/>
    <w:rsid w:val="009B124A"/>
    <w:rsid w:val="009B2350"/>
    <w:rsid w:val="009B61DD"/>
    <w:rsid w:val="009B625B"/>
    <w:rsid w:val="009B6ACD"/>
    <w:rsid w:val="009B7A23"/>
    <w:rsid w:val="009B7FB2"/>
    <w:rsid w:val="009C10CF"/>
    <w:rsid w:val="009C217C"/>
    <w:rsid w:val="009C42B0"/>
    <w:rsid w:val="009C6C25"/>
    <w:rsid w:val="009D001F"/>
    <w:rsid w:val="009D0167"/>
    <w:rsid w:val="009D0C4F"/>
    <w:rsid w:val="009D3342"/>
    <w:rsid w:val="009E055E"/>
    <w:rsid w:val="009E200B"/>
    <w:rsid w:val="009E4A44"/>
    <w:rsid w:val="009E5DDC"/>
    <w:rsid w:val="009E67D5"/>
    <w:rsid w:val="009F061C"/>
    <w:rsid w:val="009F19D2"/>
    <w:rsid w:val="009F36B5"/>
    <w:rsid w:val="009F381A"/>
    <w:rsid w:val="009F4B1F"/>
    <w:rsid w:val="009F5B8C"/>
    <w:rsid w:val="009F5BE5"/>
    <w:rsid w:val="009F6B86"/>
    <w:rsid w:val="00A005BE"/>
    <w:rsid w:val="00A007AD"/>
    <w:rsid w:val="00A0171F"/>
    <w:rsid w:val="00A01BF1"/>
    <w:rsid w:val="00A02327"/>
    <w:rsid w:val="00A05D3B"/>
    <w:rsid w:val="00A0776D"/>
    <w:rsid w:val="00A10050"/>
    <w:rsid w:val="00A1130D"/>
    <w:rsid w:val="00A1332B"/>
    <w:rsid w:val="00A14831"/>
    <w:rsid w:val="00A14C98"/>
    <w:rsid w:val="00A15EC3"/>
    <w:rsid w:val="00A21736"/>
    <w:rsid w:val="00A231B0"/>
    <w:rsid w:val="00A24C2F"/>
    <w:rsid w:val="00A25D81"/>
    <w:rsid w:val="00A26A2E"/>
    <w:rsid w:val="00A31745"/>
    <w:rsid w:val="00A325E7"/>
    <w:rsid w:val="00A32900"/>
    <w:rsid w:val="00A36488"/>
    <w:rsid w:val="00A3652C"/>
    <w:rsid w:val="00A3665D"/>
    <w:rsid w:val="00A42D1E"/>
    <w:rsid w:val="00A46A49"/>
    <w:rsid w:val="00A47367"/>
    <w:rsid w:val="00A546AA"/>
    <w:rsid w:val="00A5517E"/>
    <w:rsid w:val="00A5607B"/>
    <w:rsid w:val="00A60242"/>
    <w:rsid w:val="00A61040"/>
    <w:rsid w:val="00A62AD3"/>
    <w:rsid w:val="00A62B4D"/>
    <w:rsid w:val="00A65EF2"/>
    <w:rsid w:val="00A66705"/>
    <w:rsid w:val="00A66C8D"/>
    <w:rsid w:val="00A70AE3"/>
    <w:rsid w:val="00A725E6"/>
    <w:rsid w:val="00A732BF"/>
    <w:rsid w:val="00A7428E"/>
    <w:rsid w:val="00A75A3B"/>
    <w:rsid w:val="00A77383"/>
    <w:rsid w:val="00A80ABF"/>
    <w:rsid w:val="00A83B80"/>
    <w:rsid w:val="00A869FD"/>
    <w:rsid w:val="00A86F98"/>
    <w:rsid w:val="00A90D2B"/>
    <w:rsid w:val="00A9175E"/>
    <w:rsid w:val="00A92201"/>
    <w:rsid w:val="00A94651"/>
    <w:rsid w:val="00A96C22"/>
    <w:rsid w:val="00AA2B49"/>
    <w:rsid w:val="00AA2EB4"/>
    <w:rsid w:val="00AA5184"/>
    <w:rsid w:val="00AA60F6"/>
    <w:rsid w:val="00AA6299"/>
    <w:rsid w:val="00AA6460"/>
    <w:rsid w:val="00AA7019"/>
    <w:rsid w:val="00AB1558"/>
    <w:rsid w:val="00AB1AE2"/>
    <w:rsid w:val="00AB3A99"/>
    <w:rsid w:val="00AB5677"/>
    <w:rsid w:val="00AB751B"/>
    <w:rsid w:val="00AB7F3D"/>
    <w:rsid w:val="00AC48FD"/>
    <w:rsid w:val="00AC5676"/>
    <w:rsid w:val="00AC678A"/>
    <w:rsid w:val="00AC70EC"/>
    <w:rsid w:val="00AD01CE"/>
    <w:rsid w:val="00AD07BE"/>
    <w:rsid w:val="00AD1BD0"/>
    <w:rsid w:val="00AD6D7D"/>
    <w:rsid w:val="00AE0906"/>
    <w:rsid w:val="00AE2421"/>
    <w:rsid w:val="00AE5142"/>
    <w:rsid w:val="00AF0CB5"/>
    <w:rsid w:val="00AF1F89"/>
    <w:rsid w:val="00AF292A"/>
    <w:rsid w:val="00AF7C46"/>
    <w:rsid w:val="00B00265"/>
    <w:rsid w:val="00B00B78"/>
    <w:rsid w:val="00B0219E"/>
    <w:rsid w:val="00B02AAF"/>
    <w:rsid w:val="00B04AF0"/>
    <w:rsid w:val="00B0530D"/>
    <w:rsid w:val="00B05C01"/>
    <w:rsid w:val="00B11F2D"/>
    <w:rsid w:val="00B121C1"/>
    <w:rsid w:val="00B1288F"/>
    <w:rsid w:val="00B13B77"/>
    <w:rsid w:val="00B141EE"/>
    <w:rsid w:val="00B14BF0"/>
    <w:rsid w:val="00B15DB7"/>
    <w:rsid w:val="00B17DE0"/>
    <w:rsid w:val="00B20671"/>
    <w:rsid w:val="00B206C6"/>
    <w:rsid w:val="00B20ED8"/>
    <w:rsid w:val="00B21567"/>
    <w:rsid w:val="00B23931"/>
    <w:rsid w:val="00B23E90"/>
    <w:rsid w:val="00B26BF0"/>
    <w:rsid w:val="00B27E5F"/>
    <w:rsid w:val="00B3100B"/>
    <w:rsid w:val="00B3615F"/>
    <w:rsid w:val="00B4093D"/>
    <w:rsid w:val="00B42FAB"/>
    <w:rsid w:val="00B444FE"/>
    <w:rsid w:val="00B45064"/>
    <w:rsid w:val="00B4599B"/>
    <w:rsid w:val="00B475D9"/>
    <w:rsid w:val="00B501A4"/>
    <w:rsid w:val="00B52737"/>
    <w:rsid w:val="00B53EB2"/>
    <w:rsid w:val="00B559FF"/>
    <w:rsid w:val="00B579F5"/>
    <w:rsid w:val="00B67FE1"/>
    <w:rsid w:val="00B704F2"/>
    <w:rsid w:val="00B70622"/>
    <w:rsid w:val="00B72463"/>
    <w:rsid w:val="00B74725"/>
    <w:rsid w:val="00B75202"/>
    <w:rsid w:val="00B7552F"/>
    <w:rsid w:val="00B76475"/>
    <w:rsid w:val="00B76B21"/>
    <w:rsid w:val="00B77C0A"/>
    <w:rsid w:val="00B77FDE"/>
    <w:rsid w:val="00B81206"/>
    <w:rsid w:val="00B853E2"/>
    <w:rsid w:val="00B856B6"/>
    <w:rsid w:val="00B87055"/>
    <w:rsid w:val="00B90BEC"/>
    <w:rsid w:val="00B91B83"/>
    <w:rsid w:val="00B9264A"/>
    <w:rsid w:val="00B94245"/>
    <w:rsid w:val="00B96B41"/>
    <w:rsid w:val="00BA5BFE"/>
    <w:rsid w:val="00BA6BB2"/>
    <w:rsid w:val="00BA7224"/>
    <w:rsid w:val="00BB1103"/>
    <w:rsid w:val="00BB1227"/>
    <w:rsid w:val="00BB2792"/>
    <w:rsid w:val="00BB51AC"/>
    <w:rsid w:val="00BC018D"/>
    <w:rsid w:val="00BC14B9"/>
    <w:rsid w:val="00BC1D5E"/>
    <w:rsid w:val="00BC23D8"/>
    <w:rsid w:val="00BC2CE3"/>
    <w:rsid w:val="00BC59D7"/>
    <w:rsid w:val="00BC5BC8"/>
    <w:rsid w:val="00BD016F"/>
    <w:rsid w:val="00BD41DB"/>
    <w:rsid w:val="00BE1AA9"/>
    <w:rsid w:val="00BE1C9E"/>
    <w:rsid w:val="00BE2AE9"/>
    <w:rsid w:val="00BE2BBE"/>
    <w:rsid w:val="00BE4086"/>
    <w:rsid w:val="00BE5883"/>
    <w:rsid w:val="00BE6794"/>
    <w:rsid w:val="00BE7AAE"/>
    <w:rsid w:val="00BF0B8D"/>
    <w:rsid w:val="00BF1FBB"/>
    <w:rsid w:val="00BF206C"/>
    <w:rsid w:val="00BF3608"/>
    <w:rsid w:val="00BF4308"/>
    <w:rsid w:val="00BF47A2"/>
    <w:rsid w:val="00BF4ECF"/>
    <w:rsid w:val="00BF4FE9"/>
    <w:rsid w:val="00BF5363"/>
    <w:rsid w:val="00BF6240"/>
    <w:rsid w:val="00C008FA"/>
    <w:rsid w:val="00C01245"/>
    <w:rsid w:val="00C03C4E"/>
    <w:rsid w:val="00C05F87"/>
    <w:rsid w:val="00C06025"/>
    <w:rsid w:val="00C12695"/>
    <w:rsid w:val="00C131F3"/>
    <w:rsid w:val="00C1437C"/>
    <w:rsid w:val="00C15A51"/>
    <w:rsid w:val="00C16DEB"/>
    <w:rsid w:val="00C1746B"/>
    <w:rsid w:val="00C20C8F"/>
    <w:rsid w:val="00C2278E"/>
    <w:rsid w:val="00C23887"/>
    <w:rsid w:val="00C23BC0"/>
    <w:rsid w:val="00C241E2"/>
    <w:rsid w:val="00C24F8A"/>
    <w:rsid w:val="00C30090"/>
    <w:rsid w:val="00C304E4"/>
    <w:rsid w:val="00C354CA"/>
    <w:rsid w:val="00C359CC"/>
    <w:rsid w:val="00C42A9D"/>
    <w:rsid w:val="00C431B2"/>
    <w:rsid w:val="00C444CB"/>
    <w:rsid w:val="00C53730"/>
    <w:rsid w:val="00C53BB4"/>
    <w:rsid w:val="00C544EE"/>
    <w:rsid w:val="00C61531"/>
    <w:rsid w:val="00C61848"/>
    <w:rsid w:val="00C62BA3"/>
    <w:rsid w:val="00C63CCD"/>
    <w:rsid w:val="00C63FD2"/>
    <w:rsid w:val="00C66625"/>
    <w:rsid w:val="00C671D8"/>
    <w:rsid w:val="00C70100"/>
    <w:rsid w:val="00C721AD"/>
    <w:rsid w:val="00C72ADC"/>
    <w:rsid w:val="00C731A1"/>
    <w:rsid w:val="00C749FA"/>
    <w:rsid w:val="00C74C4C"/>
    <w:rsid w:val="00C75D09"/>
    <w:rsid w:val="00C75FF9"/>
    <w:rsid w:val="00C808FB"/>
    <w:rsid w:val="00C80E15"/>
    <w:rsid w:val="00C82AFC"/>
    <w:rsid w:val="00C82F0F"/>
    <w:rsid w:val="00C8773E"/>
    <w:rsid w:val="00C92C1B"/>
    <w:rsid w:val="00C933AF"/>
    <w:rsid w:val="00C94A49"/>
    <w:rsid w:val="00C962A0"/>
    <w:rsid w:val="00C968F8"/>
    <w:rsid w:val="00C97448"/>
    <w:rsid w:val="00CA2F74"/>
    <w:rsid w:val="00CA4671"/>
    <w:rsid w:val="00CA5015"/>
    <w:rsid w:val="00CA757C"/>
    <w:rsid w:val="00CB1E44"/>
    <w:rsid w:val="00CB540D"/>
    <w:rsid w:val="00CB6522"/>
    <w:rsid w:val="00CB6C4C"/>
    <w:rsid w:val="00CB7110"/>
    <w:rsid w:val="00CC0048"/>
    <w:rsid w:val="00CC070A"/>
    <w:rsid w:val="00CC3213"/>
    <w:rsid w:val="00CC34F4"/>
    <w:rsid w:val="00CC6F27"/>
    <w:rsid w:val="00CC7105"/>
    <w:rsid w:val="00CD4741"/>
    <w:rsid w:val="00CD5538"/>
    <w:rsid w:val="00CD7171"/>
    <w:rsid w:val="00CE05F6"/>
    <w:rsid w:val="00CE0EC9"/>
    <w:rsid w:val="00CE15FF"/>
    <w:rsid w:val="00CE45D4"/>
    <w:rsid w:val="00CE6C2F"/>
    <w:rsid w:val="00CF032F"/>
    <w:rsid w:val="00CF1B4A"/>
    <w:rsid w:val="00CF23E4"/>
    <w:rsid w:val="00CF3A0D"/>
    <w:rsid w:val="00CF459E"/>
    <w:rsid w:val="00CF4946"/>
    <w:rsid w:val="00CF5A4C"/>
    <w:rsid w:val="00CF5EDD"/>
    <w:rsid w:val="00CF762F"/>
    <w:rsid w:val="00D0180D"/>
    <w:rsid w:val="00D020C6"/>
    <w:rsid w:val="00D06867"/>
    <w:rsid w:val="00D07C4F"/>
    <w:rsid w:val="00D11328"/>
    <w:rsid w:val="00D11F47"/>
    <w:rsid w:val="00D1235A"/>
    <w:rsid w:val="00D1278B"/>
    <w:rsid w:val="00D15B2D"/>
    <w:rsid w:val="00D16795"/>
    <w:rsid w:val="00D173DA"/>
    <w:rsid w:val="00D1770A"/>
    <w:rsid w:val="00D21FEE"/>
    <w:rsid w:val="00D24DC2"/>
    <w:rsid w:val="00D25833"/>
    <w:rsid w:val="00D27AAA"/>
    <w:rsid w:val="00D35883"/>
    <w:rsid w:val="00D377EA"/>
    <w:rsid w:val="00D45AD1"/>
    <w:rsid w:val="00D45B59"/>
    <w:rsid w:val="00D50E4E"/>
    <w:rsid w:val="00D52923"/>
    <w:rsid w:val="00D5447A"/>
    <w:rsid w:val="00D56DD5"/>
    <w:rsid w:val="00D6344C"/>
    <w:rsid w:val="00D6436C"/>
    <w:rsid w:val="00D64FDA"/>
    <w:rsid w:val="00D6672A"/>
    <w:rsid w:val="00D66775"/>
    <w:rsid w:val="00D678C0"/>
    <w:rsid w:val="00D71233"/>
    <w:rsid w:val="00D71FF7"/>
    <w:rsid w:val="00D72C75"/>
    <w:rsid w:val="00D737D6"/>
    <w:rsid w:val="00D749AC"/>
    <w:rsid w:val="00D76509"/>
    <w:rsid w:val="00D775D4"/>
    <w:rsid w:val="00D8028C"/>
    <w:rsid w:val="00D80317"/>
    <w:rsid w:val="00D85CC2"/>
    <w:rsid w:val="00D862A1"/>
    <w:rsid w:val="00D8661C"/>
    <w:rsid w:val="00D919DE"/>
    <w:rsid w:val="00D938F3"/>
    <w:rsid w:val="00D969A3"/>
    <w:rsid w:val="00D97100"/>
    <w:rsid w:val="00DA2922"/>
    <w:rsid w:val="00DA348B"/>
    <w:rsid w:val="00DA7F3F"/>
    <w:rsid w:val="00DB088E"/>
    <w:rsid w:val="00DB1A29"/>
    <w:rsid w:val="00DB2A12"/>
    <w:rsid w:val="00DB5F10"/>
    <w:rsid w:val="00DB7CC0"/>
    <w:rsid w:val="00DC02B2"/>
    <w:rsid w:val="00DC33AE"/>
    <w:rsid w:val="00DC3B60"/>
    <w:rsid w:val="00DC46F9"/>
    <w:rsid w:val="00DC5B6A"/>
    <w:rsid w:val="00DC5BC4"/>
    <w:rsid w:val="00DC6211"/>
    <w:rsid w:val="00DC6EEE"/>
    <w:rsid w:val="00DD276E"/>
    <w:rsid w:val="00DE0B0F"/>
    <w:rsid w:val="00DE29C1"/>
    <w:rsid w:val="00DE3DB2"/>
    <w:rsid w:val="00DE4B86"/>
    <w:rsid w:val="00DE5564"/>
    <w:rsid w:val="00DE7004"/>
    <w:rsid w:val="00DE7E0D"/>
    <w:rsid w:val="00DF06EF"/>
    <w:rsid w:val="00DF125C"/>
    <w:rsid w:val="00DF133A"/>
    <w:rsid w:val="00DF159E"/>
    <w:rsid w:val="00DF1EA8"/>
    <w:rsid w:val="00DF2458"/>
    <w:rsid w:val="00DF249F"/>
    <w:rsid w:val="00DF2509"/>
    <w:rsid w:val="00DF3104"/>
    <w:rsid w:val="00DF3D24"/>
    <w:rsid w:val="00DF5379"/>
    <w:rsid w:val="00DF55AC"/>
    <w:rsid w:val="00E0211C"/>
    <w:rsid w:val="00E02A91"/>
    <w:rsid w:val="00E02FFE"/>
    <w:rsid w:val="00E05CDE"/>
    <w:rsid w:val="00E0716E"/>
    <w:rsid w:val="00E10E24"/>
    <w:rsid w:val="00E121FB"/>
    <w:rsid w:val="00E15F20"/>
    <w:rsid w:val="00E16CD0"/>
    <w:rsid w:val="00E23FD2"/>
    <w:rsid w:val="00E275B7"/>
    <w:rsid w:val="00E306F4"/>
    <w:rsid w:val="00E30D44"/>
    <w:rsid w:val="00E3114E"/>
    <w:rsid w:val="00E31511"/>
    <w:rsid w:val="00E33C3A"/>
    <w:rsid w:val="00E33C77"/>
    <w:rsid w:val="00E35627"/>
    <w:rsid w:val="00E36872"/>
    <w:rsid w:val="00E4076D"/>
    <w:rsid w:val="00E40B4D"/>
    <w:rsid w:val="00E42A80"/>
    <w:rsid w:val="00E43B02"/>
    <w:rsid w:val="00E45065"/>
    <w:rsid w:val="00E45F3D"/>
    <w:rsid w:val="00E4704F"/>
    <w:rsid w:val="00E50211"/>
    <w:rsid w:val="00E50F13"/>
    <w:rsid w:val="00E51101"/>
    <w:rsid w:val="00E5229E"/>
    <w:rsid w:val="00E5346B"/>
    <w:rsid w:val="00E53E4E"/>
    <w:rsid w:val="00E546EF"/>
    <w:rsid w:val="00E56D98"/>
    <w:rsid w:val="00E576ED"/>
    <w:rsid w:val="00E6198B"/>
    <w:rsid w:val="00E6543B"/>
    <w:rsid w:val="00E667FA"/>
    <w:rsid w:val="00E71982"/>
    <w:rsid w:val="00E73F62"/>
    <w:rsid w:val="00E73FB2"/>
    <w:rsid w:val="00E7726A"/>
    <w:rsid w:val="00E80D61"/>
    <w:rsid w:val="00E819C3"/>
    <w:rsid w:val="00E833C2"/>
    <w:rsid w:val="00E83F4A"/>
    <w:rsid w:val="00E856E4"/>
    <w:rsid w:val="00E85848"/>
    <w:rsid w:val="00E9004D"/>
    <w:rsid w:val="00E91EBA"/>
    <w:rsid w:val="00E92116"/>
    <w:rsid w:val="00E9515E"/>
    <w:rsid w:val="00E952C3"/>
    <w:rsid w:val="00E95D14"/>
    <w:rsid w:val="00E964A2"/>
    <w:rsid w:val="00E965A8"/>
    <w:rsid w:val="00E96886"/>
    <w:rsid w:val="00EA02C3"/>
    <w:rsid w:val="00EA068A"/>
    <w:rsid w:val="00EA14B3"/>
    <w:rsid w:val="00EA46D5"/>
    <w:rsid w:val="00EA5A35"/>
    <w:rsid w:val="00EA7555"/>
    <w:rsid w:val="00EA7EA4"/>
    <w:rsid w:val="00EB0C47"/>
    <w:rsid w:val="00EB30BF"/>
    <w:rsid w:val="00EB46DF"/>
    <w:rsid w:val="00EB46EF"/>
    <w:rsid w:val="00EB65B3"/>
    <w:rsid w:val="00EC0CA9"/>
    <w:rsid w:val="00EC26DC"/>
    <w:rsid w:val="00EC3DE1"/>
    <w:rsid w:val="00EC583F"/>
    <w:rsid w:val="00EC6745"/>
    <w:rsid w:val="00EC7DDF"/>
    <w:rsid w:val="00ED5B03"/>
    <w:rsid w:val="00ED6181"/>
    <w:rsid w:val="00EE02F6"/>
    <w:rsid w:val="00EE1560"/>
    <w:rsid w:val="00EE28B8"/>
    <w:rsid w:val="00EE557D"/>
    <w:rsid w:val="00EE5CD3"/>
    <w:rsid w:val="00EE6D94"/>
    <w:rsid w:val="00EF2907"/>
    <w:rsid w:val="00EF4DEA"/>
    <w:rsid w:val="00F0174E"/>
    <w:rsid w:val="00F031B9"/>
    <w:rsid w:val="00F033C4"/>
    <w:rsid w:val="00F04A06"/>
    <w:rsid w:val="00F1087B"/>
    <w:rsid w:val="00F12737"/>
    <w:rsid w:val="00F16903"/>
    <w:rsid w:val="00F2043E"/>
    <w:rsid w:val="00F2081A"/>
    <w:rsid w:val="00F218F8"/>
    <w:rsid w:val="00F21CC3"/>
    <w:rsid w:val="00F2360B"/>
    <w:rsid w:val="00F24D5B"/>
    <w:rsid w:val="00F24FAE"/>
    <w:rsid w:val="00F262D9"/>
    <w:rsid w:val="00F273D5"/>
    <w:rsid w:val="00F2785F"/>
    <w:rsid w:val="00F27C0B"/>
    <w:rsid w:val="00F310F7"/>
    <w:rsid w:val="00F3349E"/>
    <w:rsid w:val="00F33B14"/>
    <w:rsid w:val="00F359E7"/>
    <w:rsid w:val="00F36541"/>
    <w:rsid w:val="00F37BA2"/>
    <w:rsid w:val="00F404AA"/>
    <w:rsid w:val="00F409A4"/>
    <w:rsid w:val="00F41AA2"/>
    <w:rsid w:val="00F432B2"/>
    <w:rsid w:val="00F45166"/>
    <w:rsid w:val="00F45927"/>
    <w:rsid w:val="00F45E80"/>
    <w:rsid w:val="00F46154"/>
    <w:rsid w:val="00F467C1"/>
    <w:rsid w:val="00F46A2D"/>
    <w:rsid w:val="00F5052D"/>
    <w:rsid w:val="00F513EB"/>
    <w:rsid w:val="00F51790"/>
    <w:rsid w:val="00F55CAF"/>
    <w:rsid w:val="00F561F0"/>
    <w:rsid w:val="00F577D3"/>
    <w:rsid w:val="00F57DC8"/>
    <w:rsid w:val="00F60C62"/>
    <w:rsid w:val="00F60F7D"/>
    <w:rsid w:val="00F62C2B"/>
    <w:rsid w:val="00F63690"/>
    <w:rsid w:val="00F664D9"/>
    <w:rsid w:val="00F7046F"/>
    <w:rsid w:val="00F710CD"/>
    <w:rsid w:val="00F73AA5"/>
    <w:rsid w:val="00F7420F"/>
    <w:rsid w:val="00F743C7"/>
    <w:rsid w:val="00F7497E"/>
    <w:rsid w:val="00F756D6"/>
    <w:rsid w:val="00F82536"/>
    <w:rsid w:val="00F84A31"/>
    <w:rsid w:val="00F84F70"/>
    <w:rsid w:val="00F8670C"/>
    <w:rsid w:val="00F932A4"/>
    <w:rsid w:val="00F96FB0"/>
    <w:rsid w:val="00F972CA"/>
    <w:rsid w:val="00FA0271"/>
    <w:rsid w:val="00FA0B3B"/>
    <w:rsid w:val="00FA1737"/>
    <w:rsid w:val="00FA1B9D"/>
    <w:rsid w:val="00FA2C8E"/>
    <w:rsid w:val="00FA2F31"/>
    <w:rsid w:val="00FA400A"/>
    <w:rsid w:val="00FA5981"/>
    <w:rsid w:val="00FA7081"/>
    <w:rsid w:val="00FA762F"/>
    <w:rsid w:val="00FB0245"/>
    <w:rsid w:val="00FB32DE"/>
    <w:rsid w:val="00FC023E"/>
    <w:rsid w:val="00FC1BC6"/>
    <w:rsid w:val="00FC3385"/>
    <w:rsid w:val="00FC5089"/>
    <w:rsid w:val="00FC5636"/>
    <w:rsid w:val="00FC5D75"/>
    <w:rsid w:val="00FC6CC3"/>
    <w:rsid w:val="00FC6CE9"/>
    <w:rsid w:val="00FC70CB"/>
    <w:rsid w:val="00FC7453"/>
    <w:rsid w:val="00FD0170"/>
    <w:rsid w:val="00FD2ED1"/>
    <w:rsid w:val="00FD3936"/>
    <w:rsid w:val="00FD48F4"/>
    <w:rsid w:val="00FD4E91"/>
    <w:rsid w:val="00FD5703"/>
    <w:rsid w:val="00FD697A"/>
    <w:rsid w:val="00FE0021"/>
    <w:rsid w:val="00FE21AF"/>
    <w:rsid w:val="00FE2665"/>
    <w:rsid w:val="00FE39BD"/>
    <w:rsid w:val="00FE3C6B"/>
    <w:rsid w:val="00FE5AB9"/>
    <w:rsid w:val="00FF02A1"/>
    <w:rsid w:val="00FF171F"/>
    <w:rsid w:val="00FF2F92"/>
    <w:rsid w:val="00FF3590"/>
    <w:rsid w:val="00FF35A0"/>
    <w:rsid w:val="00FF48A2"/>
    <w:rsid w:val="00FF679D"/>
    <w:rsid w:val="00FF7554"/>
    <w:rsid w:val="00FF785E"/>
    <w:rsid w:val="012F7DC9"/>
    <w:rsid w:val="021A5619"/>
    <w:rsid w:val="027421BE"/>
    <w:rsid w:val="02C43A50"/>
    <w:rsid w:val="02DC1082"/>
    <w:rsid w:val="03182461"/>
    <w:rsid w:val="034345B1"/>
    <w:rsid w:val="035D4428"/>
    <w:rsid w:val="03633AF8"/>
    <w:rsid w:val="03CD1750"/>
    <w:rsid w:val="041458D9"/>
    <w:rsid w:val="041D57F5"/>
    <w:rsid w:val="04760F17"/>
    <w:rsid w:val="04AF21EF"/>
    <w:rsid w:val="053A7E92"/>
    <w:rsid w:val="057C484F"/>
    <w:rsid w:val="057F3076"/>
    <w:rsid w:val="05A4423F"/>
    <w:rsid w:val="05C45299"/>
    <w:rsid w:val="05CB1022"/>
    <w:rsid w:val="064F49ED"/>
    <w:rsid w:val="067B1193"/>
    <w:rsid w:val="069B04CB"/>
    <w:rsid w:val="06BB5B26"/>
    <w:rsid w:val="06D617E2"/>
    <w:rsid w:val="06F17184"/>
    <w:rsid w:val="0711787F"/>
    <w:rsid w:val="07232165"/>
    <w:rsid w:val="07CC6EEA"/>
    <w:rsid w:val="08701B00"/>
    <w:rsid w:val="088B1871"/>
    <w:rsid w:val="08C94EEE"/>
    <w:rsid w:val="090C2F38"/>
    <w:rsid w:val="09802FB6"/>
    <w:rsid w:val="09BB21A3"/>
    <w:rsid w:val="09E22F57"/>
    <w:rsid w:val="09EA2FA1"/>
    <w:rsid w:val="09EE1183"/>
    <w:rsid w:val="0A607E9D"/>
    <w:rsid w:val="0A6E4DE3"/>
    <w:rsid w:val="0A702C64"/>
    <w:rsid w:val="0ABD3229"/>
    <w:rsid w:val="0AE604AD"/>
    <w:rsid w:val="0AE6231D"/>
    <w:rsid w:val="0B1948DE"/>
    <w:rsid w:val="0B221839"/>
    <w:rsid w:val="0B4D739F"/>
    <w:rsid w:val="0B8E73BF"/>
    <w:rsid w:val="0B921CB6"/>
    <w:rsid w:val="0BD14868"/>
    <w:rsid w:val="0BF5343B"/>
    <w:rsid w:val="0C0F6113"/>
    <w:rsid w:val="0C2D3673"/>
    <w:rsid w:val="0C477613"/>
    <w:rsid w:val="0C870D5F"/>
    <w:rsid w:val="0CAE336C"/>
    <w:rsid w:val="0D1319A8"/>
    <w:rsid w:val="0D1872A1"/>
    <w:rsid w:val="0D4F14A1"/>
    <w:rsid w:val="0D8618D5"/>
    <w:rsid w:val="0D956023"/>
    <w:rsid w:val="0DB94D36"/>
    <w:rsid w:val="0E204E91"/>
    <w:rsid w:val="0E700A5C"/>
    <w:rsid w:val="0E7211C5"/>
    <w:rsid w:val="0E9425AA"/>
    <w:rsid w:val="0ECC6B6C"/>
    <w:rsid w:val="0EE93753"/>
    <w:rsid w:val="0FB7287B"/>
    <w:rsid w:val="0FCA718E"/>
    <w:rsid w:val="10032299"/>
    <w:rsid w:val="100534C4"/>
    <w:rsid w:val="10256B5D"/>
    <w:rsid w:val="10543C22"/>
    <w:rsid w:val="11483E9D"/>
    <w:rsid w:val="115920B6"/>
    <w:rsid w:val="11B71457"/>
    <w:rsid w:val="11C72F97"/>
    <w:rsid w:val="11F95C8D"/>
    <w:rsid w:val="12685871"/>
    <w:rsid w:val="12801271"/>
    <w:rsid w:val="1285342C"/>
    <w:rsid w:val="12B942A9"/>
    <w:rsid w:val="13250B2C"/>
    <w:rsid w:val="13AE3CB2"/>
    <w:rsid w:val="13DA6F09"/>
    <w:rsid w:val="13EA2717"/>
    <w:rsid w:val="13EB1826"/>
    <w:rsid w:val="140E7752"/>
    <w:rsid w:val="1422207D"/>
    <w:rsid w:val="14E30F81"/>
    <w:rsid w:val="150B2EDB"/>
    <w:rsid w:val="1527648C"/>
    <w:rsid w:val="155E2B65"/>
    <w:rsid w:val="157A396B"/>
    <w:rsid w:val="1586452D"/>
    <w:rsid w:val="15A1482F"/>
    <w:rsid w:val="168A276C"/>
    <w:rsid w:val="176F79ED"/>
    <w:rsid w:val="17A74BF6"/>
    <w:rsid w:val="17B26871"/>
    <w:rsid w:val="18167A38"/>
    <w:rsid w:val="18630D64"/>
    <w:rsid w:val="18837938"/>
    <w:rsid w:val="18B26EB4"/>
    <w:rsid w:val="18B94FD7"/>
    <w:rsid w:val="18BF4C35"/>
    <w:rsid w:val="198F0C44"/>
    <w:rsid w:val="199644AE"/>
    <w:rsid w:val="19C913D5"/>
    <w:rsid w:val="1A5F4A5C"/>
    <w:rsid w:val="1A87693B"/>
    <w:rsid w:val="1AB72338"/>
    <w:rsid w:val="1B5F455E"/>
    <w:rsid w:val="1BD22AD7"/>
    <w:rsid w:val="1BD6252E"/>
    <w:rsid w:val="1C1E4564"/>
    <w:rsid w:val="1C257404"/>
    <w:rsid w:val="1C3278BD"/>
    <w:rsid w:val="1C5D49BA"/>
    <w:rsid w:val="1CC52D69"/>
    <w:rsid w:val="1D1B4D49"/>
    <w:rsid w:val="1D41605D"/>
    <w:rsid w:val="1DB2411B"/>
    <w:rsid w:val="1DE26A56"/>
    <w:rsid w:val="1E7C3C8B"/>
    <w:rsid w:val="1E9E5CE3"/>
    <w:rsid w:val="1ECF2F35"/>
    <w:rsid w:val="1F2404FD"/>
    <w:rsid w:val="1F62305A"/>
    <w:rsid w:val="1F767181"/>
    <w:rsid w:val="1F83696E"/>
    <w:rsid w:val="1FC37E6F"/>
    <w:rsid w:val="1FE05519"/>
    <w:rsid w:val="1FFD3BD2"/>
    <w:rsid w:val="200164EC"/>
    <w:rsid w:val="201D2AAC"/>
    <w:rsid w:val="20216D14"/>
    <w:rsid w:val="20AB3712"/>
    <w:rsid w:val="20BA4251"/>
    <w:rsid w:val="20E16B2A"/>
    <w:rsid w:val="210F5059"/>
    <w:rsid w:val="22105343"/>
    <w:rsid w:val="22211DF7"/>
    <w:rsid w:val="228B3079"/>
    <w:rsid w:val="22AD1CA9"/>
    <w:rsid w:val="23167868"/>
    <w:rsid w:val="23952C71"/>
    <w:rsid w:val="23A36DD8"/>
    <w:rsid w:val="24056C0C"/>
    <w:rsid w:val="24874E83"/>
    <w:rsid w:val="24AD2EF9"/>
    <w:rsid w:val="24B87DD9"/>
    <w:rsid w:val="250C033A"/>
    <w:rsid w:val="2535773C"/>
    <w:rsid w:val="25D8662A"/>
    <w:rsid w:val="25E45F7E"/>
    <w:rsid w:val="25ED2D7E"/>
    <w:rsid w:val="26141621"/>
    <w:rsid w:val="26415B0A"/>
    <w:rsid w:val="265B618E"/>
    <w:rsid w:val="26674176"/>
    <w:rsid w:val="26E75E6A"/>
    <w:rsid w:val="26EF19C0"/>
    <w:rsid w:val="26F254B8"/>
    <w:rsid w:val="27761266"/>
    <w:rsid w:val="27842AE6"/>
    <w:rsid w:val="28D90C2E"/>
    <w:rsid w:val="28DB2CB4"/>
    <w:rsid w:val="290056F7"/>
    <w:rsid w:val="2918313D"/>
    <w:rsid w:val="292850D8"/>
    <w:rsid w:val="299D2464"/>
    <w:rsid w:val="29F40C27"/>
    <w:rsid w:val="2A03573C"/>
    <w:rsid w:val="2A2B483E"/>
    <w:rsid w:val="2A4301C3"/>
    <w:rsid w:val="2A43202C"/>
    <w:rsid w:val="2A532CF7"/>
    <w:rsid w:val="2A854938"/>
    <w:rsid w:val="2AF05818"/>
    <w:rsid w:val="2B2B2986"/>
    <w:rsid w:val="2B2F7C2D"/>
    <w:rsid w:val="2BE406AC"/>
    <w:rsid w:val="2BE845DA"/>
    <w:rsid w:val="2C181DAC"/>
    <w:rsid w:val="2C380F44"/>
    <w:rsid w:val="2C384B3C"/>
    <w:rsid w:val="2C506E44"/>
    <w:rsid w:val="2C675851"/>
    <w:rsid w:val="2C7875DD"/>
    <w:rsid w:val="2C8C419A"/>
    <w:rsid w:val="2CB96541"/>
    <w:rsid w:val="2CD04F8C"/>
    <w:rsid w:val="2CE90EF3"/>
    <w:rsid w:val="2D2E468F"/>
    <w:rsid w:val="2D3F5D92"/>
    <w:rsid w:val="2D62655F"/>
    <w:rsid w:val="2D873D14"/>
    <w:rsid w:val="2DAC200C"/>
    <w:rsid w:val="2DC31623"/>
    <w:rsid w:val="2E141137"/>
    <w:rsid w:val="2EE57796"/>
    <w:rsid w:val="2F0E0D09"/>
    <w:rsid w:val="2FA21312"/>
    <w:rsid w:val="2FB60CE7"/>
    <w:rsid w:val="2FCB4B40"/>
    <w:rsid w:val="309B3683"/>
    <w:rsid w:val="30B70149"/>
    <w:rsid w:val="31257AF6"/>
    <w:rsid w:val="312D550D"/>
    <w:rsid w:val="314C6BA6"/>
    <w:rsid w:val="31D85B7E"/>
    <w:rsid w:val="31FB37EA"/>
    <w:rsid w:val="32192084"/>
    <w:rsid w:val="321E12B3"/>
    <w:rsid w:val="322D5413"/>
    <w:rsid w:val="32560D87"/>
    <w:rsid w:val="33531276"/>
    <w:rsid w:val="33733B16"/>
    <w:rsid w:val="33B5531E"/>
    <w:rsid w:val="33F51281"/>
    <w:rsid w:val="34134AFB"/>
    <w:rsid w:val="34B875F9"/>
    <w:rsid w:val="350732B8"/>
    <w:rsid w:val="35264F92"/>
    <w:rsid w:val="352F2FDE"/>
    <w:rsid w:val="35AA21AC"/>
    <w:rsid w:val="35DD409D"/>
    <w:rsid w:val="35E25CC2"/>
    <w:rsid w:val="35FD7CD1"/>
    <w:rsid w:val="362077C0"/>
    <w:rsid w:val="368A5B30"/>
    <w:rsid w:val="36D77350"/>
    <w:rsid w:val="36F752BC"/>
    <w:rsid w:val="37012FB7"/>
    <w:rsid w:val="37344FC9"/>
    <w:rsid w:val="373D15DF"/>
    <w:rsid w:val="375D6500"/>
    <w:rsid w:val="37C42346"/>
    <w:rsid w:val="3831642C"/>
    <w:rsid w:val="383A521F"/>
    <w:rsid w:val="38881D93"/>
    <w:rsid w:val="388C4821"/>
    <w:rsid w:val="391168EC"/>
    <w:rsid w:val="39283E63"/>
    <w:rsid w:val="396C3BA6"/>
    <w:rsid w:val="39D66579"/>
    <w:rsid w:val="39D67324"/>
    <w:rsid w:val="3A5A784E"/>
    <w:rsid w:val="3AB512FC"/>
    <w:rsid w:val="3AE720AE"/>
    <w:rsid w:val="3B5534CD"/>
    <w:rsid w:val="3B955C7F"/>
    <w:rsid w:val="3BD01012"/>
    <w:rsid w:val="3BF70207"/>
    <w:rsid w:val="3C0A3AF2"/>
    <w:rsid w:val="3C0F043A"/>
    <w:rsid w:val="3C265EC8"/>
    <w:rsid w:val="3C425FC9"/>
    <w:rsid w:val="3CBA501E"/>
    <w:rsid w:val="3D1B375A"/>
    <w:rsid w:val="3D2A1B33"/>
    <w:rsid w:val="3D536DFB"/>
    <w:rsid w:val="3D754DBE"/>
    <w:rsid w:val="3DC11F47"/>
    <w:rsid w:val="3DDF3B7A"/>
    <w:rsid w:val="3DF35DF5"/>
    <w:rsid w:val="3DF810B7"/>
    <w:rsid w:val="3E0E5D1C"/>
    <w:rsid w:val="3E1B5C00"/>
    <w:rsid w:val="3E1D2AC3"/>
    <w:rsid w:val="3EF53070"/>
    <w:rsid w:val="3F067180"/>
    <w:rsid w:val="3F520F84"/>
    <w:rsid w:val="3F832FBF"/>
    <w:rsid w:val="3F992CA7"/>
    <w:rsid w:val="3FC00E52"/>
    <w:rsid w:val="40993AB0"/>
    <w:rsid w:val="40A43F0C"/>
    <w:rsid w:val="40C95017"/>
    <w:rsid w:val="415C3188"/>
    <w:rsid w:val="41A15216"/>
    <w:rsid w:val="41E12787"/>
    <w:rsid w:val="420D0B46"/>
    <w:rsid w:val="423B0148"/>
    <w:rsid w:val="425318F4"/>
    <w:rsid w:val="4260648D"/>
    <w:rsid w:val="428021C7"/>
    <w:rsid w:val="42AD25D3"/>
    <w:rsid w:val="42BC5095"/>
    <w:rsid w:val="42F96EE6"/>
    <w:rsid w:val="43564574"/>
    <w:rsid w:val="43BF350D"/>
    <w:rsid w:val="43CA78F5"/>
    <w:rsid w:val="43F569D6"/>
    <w:rsid w:val="4486490D"/>
    <w:rsid w:val="44C13093"/>
    <w:rsid w:val="44C55B8F"/>
    <w:rsid w:val="4528215C"/>
    <w:rsid w:val="4568167C"/>
    <w:rsid w:val="457A5811"/>
    <w:rsid w:val="45EC7AEB"/>
    <w:rsid w:val="466140F2"/>
    <w:rsid w:val="46B559F6"/>
    <w:rsid w:val="46CC45F0"/>
    <w:rsid w:val="46EC3C0A"/>
    <w:rsid w:val="477637F8"/>
    <w:rsid w:val="480D1269"/>
    <w:rsid w:val="48F10EC2"/>
    <w:rsid w:val="49786DE1"/>
    <w:rsid w:val="49D674E4"/>
    <w:rsid w:val="49FE1091"/>
    <w:rsid w:val="4A1A5531"/>
    <w:rsid w:val="4A5E3860"/>
    <w:rsid w:val="4A6B63CA"/>
    <w:rsid w:val="4A732096"/>
    <w:rsid w:val="4AD677F5"/>
    <w:rsid w:val="4B255F97"/>
    <w:rsid w:val="4B280A52"/>
    <w:rsid w:val="4B3E0FA5"/>
    <w:rsid w:val="4B7431F3"/>
    <w:rsid w:val="4B79587C"/>
    <w:rsid w:val="4BDC539B"/>
    <w:rsid w:val="4CAA52C8"/>
    <w:rsid w:val="4D8D100A"/>
    <w:rsid w:val="4D97589D"/>
    <w:rsid w:val="4DF61386"/>
    <w:rsid w:val="4FB435C7"/>
    <w:rsid w:val="4FB512D3"/>
    <w:rsid w:val="4FDD3C40"/>
    <w:rsid w:val="50054DAA"/>
    <w:rsid w:val="500F147C"/>
    <w:rsid w:val="50BA4412"/>
    <w:rsid w:val="50CA0A9F"/>
    <w:rsid w:val="50E3572F"/>
    <w:rsid w:val="5165527B"/>
    <w:rsid w:val="51801998"/>
    <w:rsid w:val="51C63D34"/>
    <w:rsid w:val="51C92778"/>
    <w:rsid w:val="51FD32C6"/>
    <w:rsid w:val="51FF236F"/>
    <w:rsid w:val="52254F04"/>
    <w:rsid w:val="52372D25"/>
    <w:rsid w:val="525C1C74"/>
    <w:rsid w:val="526A1AB5"/>
    <w:rsid w:val="52886CBA"/>
    <w:rsid w:val="530711E9"/>
    <w:rsid w:val="537F31C7"/>
    <w:rsid w:val="53D77504"/>
    <w:rsid w:val="53EB49F8"/>
    <w:rsid w:val="546C7706"/>
    <w:rsid w:val="555E720B"/>
    <w:rsid w:val="561C0826"/>
    <w:rsid w:val="56285D47"/>
    <w:rsid w:val="563B0FC8"/>
    <w:rsid w:val="566613DC"/>
    <w:rsid w:val="567D42E1"/>
    <w:rsid w:val="56B76A51"/>
    <w:rsid w:val="574107BA"/>
    <w:rsid w:val="576458CD"/>
    <w:rsid w:val="57EC6AEE"/>
    <w:rsid w:val="57FE4099"/>
    <w:rsid w:val="582514E7"/>
    <w:rsid w:val="58A04E07"/>
    <w:rsid w:val="59557EB6"/>
    <w:rsid w:val="5961040C"/>
    <w:rsid w:val="59985BD1"/>
    <w:rsid w:val="59BD49E3"/>
    <w:rsid w:val="59EC228B"/>
    <w:rsid w:val="5A1B03A7"/>
    <w:rsid w:val="5A3017DD"/>
    <w:rsid w:val="5A6D71B5"/>
    <w:rsid w:val="5AA1547B"/>
    <w:rsid w:val="5BB657C2"/>
    <w:rsid w:val="5BBB04B0"/>
    <w:rsid w:val="5BD04A71"/>
    <w:rsid w:val="5BD416E4"/>
    <w:rsid w:val="5BEA25E6"/>
    <w:rsid w:val="5C1C5445"/>
    <w:rsid w:val="5C2A0A51"/>
    <w:rsid w:val="5C5E3D9B"/>
    <w:rsid w:val="5C9957EE"/>
    <w:rsid w:val="5CB26F29"/>
    <w:rsid w:val="5CC17D13"/>
    <w:rsid w:val="5CEA0682"/>
    <w:rsid w:val="5D295B36"/>
    <w:rsid w:val="5D7B0FF7"/>
    <w:rsid w:val="5D980CFC"/>
    <w:rsid w:val="5DBC12D5"/>
    <w:rsid w:val="5DD15C4D"/>
    <w:rsid w:val="5E2063DA"/>
    <w:rsid w:val="5ECD288C"/>
    <w:rsid w:val="5F5F7CF5"/>
    <w:rsid w:val="5FF95D37"/>
    <w:rsid w:val="606765D3"/>
    <w:rsid w:val="60A156AF"/>
    <w:rsid w:val="60DB59A5"/>
    <w:rsid w:val="614A24E0"/>
    <w:rsid w:val="61B42650"/>
    <w:rsid w:val="621D4E29"/>
    <w:rsid w:val="622679ED"/>
    <w:rsid w:val="630325A2"/>
    <w:rsid w:val="63222416"/>
    <w:rsid w:val="6358177F"/>
    <w:rsid w:val="63724DBF"/>
    <w:rsid w:val="637847ED"/>
    <w:rsid w:val="640F6139"/>
    <w:rsid w:val="641B22B5"/>
    <w:rsid w:val="645F674D"/>
    <w:rsid w:val="64B554ED"/>
    <w:rsid w:val="64BF3E51"/>
    <w:rsid w:val="64E1215F"/>
    <w:rsid w:val="65593980"/>
    <w:rsid w:val="656517CC"/>
    <w:rsid w:val="65F42876"/>
    <w:rsid w:val="668E3541"/>
    <w:rsid w:val="66D308ED"/>
    <w:rsid w:val="671B4CDD"/>
    <w:rsid w:val="67226F74"/>
    <w:rsid w:val="672E30F4"/>
    <w:rsid w:val="67622908"/>
    <w:rsid w:val="68431135"/>
    <w:rsid w:val="685F081B"/>
    <w:rsid w:val="688B1E1F"/>
    <w:rsid w:val="6932398F"/>
    <w:rsid w:val="694231F4"/>
    <w:rsid w:val="69654A0A"/>
    <w:rsid w:val="69A06DA6"/>
    <w:rsid w:val="6A1D1D76"/>
    <w:rsid w:val="6A25043B"/>
    <w:rsid w:val="6A3D179D"/>
    <w:rsid w:val="6B367AF6"/>
    <w:rsid w:val="6B82291F"/>
    <w:rsid w:val="6BAC2FB9"/>
    <w:rsid w:val="6BC46A25"/>
    <w:rsid w:val="6BC910D1"/>
    <w:rsid w:val="6BE12813"/>
    <w:rsid w:val="6C555A46"/>
    <w:rsid w:val="6C5B11BD"/>
    <w:rsid w:val="6C81674A"/>
    <w:rsid w:val="6C8472DA"/>
    <w:rsid w:val="6CBB71F6"/>
    <w:rsid w:val="6CE427EC"/>
    <w:rsid w:val="6D1D1BE3"/>
    <w:rsid w:val="6D2B4B0F"/>
    <w:rsid w:val="6E48151E"/>
    <w:rsid w:val="6E4B4E31"/>
    <w:rsid w:val="6E6D3ABD"/>
    <w:rsid w:val="6ED323BC"/>
    <w:rsid w:val="6EDB7546"/>
    <w:rsid w:val="6F2215D6"/>
    <w:rsid w:val="6F2E4EF3"/>
    <w:rsid w:val="6F367C15"/>
    <w:rsid w:val="6F5D0449"/>
    <w:rsid w:val="6F6054C6"/>
    <w:rsid w:val="6F6900CA"/>
    <w:rsid w:val="6F8905D1"/>
    <w:rsid w:val="6FB50E87"/>
    <w:rsid w:val="70C35184"/>
    <w:rsid w:val="70E61A2C"/>
    <w:rsid w:val="711F2E23"/>
    <w:rsid w:val="71380F5F"/>
    <w:rsid w:val="713853BB"/>
    <w:rsid w:val="72111D25"/>
    <w:rsid w:val="72282AB8"/>
    <w:rsid w:val="723464F1"/>
    <w:rsid w:val="724D5695"/>
    <w:rsid w:val="725D6B55"/>
    <w:rsid w:val="727E661B"/>
    <w:rsid w:val="728D10C7"/>
    <w:rsid w:val="72A32C6F"/>
    <w:rsid w:val="72BB2CEF"/>
    <w:rsid w:val="72CE3477"/>
    <w:rsid w:val="7348122D"/>
    <w:rsid w:val="7354337C"/>
    <w:rsid w:val="74015511"/>
    <w:rsid w:val="748F5519"/>
    <w:rsid w:val="74CF1B51"/>
    <w:rsid w:val="75390C0A"/>
    <w:rsid w:val="75474956"/>
    <w:rsid w:val="75916FE1"/>
    <w:rsid w:val="75944A69"/>
    <w:rsid w:val="75C03705"/>
    <w:rsid w:val="75EB1C96"/>
    <w:rsid w:val="75F231E1"/>
    <w:rsid w:val="760C0FE0"/>
    <w:rsid w:val="761D6A9E"/>
    <w:rsid w:val="76391BEA"/>
    <w:rsid w:val="76543701"/>
    <w:rsid w:val="76B317F1"/>
    <w:rsid w:val="76C97E54"/>
    <w:rsid w:val="76D4352F"/>
    <w:rsid w:val="7728038A"/>
    <w:rsid w:val="779A115B"/>
    <w:rsid w:val="78371420"/>
    <w:rsid w:val="787B4EB2"/>
    <w:rsid w:val="792A05A7"/>
    <w:rsid w:val="79694CBE"/>
    <w:rsid w:val="79903C0F"/>
    <w:rsid w:val="7A245FEE"/>
    <w:rsid w:val="7A255DC4"/>
    <w:rsid w:val="7A2E34DE"/>
    <w:rsid w:val="7A520CD1"/>
    <w:rsid w:val="7AA57BAA"/>
    <w:rsid w:val="7AB93CF8"/>
    <w:rsid w:val="7B257E76"/>
    <w:rsid w:val="7B486E2F"/>
    <w:rsid w:val="7B6567D4"/>
    <w:rsid w:val="7B7E4381"/>
    <w:rsid w:val="7BC30B86"/>
    <w:rsid w:val="7C2070BC"/>
    <w:rsid w:val="7C28581B"/>
    <w:rsid w:val="7C8E379B"/>
    <w:rsid w:val="7C905D2B"/>
    <w:rsid w:val="7CD3682C"/>
    <w:rsid w:val="7D373263"/>
    <w:rsid w:val="7D703224"/>
    <w:rsid w:val="7E1E2C8A"/>
    <w:rsid w:val="7E1E7DFC"/>
    <w:rsid w:val="7E856BF1"/>
    <w:rsid w:val="7E893E03"/>
    <w:rsid w:val="7E897218"/>
    <w:rsid w:val="7EA71AE8"/>
    <w:rsid w:val="7EEA7AD3"/>
    <w:rsid w:val="7F115C71"/>
    <w:rsid w:val="7FB57225"/>
    <w:rsid w:val="7FE0457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opacity="19661f" focussize="0,0"/>
      <v:stroke color="#FFFF00"/>
    </o:shapedefaults>
    <o:shapelayout v:ext="edit">
      <o:idmap v:ext="edit" data="2"/>
      <o:rules v:ext="edit">
        <o:r id="V:Rule1" type="connector" idref="#自选图形 2700"/>
        <o:r id="V:Rule2" type="connector" idref="#自选图形 2700"/>
        <o:r id="V:Rule3" type="connector" idref="#自选图形 2700"/>
        <o:r id="V:Rule4" type="connector" idref="#自选图形 2700"/>
        <o:r id="V:Rule5" type="connector" idref="#_x0000_s2102"/>
        <o:r id="V:Rule6" type="connector" idref="#_x0000_s2104"/>
        <o:r id="V:Rule7" type="connector" idref="#自选图形 2700"/>
        <o:r id="V:Rule8" type="connector" idref="#自选图形 2700"/>
        <o:r id="V:Rule9" type="connector" idref="#自选图形 2700"/>
        <o:r id="V:Rule10" type="connector" idref="#自选图形 2700"/>
        <o:r id="V:Rule11" type="connector" idref="#自选图形 2700"/>
        <o:r id="V:Rule12" type="connector" idref="#自选图形 2700"/>
        <o:r id="V:Rule13" type="connector" idref="#自选图形 2700"/>
        <o:r id="V:Rule14" type="connector" idref="#自选图形 2700"/>
        <o:r id="V:Rule15" type="connector" idref="#_x0000_s2178"/>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nhideWhenUsed="0" w:uiPriority="0" w:semiHidden="0" w:name="toc 3"/>
    <w:lsdException w:uiPriority="39" w:name="toc 4"/>
    <w:lsdException w:qFormat="1" w:unhideWhenUsed="0" w:uiPriority="0" w:semiHidden="0"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qFormat="1"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qFormat="1" w:unhideWhenUsed="0" w:uiPriority="0" w:semiHidden="0" w:name="Note Heading"/>
    <w:lsdException w:uiPriority="99" w:name="Body Text 2"/>
    <w:lsdException w:uiPriority="99" w:name="Body Text 3"/>
    <w:lsdException w:qFormat="1" w:unhideWhenUsed="0" w:uiPriority="0" w:semiHidden="0" w:name="Body Text Indent 2"/>
    <w:lsdException w:qFormat="1" w:uiPriority="99" w:semiHidden="0"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name="Plain Text"/>
    <w:lsdException w:qFormat="1" w:unhideWhenUsed="0" w:uiPriority="0" w:semiHidden="0"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after="200" w:line="276" w:lineRule="auto"/>
    </w:pPr>
    <w:rPr>
      <w:rFonts w:asciiTheme="minorHAnsi" w:hAnsiTheme="minorHAnsi" w:eastAsiaTheme="minorEastAsia" w:cstheme="minorBidi"/>
      <w:sz w:val="22"/>
      <w:szCs w:val="22"/>
      <w:lang w:val="en-US" w:eastAsia="zh-CN" w:bidi="ar-SA"/>
    </w:rPr>
  </w:style>
  <w:style w:type="paragraph" w:styleId="14">
    <w:name w:val="heading 1"/>
    <w:basedOn w:val="1"/>
    <w:next w:val="1"/>
    <w:link w:val="89"/>
    <w:qFormat/>
    <w:uiPriority w:val="0"/>
    <w:pPr>
      <w:keepNext/>
      <w:keepLines/>
      <w:spacing w:after="0"/>
      <w:outlineLvl w:val="0"/>
    </w:pPr>
    <w:rPr>
      <w:rFonts w:asciiTheme="majorAscii" w:hAnsiTheme="majorAscii" w:eastAsiaTheme="majorEastAsia" w:cstheme="majorBidi"/>
      <w:b/>
      <w:bCs/>
      <w:color w:val="366091" w:themeColor="accent1" w:themeShade="BF"/>
      <w:sz w:val="28"/>
      <w:szCs w:val="28"/>
    </w:rPr>
  </w:style>
  <w:style w:type="paragraph" w:styleId="15">
    <w:name w:val="heading 2"/>
    <w:basedOn w:val="1"/>
    <w:next w:val="1"/>
    <w:link w:val="204"/>
    <w:unhideWhenUsed/>
    <w:qFormat/>
    <w:uiPriority w:val="9"/>
    <w:pPr>
      <w:keepNext/>
      <w:keepLines/>
      <w:spacing w:before="200" w:after="0"/>
      <w:outlineLvl w:val="1"/>
    </w:pPr>
    <w:rPr>
      <w:rFonts w:asciiTheme="majorHAnsi" w:hAnsiTheme="majorHAnsi" w:eastAsiaTheme="majorEastAsia" w:cstheme="majorBidi"/>
      <w:b/>
      <w:bCs/>
      <w:color w:val="4F81BD" w:themeColor="accent1"/>
      <w:sz w:val="26"/>
      <w:szCs w:val="26"/>
    </w:rPr>
  </w:style>
  <w:style w:type="paragraph" w:styleId="16">
    <w:name w:val="heading 3"/>
    <w:basedOn w:val="1"/>
    <w:next w:val="1"/>
    <w:link w:val="205"/>
    <w:unhideWhenUsed/>
    <w:qFormat/>
    <w:uiPriority w:val="9"/>
    <w:pPr>
      <w:keepNext/>
      <w:keepLines/>
      <w:spacing w:before="200" w:after="0"/>
      <w:outlineLvl w:val="2"/>
    </w:pPr>
    <w:rPr>
      <w:rFonts w:asciiTheme="majorHAnsi" w:hAnsiTheme="majorHAnsi" w:eastAsiaTheme="majorEastAsia" w:cstheme="majorBidi"/>
      <w:b/>
      <w:bCs/>
      <w:color w:val="4F81BD" w:themeColor="accent1"/>
    </w:rPr>
  </w:style>
  <w:style w:type="paragraph" w:styleId="17">
    <w:name w:val="heading 4"/>
    <w:basedOn w:val="1"/>
    <w:next w:val="1"/>
    <w:link w:val="206"/>
    <w:unhideWhenUsed/>
    <w:qFormat/>
    <w:uiPriority w:val="9"/>
    <w:pPr>
      <w:keepNext/>
      <w:keepLines/>
      <w:spacing w:before="200" w:after="0"/>
      <w:outlineLvl w:val="3"/>
    </w:pPr>
    <w:rPr>
      <w:rFonts w:asciiTheme="majorHAnsi" w:hAnsiTheme="majorHAnsi" w:eastAsiaTheme="majorEastAsia" w:cstheme="majorBidi"/>
      <w:b/>
      <w:bCs/>
      <w:i/>
      <w:iCs/>
      <w:color w:val="4F81BD" w:themeColor="accent1"/>
    </w:rPr>
  </w:style>
  <w:style w:type="paragraph" w:styleId="18">
    <w:name w:val="heading 5"/>
    <w:basedOn w:val="1"/>
    <w:next w:val="1"/>
    <w:link w:val="207"/>
    <w:unhideWhenUsed/>
    <w:qFormat/>
    <w:uiPriority w:val="9"/>
    <w:pPr>
      <w:keepNext/>
      <w:keepLines/>
      <w:spacing w:before="200" w:after="0"/>
      <w:outlineLvl w:val="4"/>
    </w:pPr>
    <w:rPr>
      <w:rFonts w:asciiTheme="majorHAnsi" w:hAnsiTheme="majorHAnsi" w:eastAsiaTheme="majorEastAsia" w:cstheme="majorBidi"/>
      <w:color w:val="244061" w:themeColor="accent1" w:themeShade="80"/>
    </w:rPr>
  </w:style>
  <w:style w:type="paragraph" w:styleId="19">
    <w:name w:val="heading 6"/>
    <w:basedOn w:val="1"/>
    <w:next w:val="1"/>
    <w:link w:val="208"/>
    <w:unhideWhenUsed/>
    <w:qFormat/>
    <w:uiPriority w:val="9"/>
    <w:pPr>
      <w:keepNext/>
      <w:keepLines/>
      <w:spacing w:before="200" w:after="0"/>
      <w:outlineLvl w:val="5"/>
    </w:pPr>
    <w:rPr>
      <w:rFonts w:asciiTheme="majorHAnsi" w:hAnsiTheme="majorHAnsi" w:eastAsiaTheme="majorEastAsia" w:cstheme="majorBidi"/>
      <w:i/>
      <w:iCs/>
      <w:color w:val="244061" w:themeColor="accent1" w:themeShade="80"/>
    </w:rPr>
  </w:style>
  <w:style w:type="paragraph" w:styleId="20">
    <w:name w:val="heading 7"/>
    <w:basedOn w:val="1"/>
    <w:next w:val="1"/>
    <w:link w:val="209"/>
    <w:unhideWhenUsed/>
    <w:qFormat/>
    <w:uiPriority w:val="9"/>
    <w:pPr>
      <w:keepNext/>
      <w:keepLines/>
      <w:spacing w:before="200" w:after="0"/>
      <w:outlineLvl w:val="6"/>
    </w:pPr>
    <w:rPr>
      <w:rFonts w:asciiTheme="majorHAnsi" w:hAnsiTheme="majorHAnsi" w:eastAsiaTheme="majorEastAsia" w:cstheme="majorBidi"/>
      <w:i/>
      <w:iCs/>
      <w:color w:val="3F3F3F" w:themeColor="text1" w:themeTint="BF"/>
    </w:rPr>
  </w:style>
  <w:style w:type="paragraph" w:styleId="21">
    <w:name w:val="heading 8"/>
    <w:basedOn w:val="1"/>
    <w:next w:val="1"/>
    <w:link w:val="210"/>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rPr>
  </w:style>
  <w:style w:type="paragraph" w:styleId="22">
    <w:name w:val="heading 9"/>
    <w:basedOn w:val="1"/>
    <w:next w:val="1"/>
    <w:link w:val="211"/>
    <w:unhideWhenUsed/>
    <w:qFormat/>
    <w:uiPriority w:val="9"/>
    <w:pPr>
      <w:keepNext/>
      <w:keepLines/>
      <w:spacing w:before="200" w:after="0"/>
      <w:outlineLvl w:val="8"/>
    </w:pPr>
    <w:rPr>
      <w:rFonts w:asciiTheme="majorHAnsi" w:hAnsiTheme="majorHAnsi" w:eastAsiaTheme="majorEastAsia" w:cstheme="majorBidi"/>
      <w:i/>
      <w:iCs/>
      <w:color w:val="3F3F3F" w:themeColor="text1" w:themeTint="BF"/>
      <w:sz w:val="20"/>
      <w:szCs w:val="20"/>
    </w:rPr>
  </w:style>
  <w:style w:type="character" w:default="1" w:styleId="45">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spacing w:after="200" w:line="276" w:lineRule="auto"/>
    </w:pPr>
    <w:rPr>
      <w:rFonts w:ascii="宋体" w:hAnsi="Times New Roman" w:eastAsia="宋体" w:cs="宋体"/>
      <w:color w:val="000000"/>
      <w:sz w:val="24"/>
      <w:szCs w:val="24"/>
      <w:lang w:val="en-US" w:eastAsia="zh-CN" w:bidi="ar-SA"/>
    </w:rPr>
  </w:style>
  <w:style w:type="paragraph" w:customStyle="1" w:styleId="3">
    <w:name w:val="纯文本1"/>
    <w:basedOn w:val="1"/>
    <w:link w:val="81"/>
    <w:qFormat/>
    <w:uiPriority w:val="0"/>
    <w:rPr>
      <w:rFonts w:ascii="宋体" w:hAnsi="Courier New"/>
      <w:sz w:val="15"/>
    </w:rPr>
  </w:style>
  <w:style w:type="paragraph" w:customStyle="1" w:styleId="4">
    <w:name w:val="样式35"/>
    <w:basedOn w:val="1"/>
    <w:next w:val="5"/>
    <w:qFormat/>
    <w:uiPriority w:val="0"/>
    <w:pPr>
      <w:spacing w:line="312" w:lineRule="auto"/>
      <w:ind w:firstLine="567"/>
    </w:pPr>
    <w:rPr>
      <w:rFonts w:ascii="宋体"/>
    </w:rPr>
  </w:style>
  <w:style w:type="paragraph" w:customStyle="1" w:styleId="5">
    <w:name w:val="font6"/>
    <w:basedOn w:val="1"/>
    <w:next w:val="6"/>
    <w:qFormat/>
    <w:uiPriority w:val="0"/>
    <w:pPr>
      <w:widowControl/>
      <w:spacing w:before="100" w:beforeAutospacing="1" w:after="100" w:afterAutospacing="1"/>
      <w:jc w:val="left"/>
    </w:pPr>
    <w:rPr>
      <w:rFonts w:ascii="宋体" w:hAnsi="宋体" w:cs="宋体"/>
      <w:kern w:val="0"/>
      <w:sz w:val="20"/>
      <w:szCs w:val="20"/>
    </w:rPr>
  </w:style>
  <w:style w:type="paragraph" w:styleId="6">
    <w:name w:val="toc 2"/>
    <w:basedOn w:val="1"/>
    <w:next w:val="7"/>
    <w:unhideWhenUsed/>
    <w:qFormat/>
    <w:uiPriority w:val="39"/>
    <w:pPr>
      <w:ind w:left="420" w:leftChars="200"/>
    </w:pPr>
  </w:style>
  <w:style w:type="paragraph" w:styleId="7">
    <w:name w:val="E-mail Signature"/>
    <w:basedOn w:val="1"/>
    <w:next w:val="8"/>
    <w:qFormat/>
    <w:uiPriority w:val="0"/>
    <w:pPr>
      <w:spacing w:line="460" w:lineRule="exact"/>
      <w:ind w:firstLine="200"/>
    </w:pPr>
    <w:rPr>
      <w:sz w:val="24"/>
    </w:rPr>
  </w:style>
  <w:style w:type="paragraph" w:customStyle="1" w:styleId="8">
    <w:name w:val="文章"/>
    <w:basedOn w:val="1"/>
    <w:next w:val="9"/>
    <w:qFormat/>
    <w:uiPriority w:val="0"/>
    <w:pPr>
      <w:widowControl/>
      <w:ind w:firstLine="480"/>
      <w:jc w:val="center"/>
    </w:pPr>
    <w:rPr>
      <w:sz w:val="26"/>
    </w:rPr>
  </w:style>
  <w:style w:type="paragraph" w:styleId="9">
    <w:name w:val="List"/>
    <w:basedOn w:val="1"/>
    <w:next w:val="10"/>
    <w:qFormat/>
    <w:uiPriority w:val="0"/>
    <w:pPr>
      <w:ind w:left="200" w:hanging="200" w:hangingChars="200"/>
    </w:pPr>
    <w:rPr>
      <w:sz w:val="24"/>
      <w:szCs w:val="20"/>
    </w:rPr>
  </w:style>
  <w:style w:type="paragraph" w:styleId="10">
    <w:name w:val="List Bullet 2"/>
    <w:basedOn w:val="1"/>
    <w:next w:val="11"/>
    <w:semiHidden/>
    <w:unhideWhenUsed/>
    <w:qFormat/>
    <w:uiPriority w:val="99"/>
    <w:pPr>
      <w:numPr>
        <w:ilvl w:val="0"/>
        <w:numId w:val="1"/>
      </w:numPr>
    </w:pPr>
  </w:style>
  <w:style w:type="paragraph" w:customStyle="1" w:styleId="11">
    <w:name w:val="xl70"/>
    <w:basedOn w:val="1"/>
    <w:next w:val="12"/>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2">
    <w:name w:val="正文缩进1"/>
    <w:basedOn w:val="1"/>
    <w:next w:val="13"/>
    <w:link w:val="63"/>
    <w:qFormat/>
    <w:uiPriority w:val="0"/>
    <w:pPr>
      <w:ind w:firstLine="420" w:firstLineChars="200"/>
    </w:pPr>
  </w:style>
  <w:style w:type="paragraph" w:customStyle="1" w:styleId="13">
    <w:name w:val="td1"/>
    <w:basedOn w:val="1"/>
    <w:next w:val="1"/>
    <w:qFormat/>
    <w:uiPriority w:val="0"/>
    <w:pPr>
      <w:widowControl/>
      <w:spacing w:before="280" w:after="280" w:line="300" w:lineRule="atLeast"/>
      <w:ind w:firstLine="200"/>
    </w:pPr>
    <w:rPr>
      <w:color w:val="000000"/>
      <w:sz w:val="18"/>
    </w:rPr>
  </w:style>
  <w:style w:type="paragraph" w:styleId="23">
    <w:name w:val="List 3"/>
    <w:basedOn w:val="1"/>
    <w:qFormat/>
    <w:uiPriority w:val="0"/>
    <w:pPr>
      <w:ind w:left="100" w:leftChars="400" w:hanging="200" w:hangingChars="200"/>
    </w:pPr>
  </w:style>
  <w:style w:type="paragraph" w:styleId="24">
    <w:name w:val="Note Heading"/>
    <w:basedOn w:val="1"/>
    <w:next w:val="1"/>
    <w:link w:val="192"/>
    <w:qFormat/>
    <w:uiPriority w:val="0"/>
    <w:pPr>
      <w:jc w:val="center"/>
    </w:pPr>
    <w:rPr>
      <w:sz w:val="21"/>
    </w:rPr>
  </w:style>
  <w:style w:type="paragraph" w:styleId="25">
    <w:name w:val="Normal Indent"/>
    <w:basedOn w:val="1"/>
    <w:link w:val="201"/>
    <w:qFormat/>
    <w:uiPriority w:val="0"/>
    <w:pPr>
      <w:ind w:firstLine="420" w:firstLineChars="200"/>
    </w:pPr>
    <w:rPr>
      <w:sz w:val="21"/>
      <w:szCs w:val="21"/>
    </w:rPr>
  </w:style>
  <w:style w:type="paragraph" w:styleId="26">
    <w:name w:val="caption"/>
    <w:basedOn w:val="1"/>
    <w:next w:val="1"/>
    <w:unhideWhenUsed/>
    <w:qFormat/>
    <w:uiPriority w:val="35"/>
    <w:pPr>
      <w:spacing w:line="240" w:lineRule="auto"/>
    </w:pPr>
    <w:rPr>
      <w:b/>
      <w:bCs/>
      <w:color w:val="4F81BD" w:themeColor="accent1"/>
      <w:sz w:val="18"/>
      <w:szCs w:val="18"/>
    </w:rPr>
  </w:style>
  <w:style w:type="paragraph" w:styleId="27">
    <w:name w:val="Document Map"/>
    <w:basedOn w:val="1"/>
    <w:link w:val="156"/>
    <w:unhideWhenUsed/>
    <w:qFormat/>
    <w:uiPriority w:val="99"/>
    <w:rPr>
      <w:rFonts w:ascii="宋体"/>
      <w:sz w:val="18"/>
      <w:szCs w:val="18"/>
    </w:rPr>
  </w:style>
  <w:style w:type="paragraph" w:styleId="28">
    <w:name w:val="annotation text"/>
    <w:basedOn w:val="1"/>
    <w:link w:val="68"/>
    <w:qFormat/>
    <w:uiPriority w:val="0"/>
  </w:style>
  <w:style w:type="paragraph" w:styleId="29">
    <w:name w:val="Body Text"/>
    <w:basedOn w:val="1"/>
    <w:qFormat/>
    <w:uiPriority w:val="0"/>
    <w:pPr>
      <w:spacing w:after="120"/>
    </w:pPr>
  </w:style>
  <w:style w:type="paragraph" w:styleId="30">
    <w:name w:val="toc 5"/>
    <w:basedOn w:val="1"/>
    <w:next w:val="1"/>
    <w:qFormat/>
    <w:uiPriority w:val="0"/>
    <w:pPr>
      <w:ind w:left="840"/>
    </w:pPr>
    <w:rPr>
      <w:sz w:val="18"/>
      <w:szCs w:val="18"/>
    </w:rPr>
  </w:style>
  <w:style w:type="paragraph" w:styleId="31">
    <w:name w:val="toc 3"/>
    <w:basedOn w:val="1"/>
    <w:next w:val="1"/>
    <w:qFormat/>
    <w:uiPriority w:val="0"/>
    <w:pPr>
      <w:ind w:left="840" w:leftChars="400"/>
    </w:pPr>
  </w:style>
  <w:style w:type="paragraph" w:styleId="32">
    <w:name w:val="Plain Text"/>
    <w:basedOn w:val="1"/>
    <w:link w:val="173"/>
    <w:semiHidden/>
    <w:unhideWhenUsed/>
    <w:qFormat/>
    <w:uiPriority w:val="99"/>
    <w:rPr>
      <w:rFonts w:ascii="宋体" w:hAnsi="Courier New" w:cs="Courier New"/>
      <w:sz w:val="21"/>
      <w:szCs w:val="21"/>
    </w:rPr>
  </w:style>
  <w:style w:type="paragraph" w:styleId="33">
    <w:name w:val="Body Text Indent 2"/>
    <w:basedOn w:val="1"/>
    <w:qFormat/>
    <w:uiPriority w:val="0"/>
    <w:pPr>
      <w:widowControl/>
      <w:ind w:firstLine="430"/>
      <w:jc w:val="left"/>
    </w:pPr>
    <w:rPr>
      <w:kern w:val="0"/>
      <w:sz w:val="24"/>
      <w:szCs w:val="20"/>
    </w:rPr>
  </w:style>
  <w:style w:type="paragraph" w:styleId="34">
    <w:name w:val="Balloon Text"/>
    <w:basedOn w:val="1"/>
    <w:qFormat/>
    <w:uiPriority w:val="0"/>
    <w:rPr>
      <w:sz w:val="18"/>
    </w:rPr>
  </w:style>
  <w:style w:type="paragraph" w:styleId="35">
    <w:name w:val="footer"/>
    <w:basedOn w:val="1"/>
    <w:link w:val="85"/>
    <w:qFormat/>
    <w:uiPriority w:val="99"/>
    <w:pPr>
      <w:tabs>
        <w:tab w:val="center" w:pos="4153"/>
        <w:tab w:val="right" w:pos="8306"/>
      </w:tabs>
      <w:snapToGrid w:val="0"/>
    </w:pPr>
    <w:rPr>
      <w:sz w:val="18"/>
    </w:rPr>
  </w:style>
  <w:style w:type="paragraph" w:styleId="36">
    <w:name w:val="header"/>
    <w:basedOn w:val="1"/>
    <w:link w:val="188"/>
    <w:qFormat/>
    <w:uiPriority w:val="99"/>
    <w:pPr>
      <w:pBdr>
        <w:bottom w:val="single" w:color="auto" w:sz="6" w:space="1"/>
      </w:pBdr>
      <w:tabs>
        <w:tab w:val="center" w:pos="4153"/>
        <w:tab w:val="right" w:pos="8306"/>
      </w:tabs>
      <w:snapToGrid w:val="0"/>
      <w:jc w:val="center"/>
    </w:pPr>
    <w:rPr>
      <w:sz w:val="18"/>
    </w:rPr>
  </w:style>
  <w:style w:type="paragraph" w:styleId="37">
    <w:name w:val="toc 1"/>
    <w:basedOn w:val="1"/>
    <w:next w:val="1"/>
    <w:qFormat/>
    <w:uiPriority w:val="39"/>
    <w:rPr>
      <w:b/>
      <w:sz w:val="21"/>
      <w:szCs w:val="21"/>
    </w:rPr>
  </w:style>
  <w:style w:type="paragraph" w:styleId="38">
    <w:name w:val="Subtitle"/>
    <w:basedOn w:val="1"/>
    <w:next w:val="1"/>
    <w:link w:val="213"/>
    <w:qFormat/>
    <w:uiPriority w:val="11"/>
    <w:rPr>
      <w:rFonts w:asciiTheme="majorHAnsi" w:hAnsiTheme="majorHAnsi" w:eastAsiaTheme="majorEastAsia" w:cstheme="majorBidi"/>
      <w:i/>
      <w:iCs/>
      <w:color w:val="4F81BD" w:themeColor="accent1"/>
      <w:spacing w:val="15"/>
      <w:sz w:val="24"/>
      <w:szCs w:val="24"/>
    </w:rPr>
  </w:style>
  <w:style w:type="paragraph" w:styleId="39">
    <w:name w:val="Body Text Indent 3"/>
    <w:basedOn w:val="1"/>
    <w:link w:val="160"/>
    <w:unhideWhenUsed/>
    <w:qFormat/>
    <w:uiPriority w:val="99"/>
    <w:pPr>
      <w:spacing w:after="120"/>
      <w:ind w:left="420" w:leftChars="200"/>
    </w:pPr>
    <w:rPr>
      <w:sz w:val="16"/>
      <w:szCs w:val="16"/>
    </w:rPr>
  </w:style>
  <w:style w:type="paragraph" w:styleId="40">
    <w:name w:val="Normal (Web)"/>
    <w:basedOn w:val="1"/>
    <w:unhideWhenUsed/>
    <w:qFormat/>
    <w:uiPriority w:val="0"/>
    <w:pPr>
      <w:spacing w:before="100" w:beforeAutospacing="1" w:after="100" w:afterAutospacing="1"/>
    </w:pPr>
    <w:rPr>
      <w:rFonts w:ascii="宋体" w:hAnsi="宋体" w:cs="宋体"/>
      <w:szCs w:val="24"/>
    </w:rPr>
  </w:style>
  <w:style w:type="paragraph" w:styleId="41">
    <w:name w:val="Title"/>
    <w:basedOn w:val="1"/>
    <w:next w:val="1"/>
    <w:link w:val="212"/>
    <w:qFormat/>
    <w:uiPriority w:val="10"/>
    <w:pPr>
      <w:pBdr>
        <w:bottom w:val="single" w:color="4F81BD" w:themeColor="accent1" w:sz="8" w:space="4"/>
      </w:pBdr>
      <w:spacing w:after="300" w:line="240" w:lineRule="auto"/>
      <w:contextualSpacing/>
    </w:pPr>
    <w:rPr>
      <w:rFonts w:asciiTheme="majorHAnsi" w:hAnsiTheme="majorHAnsi" w:eastAsiaTheme="majorEastAsia" w:cstheme="majorBidi"/>
      <w:color w:val="17365D" w:themeColor="text2" w:themeShade="BF"/>
      <w:spacing w:val="5"/>
      <w:sz w:val="52"/>
      <w:szCs w:val="52"/>
    </w:rPr>
  </w:style>
  <w:style w:type="paragraph" w:styleId="42">
    <w:name w:val="annotation subject"/>
    <w:basedOn w:val="28"/>
    <w:next w:val="28"/>
    <w:link w:val="157"/>
    <w:unhideWhenUsed/>
    <w:qFormat/>
    <w:uiPriority w:val="0"/>
    <w:rPr>
      <w:b/>
      <w:bCs/>
    </w:rPr>
  </w:style>
  <w:style w:type="table" w:styleId="44">
    <w:name w:val="Table Grid"/>
    <w:basedOn w:val="4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6">
    <w:name w:val="Strong"/>
    <w:basedOn w:val="45"/>
    <w:qFormat/>
    <w:uiPriority w:val="22"/>
    <w:rPr>
      <w:b/>
      <w:bCs/>
    </w:rPr>
  </w:style>
  <w:style w:type="character" w:styleId="47">
    <w:name w:val="page number"/>
    <w:basedOn w:val="45"/>
    <w:qFormat/>
    <w:uiPriority w:val="0"/>
  </w:style>
  <w:style w:type="character" w:styleId="48">
    <w:name w:val="Emphasis"/>
    <w:basedOn w:val="45"/>
    <w:qFormat/>
    <w:uiPriority w:val="20"/>
    <w:rPr>
      <w:i/>
      <w:iCs/>
    </w:rPr>
  </w:style>
  <w:style w:type="character" w:styleId="49">
    <w:name w:val="Hyperlink"/>
    <w:basedOn w:val="45"/>
    <w:qFormat/>
    <w:uiPriority w:val="99"/>
    <w:rPr>
      <w:color w:val="3366CC"/>
      <w:u w:val="single"/>
    </w:rPr>
  </w:style>
  <w:style w:type="character" w:styleId="50">
    <w:name w:val="annotation reference"/>
    <w:basedOn w:val="45"/>
    <w:unhideWhenUsed/>
    <w:qFormat/>
    <w:uiPriority w:val="0"/>
    <w:rPr>
      <w:sz w:val="21"/>
      <w:szCs w:val="21"/>
    </w:rPr>
  </w:style>
  <w:style w:type="character" w:styleId="51">
    <w:name w:val="footnote reference"/>
    <w:basedOn w:val="45"/>
    <w:qFormat/>
    <w:uiPriority w:val="0"/>
    <w:rPr>
      <w:vertAlign w:val="superscript"/>
    </w:rPr>
  </w:style>
  <w:style w:type="paragraph" w:customStyle="1" w:styleId="52">
    <w:name w:val="Normal Indent1"/>
    <w:basedOn w:val="1"/>
    <w:qFormat/>
    <w:uiPriority w:val="0"/>
    <w:pPr>
      <w:ind w:firstLine="420"/>
    </w:pPr>
  </w:style>
  <w:style w:type="character" w:customStyle="1" w:styleId="53">
    <w:name w:val="页码1"/>
    <w:basedOn w:val="45"/>
    <w:qFormat/>
    <w:uiPriority w:val="0"/>
  </w:style>
  <w:style w:type="character" w:customStyle="1" w:styleId="54">
    <w:name w:val="批注引用1"/>
    <w:basedOn w:val="45"/>
    <w:qFormat/>
    <w:uiPriority w:val="0"/>
    <w:rPr>
      <w:sz w:val="21"/>
    </w:rPr>
  </w:style>
  <w:style w:type="character" w:customStyle="1" w:styleId="55">
    <w:name w:val="表格 32 Char"/>
    <w:basedOn w:val="45"/>
    <w:link w:val="56"/>
    <w:qFormat/>
    <w:uiPriority w:val="0"/>
    <w:rPr>
      <w:rFonts w:ascii="宋体" w:hAnsi="Impact" w:eastAsia="宋体"/>
      <w:kern w:val="24"/>
      <w:sz w:val="24"/>
      <w:lang w:val="en-US" w:eastAsia="zh-CN"/>
    </w:rPr>
  </w:style>
  <w:style w:type="paragraph" w:customStyle="1" w:styleId="56">
    <w:name w:val="表格 32"/>
    <w:basedOn w:val="1"/>
    <w:link w:val="55"/>
    <w:qFormat/>
    <w:uiPriority w:val="0"/>
    <w:pPr>
      <w:autoSpaceDE w:val="0"/>
      <w:autoSpaceDN w:val="0"/>
      <w:adjustRightInd w:val="0"/>
      <w:jc w:val="center"/>
      <w:textAlignment w:val="baseline"/>
    </w:pPr>
    <w:rPr>
      <w:rFonts w:ascii="宋体" w:hAnsi="Impact"/>
      <w:kern w:val="24"/>
    </w:rPr>
  </w:style>
  <w:style w:type="character" w:customStyle="1" w:styleId="57">
    <w:name w:val="表格1 Char"/>
    <w:basedOn w:val="45"/>
    <w:link w:val="58"/>
    <w:qFormat/>
    <w:uiPriority w:val="0"/>
    <w:rPr>
      <w:rFonts w:ascii="宋体" w:hAnsi="Impact" w:eastAsia="宋体"/>
      <w:kern w:val="24"/>
      <w:sz w:val="28"/>
      <w:lang w:val="en-US" w:eastAsia="zh-CN"/>
    </w:rPr>
  </w:style>
  <w:style w:type="paragraph" w:customStyle="1" w:styleId="58">
    <w:name w:val="表格1"/>
    <w:basedOn w:val="1"/>
    <w:next w:val="1"/>
    <w:link w:val="57"/>
    <w:qFormat/>
    <w:uiPriority w:val="0"/>
    <w:pPr>
      <w:topLinePunct/>
      <w:autoSpaceDE w:val="0"/>
      <w:autoSpaceDN w:val="0"/>
      <w:adjustRightInd w:val="0"/>
      <w:jc w:val="center"/>
      <w:textAlignment w:val="baseline"/>
    </w:pPr>
    <w:rPr>
      <w:rFonts w:ascii="宋体" w:hAnsi="Impact"/>
      <w:kern w:val="24"/>
      <w:sz w:val="28"/>
    </w:rPr>
  </w:style>
  <w:style w:type="character" w:customStyle="1" w:styleId="59">
    <w:name w:val="unnamed1"/>
    <w:basedOn w:val="45"/>
    <w:qFormat/>
    <w:uiPriority w:val="0"/>
  </w:style>
  <w:style w:type="character" w:customStyle="1" w:styleId="60">
    <w:name w:val="font121"/>
    <w:basedOn w:val="45"/>
    <w:qFormat/>
    <w:uiPriority w:val="0"/>
    <w:rPr>
      <w:sz w:val="18"/>
    </w:rPr>
  </w:style>
  <w:style w:type="character" w:customStyle="1" w:styleId="61">
    <w:name w:val="text1"/>
    <w:basedOn w:val="45"/>
    <w:qFormat/>
    <w:uiPriority w:val="0"/>
    <w:rPr>
      <w:rFonts w:hint="eastAsia" w:ascii="宋体" w:hAnsi="宋体" w:eastAsia="宋体"/>
      <w:color w:val="000000"/>
      <w:sz w:val="18"/>
      <w:u w:val="none"/>
    </w:rPr>
  </w:style>
  <w:style w:type="character" w:customStyle="1" w:styleId="62">
    <w:name w:val="tpc_content1"/>
    <w:basedOn w:val="45"/>
    <w:qFormat/>
    <w:uiPriority w:val="0"/>
    <w:rPr>
      <w:spacing w:val="420"/>
      <w:sz w:val="21"/>
      <w:szCs w:val="21"/>
      <w:u w:val="none"/>
    </w:rPr>
  </w:style>
  <w:style w:type="character" w:customStyle="1" w:styleId="63">
    <w:name w:val="正文缩进 Char"/>
    <w:basedOn w:val="45"/>
    <w:link w:val="12"/>
    <w:qFormat/>
    <w:uiPriority w:val="0"/>
    <w:rPr>
      <w:rFonts w:eastAsia="宋体"/>
      <w:kern w:val="2"/>
      <w:sz w:val="24"/>
      <w:lang w:val="en-US" w:eastAsia="zh-CN"/>
    </w:rPr>
  </w:style>
  <w:style w:type="character" w:customStyle="1" w:styleId="64">
    <w:name w:val="s4 Char1"/>
    <w:basedOn w:val="45"/>
    <w:qFormat/>
    <w:uiPriority w:val="0"/>
    <w:rPr>
      <w:rFonts w:eastAsia="宋体"/>
      <w:kern w:val="2"/>
      <w:sz w:val="21"/>
      <w:szCs w:val="24"/>
      <w:lang w:val="en-US" w:eastAsia="zh-CN"/>
    </w:rPr>
  </w:style>
  <w:style w:type="character" w:customStyle="1" w:styleId="65">
    <w:name w:val="内容"/>
    <w:basedOn w:val="45"/>
    <w:qFormat/>
    <w:uiPriority w:val="0"/>
    <w:rPr>
      <w:sz w:val="28"/>
    </w:rPr>
  </w:style>
  <w:style w:type="character" w:customStyle="1" w:styleId="66">
    <w:name w:val="中气表头 Char"/>
    <w:link w:val="67"/>
    <w:qFormat/>
    <w:uiPriority w:val="0"/>
    <w:rPr>
      <w:rFonts w:eastAsia="黑体"/>
      <w:b/>
      <w:kern w:val="2"/>
      <w:sz w:val="21"/>
      <w:szCs w:val="21"/>
      <w:lang w:val="en-US" w:eastAsia="zh-CN"/>
    </w:rPr>
  </w:style>
  <w:style w:type="paragraph" w:customStyle="1" w:styleId="67">
    <w:name w:val="中气表头"/>
    <w:basedOn w:val="1"/>
    <w:link w:val="66"/>
    <w:qFormat/>
    <w:uiPriority w:val="0"/>
    <w:pPr>
      <w:jc w:val="center"/>
    </w:pPr>
    <w:rPr>
      <w:rFonts w:eastAsia="黑体"/>
      <w:b/>
      <w:sz w:val="21"/>
      <w:szCs w:val="21"/>
    </w:rPr>
  </w:style>
  <w:style w:type="character" w:customStyle="1" w:styleId="68">
    <w:name w:val="批注文字 Char"/>
    <w:basedOn w:val="45"/>
    <w:link w:val="28"/>
    <w:qFormat/>
    <w:uiPriority w:val="0"/>
    <w:rPr>
      <w:rFonts w:eastAsia="宋体"/>
      <w:kern w:val="2"/>
      <w:sz w:val="24"/>
      <w:lang w:val="en-US" w:eastAsia="zh-CN"/>
    </w:rPr>
  </w:style>
  <w:style w:type="character" w:customStyle="1" w:styleId="69">
    <w:name w:val="p161"/>
    <w:basedOn w:val="45"/>
    <w:qFormat/>
    <w:uiPriority w:val="0"/>
    <w:rPr>
      <w:sz w:val="24"/>
      <w:szCs w:val="24"/>
    </w:rPr>
  </w:style>
  <w:style w:type="character" w:customStyle="1" w:styleId="70">
    <w:name w:val="注释 Char"/>
    <w:basedOn w:val="45"/>
    <w:link w:val="71"/>
    <w:qFormat/>
    <w:uiPriority w:val="0"/>
    <w:rPr>
      <w:rFonts w:ascii="宋体" w:eastAsia="宋体"/>
      <w:snapToGrid w:val="0"/>
      <w:spacing w:val="4"/>
      <w:sz w:val="21"/>
      <w:szCs w:val="24"/>
      <w:lang w:val="en-US" w:eastAsia="zh-CN"/>
    </w:rPr>
  </w:style>
  <w:style w:type="paragraph" w:customStyle="1" w:styleId="71">
    <w:name w:val="注释"/>
    <w:basedOn w:val="1"/>
    <w:link w:val="70"/>
    <w:qFormat/>
    <w:uiPriority w:val="0"/>
    <w:pPr>
      <w:adjustRightInd w:val="0"/>
      <w:snapToGrid w:val="0"/>
      <w:spacing w:line="360" w:lineRule="auto"/>
      <w:textAlignment w:val="baseline"/>
    </w:pPr>
    <w:rPr>
      <w:rFonts w:ascii="宋体"/>
      <w:snapToGrid w:val="0"/>
      <w:spacing w:val="4"/>
      <w:sz w:val="21"/>
      <w:szCs w:val="24"/>
    </w:rPr>
  </w:style>
  <w:style w:type="character" w:customStyle="1" w:styleId="72">
    <w:name w:val="apple-style-span"/>
    <w:basedOn w:val="45"/>
    <w:qFormat/>
    <w:uiPriority w:val="0"/>
  </w:style>
  <w:style w:type="character" w:customStyle="1" w:styleId="73">
    <w:name w:val="apple-converted-space"/>
    <w:basedOn w:val="45"/>
    <w:qFormat/>
    <w:uiPriority w:val="0"/>
  </w:style>
  <w:style w:type="character" w:customStyle="1" w:styleId="74">
    <w:name w:val="正文文本缩进 2 Char"/>
    <w:link w:val="75"/>
    <w:qFormat/>
    <w:uiPriority w:val="0"/>
    <w:rPr>
      <w:rFonts w:eastAsia="宋体"/>
      <w:kern w:val="2"/>
      <w:sz w:val="21"/>
      <w:lang w:val="en-US" w:eastAsia="zh-CN"/>
    </w:rPr>
  </w:style>
  <w:style w:type="paragraph" w:customStyle="1" w:styleId="75">
    <w:name w:val="正文文本缩进 21"/>
    <w:basedOn w:val="1"/>
    <w:link w:val="74"/>
    <w:qFormat/>
    <w:uiPriority w:val="0"/>
    <w:pPr>
      <w:spacing w:after="120" w:line="480" w:lineRule="auto"/>
      <w:ind w:left="420" w:leftChars="200"/>
    </w:pPr>
    <w:rPr>
      <w:sz w:val="21"/>
    </w:rPr>
  </w:style>
  <w:style w:type="character" w:customStyle="1" w:styleId="76">
    <w:name w:val="表格 32 Char Char"/>
    <w:qFormat/>
    <w:uiPriority w:val="0"/>
    <w:rPr>
      <w:rFonts w:ascii="宋体" w:hAnsi="Impact" w:eastAsia="宋体"/>
      <w:kern w:val="24"/>
      <w:sz w:val="24"/>
      <w:lang w:val="en-US" w:eastAsia="zh-CN"/>
    </w:rPr>
  </w:style>
  <w:style w:type="character" w:customStyle="1" w:styleId="77">
    <w:name w:val="HTML 预设格式 Char"/>
    <w:link w:val="78"/>
    <w:qFormat/>
    <w:uiPriority w:val="0"/>
    <w:rPr>
      <w:rFonts w:ascii="Courier New" w:hAnsi="Courier New" w:eastAsia="宋体" w:cs="Courier New"/>
      <w:kern w:val="2"/>
      <w:lang w:val="en-US" w:eastAsia="zh-CN"/>
    </w:rPr>
  </w:style>
  <w:style w:type="paragraph" w:customStyle="1" w:styleId="78">
    <w:name w:val="HTML 预设格式1"/>
    <w:basedOn w:val="1"/>
    <w:link w:val="77"/>
    <w:qFormat/>
    <w:uiPriority w:val="0"/>
    <w:rPr>
      <w:rFonts w:ascii="Courier New" w:hAnsi="Courier New"/>
      <w:sz w:val="20"/>
    </w:rPr>
  </w:style>
  <w:style w:type="character" w:customStyle="1" w:styleId="79">
    <w:name w:val="表格 Char"/>
    <w:link w:val="80"/>
    <w:qFormat/>
    <w:uiPriority w:val="0"/>
    <w:rPr>
      <w:sz w:val="24"/>
      <w:lang w:val="en-US" w:eastAsia="zh-CN" w:bidi="ar-SA"/>
    </w:rPr>
  </w:style>
  <w:style w:type="paragraph" w:customStyle="1" w:styleId="80">
    <w:name w:val="表格"/>
    <w:next w:val="1"/>
    <w:link w:val="79"/>
    <w:qFormat/>
    <w:uiPriority w:val="0"/>
    <w:pPr>
      <w:keepNext/>
      <w:widowControl w:val="0"/>
      <w:autoSpaceDE w:val="0"/>
      <w:autoSpaceDN w:val="0"/>
      <w:adjustRightInd w:val="0"/>
      <w:spacing w:after="200" w:line="276" w:lineRule="auto"/>
      <w:jc w:val="center"/>
      <w:textAlignment w:val="baseline"/>
    </w:pPr>
    <w:rPr>
      <w:rFonts w:ascii="Times New Roman" w:hAnsi="Times New Roman" w:eastAsia="宋体" w:cs="Times New Roman"/>
      <w:sz w:val="24"/>
      <w:szCs w:val="22"/>
      <w:lang w:val="en-US" w:eastAsia="zh-CN" w:bidi="ar-SA"/>
    </w:rPr>
  </w:style>
  <w:style w:type="character" w:customStyle="1" w:styleId="81">
    <w:name w:val="纯文本 Char"/>
    <w:basedOn w:val="45"/>
    <w:link w:val="3"/>
    <w:qFormat/>
    <w:uiPriority w:val="0"/>
    <w:rPr>
      <w:rFonts w:ascii="宋体" w:hAnsi="Courier New"/>
      <w:kern w:val="2"/>
      <w:sz w:val="15"/>
    </w:rPr>
  </w:style>
  <w:style w:type="character" w:customStyle="1" w:styleId="82">
    <w:name w:val="表格 Char Char"/>
    <w:basedOn w:val="45"/>
    <w:qFormat/>
    <w:uiPriority w:val="0"/>
    <w:rPr>
      <w:rFonts w:eastAsia="宋体"/>
      <w:kern w:val="2"/>
      <w:sz w:val="24"/>
      <w:szCs w:val="24"/>
      <w:lang w:val="en-US" w:eastAsia="zh-CN"/>
    </w:rPr>
  </w:style>
  <w:style w:type="character" w:customStyle="1" w:styleId="83">
    <w:name w:val="表头 Char"/>
    <w:basedOn w:val="45"/>
    <w:link w:val="84"/>
    <w:qFormat/>
    <w:uiPriority w:val="0"/>
    <w:rPr>
      <w:rFonts w:eastAsia="仿宋_GB2312"/>
      <w:b/>
      <w:sz w:val="24"/>
      <w:lang w:val="en-US" w:eastAsia="zh-CN" w:bidi="ar-SA"/>
    </w:rPr>
  </w:style>
  <w:style w:type="paragraph" w:customStyle="1" w:styleId="84">
    <w:name w:val="表头"/>
    <w:basedOn w:val="23"/>
    <w:next w:val="80"/>
    <w:link w:val="83"/>
    <w:qFormat/>
    <w:uiPriority w:val="0"/>
    <w:pPr>
      <w:spacing w:before="120" w:after="120" w:line="276" w:lineRule="auto"/>
      <w:jc w:val="center"/>
    </w:pPr>
    <w:rPr>
      <w:rFonts w:ascii="Times New Roman" w:hAnsi="Times New Roman" w:eastAsia="仿宋_GB2312" w:cs="Times New Roman"/>
      <w:b/>
      <w:sz w:val="24"/>
      <w:szCs w:val="22"/>
      <w:lang w:val="en-US" w:eastAsia="zh-CN" w:bidi="ar-SA"/>
    </w:rPr>
  </w:style>
  <w:style w:type="character" w:customStyle="1" w:styleId="85">
    <w:name w:val="页脚 Char"/>
    <w:basedOn w:val="45"/>
    <w:link w:val="35"/>
    <w:qFormat/>
    <w:uiPriority w:val="99"/>
    <w:rPr>
      <w:kern w:val="2"/>
      <w:sz w:val="18"/>
    </w:rPr>
  </w:style>
  <w:style w:type="character" w:customStyle="1" w:styleId="86">
    <w:name w:val="缩进 Char"/>
    <w:basedOn w:val="45"/>
    <w:link w:val="87"/>
    <w:qFormat/>
    <w:uiPriority w:val="0"/>
    <w:rPr>
      <w:rFonts w:ascii="宋体" w:hAnsi="宋体"/>
      <w:kern w:val="2"/>
      <w:sz w:val="24"/>
    </w:rPr>
  </w:style>
  <w:style w:type="paragraph" w:customStyle="1" w:styleId="87">
    <w:name w:val="缩进"/>
    <w:basedOn w:val="1"/>
    <w:link w:val="86"/>
    <w:qFormat/>
    <w:uiPriority w:val="0"/>
    <w:pPr>
      <w:tabs>
        <w:tab w:val="left" w:pos="-52"/>
      </w:tabs>
      <w:spacing w:line="400" w:lineRule="atLeast"/>
      <w:ind w:right="-4"/>
    </w:pPr>
    <w:rPr>
      <w:rFonts w:ascii="宋体" w:hAnsi="宋体"/>
    </w:rPr>
  </w:style>
  <w:style w:type="character" w:customStyle="1" w:styleId="88">
    <w:name w:val="p141"/>
    <w:basedOn w:val="45"/>
    <w:qFormat/>
    <w:uiPriority w:val="0"/>
    <w:rPr>
      <w:color w:val="333333"/>
      <w:spacing w:val="330"/>
      <w:sz w:val="21"/>
      <w:szCs w:val="21"/>
    </w:rPr>
  </w:style>
  <w:style w:type="character" w:customStyle="1" w:styleId="89">
    <w:name w:val="标题 1 Char"/>
    <w:basedOn w:val="45"/>
    <w:link w:val="14"/>
    <w:qFormat/>
    <w:uiPriority w:val="0"/>
    <w:rPr>
      <w:rFonts w:asciiTheme="majorAscii" w:hAnsiTheme="majorAscii" w:eastAsiaTheme="majorEastAsia" w:cstheme="majorBidi"/>
      <w:b/>
      <w:bCs/>
      <w:color w:val="366091" w:themeColor="accent1" w:themeShade="BF"/>
      <w:sz w:val="28"/>
      <w:szCs w:val="28"/>
    </w:rPr>
  </w:style>
  <w:style w:type="paragraph" w:customStyle="1" w:styleId="90">
    <w:name w:val="表格 1"/>
    <w:basedOn w:val="1"/>
    <w:qFormat/>
    <w:uiPriority w:val="0"/>
    <w:pPr>
      <w:autoSpaceDE w:val="0"/>
      <w:autoSpaceDN w:val="0"/>
      <w:adjustRightInd w:val="0"/>
      <w:jc w:val="center"/>
    </w:pPr>
    <w:rPr>
      <w:rFonts w:eastAsia="楷体_GB2312"/>
      <w:sz w:val="28"/>
    </w:rPr>
  </w:style>
  <w:style w:type="paragraph" w:customStyle="1" w:styleId="91">
    <w:name w:val="1"/>
    <w:basedOn w:val="1"/>
    <w:next w:val="92"/>
    <w:qFormat/>
    <w:uiPriority w:val="0"/>
    <w:pPr>
      <w:spacing w:line="360" w:lineRule="auto"/>
      <w:ind w:left="603" w:leftChars="287" w:right="170" w:firstLine="418" w:firstLineChars="174"/>
    </w:pPr>
    <w:rPr>
      <w:rFonts w:eastAsia="仿宋_GB2312"/>
    </w:rPr>
  </w:style>
  <w:style w:type="paragraph" w:customStyle="1" w:styleId="92">
    <w:name w:val="文本块1"/>
    <w:basedOn w:val="1"/>
    <w:qFormat/>
    <w:uiPriority w:val="0"/>
    <w:pPr>
      <w:spacing w:after="120"/>
      <w:ind w:left="1440" w:leftChars="700" w:right="700" w:rightChars="700"/>
    </w:pPr>
  </w:style>
  <w:style w:type="paragraph" w:customStyle="1" w:styleId="93">
    <w:name w:val="Char Char Char Char Char Char Char Char Char Char Char Char"/>
    <w:basedOn w:val="1"/>
    <w:qFormat/>
    <w:uiPriority w:val="0"/>
    <w:pPr>
      <w:spacing w:line="360" w:lineRule="auto"/>
      <w:ind w:firstLine="200" w:firstLineChars="200"/>
    </w:pPr>
    <w:rPr>
      <w:rFonts w:ascii="宋体" w:hAnsi="宋体"/>
    </w:rPr>
  </w:style>
  <w:style w:type="paragraph" w:customStyle="1" w:styleId="94">
    <w:name w:val="xl30"/>
    <w:basedOn w:val="1"/>
    <w:qFormat/>
    <w:uiPriority w:val="0"/>
    <w:pPr>
      <w:spacing w:before="100" w:beforeAutospacing="1" w:after="100" w:afterAutospacing="1"/>
      <w:jc w:val="center"/>
    </w:pPr>
    <w:rPr>
      <w:rFonts w:eastAsia="Arial Unicode MS"/>
    </w:rPr>
  </w:style>
  <w:style w:type="paragraph" w:customStyle="1" w:styleId="95">
    <w:name w:val="正文1"/>
    <w:basedOn w:val="1"/>
    <w:qFormat/>
    <w:uiPriority w:val="0"/>
    <w:pPr>
      <w:adjustRightInd w:val="0"/>
    </w:pPr>
    <w:rPr>
      <w:rFonts w:eastAsia="楷体_GB2312"/>
    </w:rPr>
  </w:style>
  <w:style w:type="paragraph" w:customStyle="1" w:styleId="96">
    <w:name w:val="表1表2"/>
    <w:basedOn w:val="1"/>
    <w:qFormat/>
    <w:uiPriority w:val="0"/>
    <w:pPr>
      <w:autoSpaceDE w:val="0"/>
      <w:autoSpaceDN w:val="0"/>
      <w:adjustRightInd w:val="0"/>
      <w:jc w:val="center"/>
      <w:textAlignment w:val="center"/>
    </w:pPr>
    <w:rPr>
      <w:rFonts w:eastAsia="仿宋体"/>
    </w:rPr>
  </w:style>
  <w:style w:type="paragraph" w:customStyle="1" w:styleId="97">
    <w:name w:val="Char Char Char Char Char Char Char Char Char Char Char Char1 Char"/>
    <w:basedOn w:val="1"/>
    <w:qFormat/>
    <w:uiPriority w:val="0"/>
    <w:pPr>
      <w:spacing w:line="360" w:lineRule="auto"/>
      <w:ind w:firstLine="200" w:firstLineChars="200"/>
    </w:pPr>
  </w:style>
  <w:style w:type="paragraph" w:customStyle="1" w:styleId="98">
    <w:name w:val="Char Char Char Char"/>
    <w:basedOn w:val="1"/>
    <w:qFormat/>
    <w:uiPriority w:val="0"/>
    <w:pPr>
      <w:spacing w:line="360" w:lineRule="auto"/>
      <w:ind w:firstLine="200" w:firstLineChars="200"/>
    </w:pPr>
    <w:rPr>
      <w:rFonts w:ascii="宋体" w:hAnsi="宋体"/>
    </w:rPr>
  </w:style>
  <w:style w:type="paragraph" w:customStyle="1" w:styleId="99">
    <w:name w:val="正文2"/>
    <w:basedOn w:val="29"/>
    <w:qFormat/>
    <w:uiPriority w:val="0"/>
    <w:pPr>
      <w:spacing w:after="0" w:line="360" w:lineRule="auto"/>
      <w:ind w:firstLine="200" w:firstLineChars="200"/>
    </w:pPr>
  </w:style>
  <w:style w:type="paragraph" w:customStyle="1" w:styleId="100">
    <w:name w:val="Char"/>
    <w:basedOn w:val="1"/>
    <w:qFormat/>
    <w:uiPriority w:val="0"/>
    <w:pPr>
      <w:spacing w:line="360" w:lineRule="auto"/>
      <w:ind w:firstLine="200" w:firstLineChars="200"/>
    </w:pPr>
    <w:rPr>
      <w:rFonts w:ascii="宋体" w:hAnsi="宋体"/>
    </w:rPr>
  </w:style>
  <w:style w:type="paragraph" w:customStyle="1" w:styleId="101">
    <w:name w:val="表格正文"/>
    <w:basedOn w:val="1"/>
    <w:qFormat/>
    <w:uiPriority w:val="0"/>
    <w:pPr>
      <w:autoSpaceDE w:val="0"/>
      <w:autoSpaceDN w:val="0"/>
      <w:adjustRightInd w:val="0"/>
      <w:snapToGrid w:val="0"/>
      <w:spacing w:line="360" w:lineRule="auto"/>
      <w:ind w:right="6"/>
      <w:jc w:val="center"/>
    </w:pPr>
    <w:rPr>
      <w:rFonts w:ascii="宋体" w:hAnsi="宋体"/>
      <w:color w:val="000000"/>
      <w:sz w:val="21"/>
    </w:rPr>
  </w:style>
  <w:style w:type="paragraph" w:customStyle="1" w:styleId="102">
    <w:name w:val="17"/>
    <w:basedOn w:val="1"/>
    <w:qFormat/>
    <w:uiPriority w:val="0"/>
    <w:pPr>
      <w:snapToGrid w:val="0"/>
      <w:spacing w:before="100" w:beforeAutospacing="1" w:after="100" w:afterAutospacing="1"/>
    </w:pPr>
  </w:style>
  <w:style w:type="paragraph" w:customStyle="1" w:styleId="103">
    <w:name w:val="0"/>
    <w:basedOn w:val="1"/>
    <w:qFormat/>
    <w:uiPriority w:val="0"/>
    <w:pPr>
      <w:snapToGrid w:val="0"/>
    </w:pPr>
  </w:style>
  <w:style w:type="paragraph" w:customStyle="1" w:styleId="104">
    <w:name w:val="表格2"/>
    <w:basedOn w:val="58"/>
    <w:next w:val="1"/>
    <w:qFormat/>
    <w:uiPriority w:val="0"/>
    <w:pPr>
      <w:jc w:val="both"/>
    </w:pPr>
    <w:rPr>
      <w:rFonts w:eastAsia="仿宋_GB2312"/>
      <w:position w:val="-28"/>
      <w:sz w:val="23"/>
    </w:rPr>
  </w:style>
  <w:style w:type="paragraph" w:customStyle="1" w:styleId="105">
    <w:name w:val="body"/>
    <w:basedOn w:val="1"/>
    <w:qFormat/>
    <w:uiPriority w:val="0"/>
    <w:pPr>
      <w:spacing w:line="360" w:lineRule="auto"/>
      <w:ind w:firstLine="480" w:firstLineChars="200"/>
    </w:pPr>
    <w:rPr>
      <w:rFonts w:ascii="宋体" w:hAnsi="宋体"/>
    </w:rPr>
  </w:style>
  <w:style w:type="paragraph" w:customStyle="1" w:styleId="106">
    <w:name w:val="Char Char Char Char Char Char Char Char Char Char"/>
    <w:basedOn w:val="1"/>
    <w:qFormat/>
    <w:uiPriority w:val="0"/>
    <w:pPr>
      <w:spacing w:line="360" w:lineRule="auto"/>
      <w:ind w:firstLine="200" w:firstLineChars="200"/>
    </w:pPr>
    <w:rPr>
      <w:rFonts w:ascii="宋体" w:hAnsi="宋体"/>
    </w:rPr>
  </w:style>
  <w:style w:type="paragraph" w:customStyle="1" w:styleId="107">
    <w:name w:val="15"/>
    <w:basedOn w:val="1"/>
    <w:qFormat/>
    <w:uiPriority w:val="0"/>
    <w:pPr>
      <w:snapToGrid w:val="0"/>
      <w:spacing w:before="100" w:beforeAutospacing="1" w:after="100" w:afterAutospacing="1" w:line="360" w:lineRule="auto"/>
      <w:jc w:val="center"/>
    </w:pPr>
    <w:rPr>
      <w:szCs w:val="24"/>
    </w:rPr>
  </w:style>
  <w:style w:type="paragraph" w:customStyle="1" w:styleId="108">
    <w:name w:val="16"/>
    <w:basedOn w:val="1"/>
    <w:qFormat/>
    <w:uiPriority w:val="0"/>
    <w:pPr>
      <w:snapToGrid w:val="0"/>
      <w:spacing w:before="120" w:after="120"/>
      <w:jc w:val="center"/>
    </w:pPr>
    <w:rPr>
      <w:b/>
      <w:bCs/>
      <w:szCs w:val="24"/>
    </w:rPr>
  </w:style>
  <w:style w:type="paragraph" w:customStyle="1" w:styleId="109">
    <w:name w:val="默认段落字体 Para Char Char Char Char"/>
    <w:basedOn w:val="1"/>
    <w:qFormat/>
    <w:uiPriority w:val="0"/>
    <w:rPr>
      <w:sz w:val="21"/>
      <w:szCs w:val="24"/>
    </w:rPr>
  </w:style>
  <w:style w:type="paragraph" w:customStyle="1" w:styleId="110">
    <w:name w:val="表格 23"/>
    <w:basedOn w:val="1"/>
    <w:qFormat/>
    <w:uiPriority w:val="0"/>
    <w:pPr>
      <w:autoSpaceDE w:val="0"/>
      <w:autoSpaceDN w:val="0"/>
      <w:adjustRightInd w:val="0"/>
      <w:jc w:val="center"/>
      <w:textAlignment w:val="baseline"/>
    </w:pPr>
    <w:rPr>
      <w:rFonts w:eastAsia="仿宋体"/>
      <w:sz w:val="21"/>
      <w:szCs w:val="21"/>
    </w:rPr>
  </w:style>
  <w:style w:type="paragraph" w:customStyle="1" w:styleId="111">
    <w:name w:val="默认段落字体 Para Char Char Char Char Char Char Char Char Char Char"/>
    <w:basedOn w:val="1"/>
    <w:qFormat/>
    <w:uiPriority w:val="0"/>
    <w:pPr>
      <w:adjustRightInd w:val="0"/>
      <w:spacing w:line="360" w:lineRule="auto"/>
    </w:pPr>
  </w:style>
  <w:style w:type="paragraph" w:customStyle="1" w:styleId="112">
    <w:name w:val="Char Char Char Char Char Char1 Char Char Char1 Char"/>
    <w:basedOn w:val="1"/>
    <w:qFormat/>
    <w:uiPriority w:val="0"/>
    <w:pPr>
      <w:spacing w:after="160" w:line="240" w:lineRule="exact"/>
    </w:pPr>
    <w:rPr>
      <w:rFonts w:ascii="Verdana" w:hAnsi="Verdana"/>
      <w:sz w:val="20"/>
      <w:lang w:eastAsia="en-US"/>
    </w:rPr>
  </w:style>
  <w:style w:type="paragraph" w:customStyle="1" w:styleId="113">
    <w:name w:val="Char Char Char Char Char Char Char Char Char Char Char Char Char Char Char Char Char Char"/>
    <w:basedOn w:val="1"/>
    <w:qFormat/>
    <w:uiPriority w:val="0"/>
    <w:rPr>
      <w:szCs w:val="24"/>
    </w:rPr>
  </w:style>
  <w:style w:type="paragraph" w:customStyle="1" w:styleId="114">
    <w:name w:val="Char1"/>
    <w:basedOn w:val="1"/>
    <w:qFormat/>
    <w:uiPriority w:val="0"/>
    <w:rPr>
      <w:sz w:val="21"/>
      <w:szCs w:val="21"/>
    </w:rPr>
  </w:style>
  <w:style w:type="paragraph" w:customStyle="1" w:styleId="115">
    <w:name w:val="Char Char Char Char Char Char"/>
    <w:basedOn w:val="1"/>
    <w:qFormat/>
    <w:uiPriority w:val="0"/>
    <w:rPr>
      <w:szCs w:val="24"/>
    </w:rPr>
  </w:style>
  <w:style w:type="paragraph" w:customStyle="1" w:styleId="116">
    <w:name w:val="表后正文"/>
    <w:basedOn w:val="75"/>
    <w:qFormat/>
    <w:uiPriority w:val="0"/>
    <w:pPr>
      <w:adjustRightInd w:val="0"/>
      <w:spacing w:beforeLines="50" w:after="0" w:line="480" w:lineRule="exact"/>
      <w:ind w:left="0" w:leftChars="0" w:firstLine="560" w:firstLineChars="200"/>
      <w:textAlignment w:val="baseline"/>
    </w:pPr>
    <w:rPr>
      <w:rFonts w:eastAsia="楷体_GB2312"/>
      <w:color w:val="000000"/>
      <w:sz w:val="28"/>
    </w:rPr>
  </w:style>
  <w:style w:type="paragraph" w:customStyle="1" w:styleId="117">
    <w:name w:val="样式1"/>
    <w:basedOn w:val="1"/>
    <w:qFormat/>
    <w:uiPriority w:val="0"/>
    <w:pPr>
      <w:adjustRightInd w:val="0"/>
      <w:spacing w:line="480" w:lineRule="exact"/>
      <w:ind w:firstLine="200" w:firstLineChars="200"/>
      <w:textAlignment w:val="baseline"/>
    </w:pPr>
    <w:rPr>
      <w:rFonts w:ascii="宋体" w:hAnsi="宋体" w:eastAsia="楷体_GB2312"/>
      <w:sz w:val="28"/>
    </w:rPr>
  </w:style>
  <w:style w:type="paragraph" w:customStyle="1" w:styleId="118">
    <w:name w:val="Char Char Char Char Char Char Char Char Char Char Char Char Char Char Char Char"/>
    <w:basedOn w:val="1"/>
    <w:qFormat/>
    <w:uiPriority w:val="0"/>
    <w:pPr>
      <w:spacing w:line="360" w:lineRule="auto"/>
      <w:ind w:firstLine="200" w:firstLineChars="200"/>
    </w:pPr>
    <w:rPr>
      <w:rFonts w:ascii="宋体" w:hAnsi="宋体" w:cs="宋体"/>
      <w:szCs w:val="24"/>
    </w:rPr>
  </w:style>
  <w:style w:type="paragraph" w:customStyle="1" w:styleId="119">
    <w:name w:val="居中正文"/>
    <w:basedOn w:val="120"/>
    <w:qFormat/>
    <w:uiPriority w:val="0"/>
    <w:pPr>
      <w:adjustRightInd w:val="0"/>
      <w:spacing w:before="120" w:after="0" w:line="360" w:lineRule="auto"/>
      <w:ind w:firstLine="0" w:firstLineChars="0"/>
      <w:jc w:val="center"/>
      <w:textAlignment w:val="baseline"/>
    </w:pPr>
    <w:rPr>
      <w:rFonts w:ascii="宋体"/>
      <w:kern w:val="28"/>
    </w:rPr>
  </w:style>
  <w:style w:type="paragraph" w:customStyle="1" w:styleId="120">
    <w:name w:val="正文首行缩进1"/>
    <w:basedOn w:val="29"/>
    <w:qFormat/>
    <w:uiPriority w:val="0"/>
    <w:pPr>
      <w:ind w:firstLine="420" w:firstLineChars="100"/>
    </w:pPr>
  </w:style>
  <w:style w:type="paragraph" w:customStyle="1" w:styleId="121">
    <w:name w:val="Char Char1 Char Char Char Char Char Char Char Char Char Char Char Char Char Char Char Char Char Char Char Char1 Char"/>
    <w:basedOn w:val="1"/>
    <w:qFormat/>
    <w:uiPriority w:val="0"/>
    <w:pPr>
      <w:spacing w:line="360" w:lineRule="auto"/>
      <w:ind w:firstLine="200" w:firstLineChars="200"/>
    </w:pPr>
    <w:rPr>
      <w:sz w:val="21"/>
    </w:rPr>
  </w:style>
  <w:style w:type="paragraph" w:customStyle="1" w:styleId="122">
    <w:name w:val="注"/>
    <w:basedOn w:val="1"/>
    <w:qFormat/>
    <w:uiPriority w:val="0"/>
    <w:pPr>
      <w:adjustRightInd w:val="0"/>
      <w:spacing w:beforeLines="50" w:afterLines="100" w:line="240" w:lineRule="exact"/>
      <w:textAlignment w:val="baseline"/>
    </w:pPr>
    <w:rPr>
      <w:sz w:val="21"/>
    </w:rPr>
  </w:style>
  <w:style w:type="paragraph" w:customStyle="1" w:styleId="123">
    <w:name w:val="Char Char Char Char Char Char Char Char Char Char Char Char Char"/>
    <w:basedOn w:val="1"/>
    <w:qFormat/>
    <w:uiPriority w:val="0"/>
    <w:rPr>
      <w:sz w:val="21"/>
      <w:szCs w:val="21"/>
    </w:rPr>
  </w:style>
  <w:style w:type="paragraph" w:customStyle="1" w:styleId="124">
    <w:name w:val="表格式"/>
    <w:basedOn w:val="125"/>
    <w:qFormat/>
    <w:uiPriority w:val="0"/>
    <w:pPr>
      <w:snapToGrid/>
      <w:spacing w:beforeLines="50" w:afterLines="50" w:line="240" w:lineRule="exact"/>
      <w:jc w:val="center"/>
    </w:pPr>
    <w:rPr>
      <w:sz w:val="21"/>
    </w:rPr>
  </w:style>
  <w:style w:type="paragraph" w:customStyle="1" w:styleId="125">
    <w:name w:val="列表1"/>
    <w:basedOn w:val="1"/>
    <w:qFormat/>
    <w:uiPriority w:val="0"/>
    <w:pPr>
      <w:snapToGrid w:val="0"/>
    </w:pPr>
    <w:rPr>
      <w:sz w:val="18"/>
    </w:rPr>
  </w:style>
  <w:style w:type="paragraph" w:customStyle="1" w:styleId="126">
    <w:name w:val="表格 21"/>
    <w:qFormat/>
    <w:uiPriority w:val="0"/>
    <w:pPr>
      <w:widowControl w:val="0"/>
      <w:autoSpaceDE w:val="0"/>
      <w:autoSpaceDN w:val="0"/>
      <w:adjustRightInd w:val="0"/>
      <w:spacing w:after="200" w:line="276" w:lineRule="auto"/>
      <w:jc w:val="center"/>
      <w:textAlignment w:val="baseline"/>
    </w:pPr>
    <w:rPr>
      <w:rFonts w:ascii="Times New Roman" w:hAnsi="Times New Roman" w:eastAsia="仿宋体" w:cs="Times New Roman"/>
      <w:sz w:val="28"/>
      <w:szCs w:val="22"/>
      <w:lang w:val="en-US" w:eastAsia="zh-CN" w:bidi="ar-SA"/>
    </w:rPr>
  </w:style>
  <w:style w:type="paragraph" w:customStyle="1" w:styleId="127">
    <w:name w:val="封面1"/>
    <w:basedOn w:val="14"/>
    <w:qFormat/>
    <w:uiPriority w:val="0"/>
    <w:pPr>
      <w:keepNext w:val="0"/>
      <w:keepLines w:val="0"/>
      <w:spacing w:line="240" w:lineRule="auto"/>
      <w:outlineLvl w:val="9"/>
    </w:pPr>
  </w:style>
  <w:style w:type="paragraph" w:customStyle="1" w:styleId="128">
    <w:name w:val="Char Char Char"/>
    <w:basedOn w:val="1"/>
    <w:qFormat/>
    <w:uiPriority w:val="0"/>
    <w:rPr>
      <w:sz w:val="21"/>
      <w:szCs w:val="24"/>
    </w:rPr>
  </w:style>
  <w:style w:type="paragraph" w:customStyle="1" w:styleId="129">
    <w:name w:val="中气正文"/>
    <w:basedOn w:val="1"/>
    <w:qFormat/>
    <w:uiPriority w:val="0"/>
    <w:pPr>
      <w:spacing w:line="360" w:lineRule="auto"/>
      <w:ind w:firstLine="480" w:firstLineChars="200"/>
    </w:pPr>
  </w:style>
  <w:style w:type="paragraph" w:customStyle="1" w:styleId="130">
    <w:name w:val="Char Char22 Char Char Char Char"/>
    <w:basedOn w:val="1"/>
    <w:qFormat/>
    <w:uiPriority w:val="0"/>
    <w:rPr>
      <w:rFonts w:ascii="Tahoma" w:hAnsi="Tahoma"/>
    </w:rPr>
  </w:style>
  <w:style w:type="paragraph" w:customStyle="1" w:styleId="131">
    <w:name w:val="Char Char Char Char Char Char Char Char Char Char Char Char1 Char Char Char Char Char Char Char Char Char Char"/>
    <w:basedOn w:val="1"/>
    <w:qFormat/>
    <w:uiPriority w:val="0"/>
    <w:pPr>
      <w:spacing w:line="360" w:lineRule="auto"/>
      <w:ind w:firstLine="200" w:firstLineChars="200"/>
    </w:pPr>
    <w:rPr>
      <w:rFonts w:ascii="宋体" w:hAnsi="宋体" w:cs="宋体"/>
      <w:szCs w:val="24"/>
    </w:rPr>
  </w:style>
  <w:style w:type="paragraph" w:customStyle="1" w:styleId="132">
    <w:name w:val="Char Char2 Char"/>
    <w:basedOn w:val="1"/>
    <w:qFormat/>
    <w:uiPriority w:val="0"/>
    <w:rPr>
      <w:sz w:val="21"/>
      <w:szCs w:val="21"/>
    </w:rPr>
  </w:style>
  <w:style w:type="paragraph" w:customStyle="1" w:styleId="133">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1"/>
      <w:szCs w:val="21"/>
    </w:rPr>
  </w:style>
  <w:style w:type="paragraph" w:customStyle="1" w:styleId="134">
    <w:name w:val="Char Char Char2 Char"/>
    <w:basedOn w:val="1"/>
    <w:qFormat/>
    <w:uiPriority w:val="0"/>
    <w:rPr>
      <w:sz w:val="21"/>
      <w:szCs w:val="24"/>
    </w:rPr>
  </w:style>
  <w:style w:type="paragraph" w:customStyle="1" w:styleId="135">
    <w:name w:val="10"/>
    <w:basedOn w:val="1"/>
    <w:qFormat/>
    <w:uiPriority w:val="0"/>
    <w:rPr>
      <w:sz w:val="21"/>
    </w:rPr>
  </w:style>
  <w:style w:type="paragraph" w:customStyle="1" w:styleId="136">
    <w:name w:val="xl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sz w:val="21"/>
      <w:szCs w:val="21"/>
    </w:rPr>
  </w:style>
  <w:style w:type="paragraph" w:customStyle="1" w:styleId="137">
    <w:name w:val="正文报告"/>
    <w:basedOn w:val="1"/>
    <w:qFormat/>
    <w:uiPriority w:val="0"/>
    <w:pPr>
      <w:topLinePunct/>
      <w:snapToGrid w:val="0"/>
      <w:spacing w:line="480" w:lineRule="exact"/>
      <w:ind w:left="210" w:firstLine="567"/>
    </w:pPr>
    <w:rPr>
      <w:rFonts w:ascii="宋体" w:hAnsi="宋体" w:cs="宋体"/>
      <w:i/>
      <w:color w:val="000000"/>
      <w:sz w:val="28"/>
      <w:szCs w:val="28"/>
    </w:rPr>
  </w:style>
  <w:style w:type="paragraph" w:customStyle="1" w:styleId="138">
    <w:name w:val="列出段落1"/>
    <w:basedOn w:val="1"/>
    <w:qFormat/>
    <w:uiPriority w:val="0"/>
    <w:pPr>
      <w:ind w:firstLine="420" w:firstLineChars="200"/>
    </w:pPr>
    <w:rPr>
      <w:rFonts w:ascii="Calibri" w:hAnsi="Calibri"/>
      <w:sz w:val="21"/>
    </w:rPr>
  </w:style>
  <w:style w:type="paragraph" w:customStyle="1" w:styleId="139">
    <w:name w:val="p0"/>
    <w:basedOn w:val="1"/>
    <w:qFormat/>
    <w:uiPriority w:val="0"/>
    <w:rPr>
      <w:sz w:val="21"/>
      <w:szCs w:val="21"/>
    </w:rPr>
  </w:style>
  <w:style w:type="paragraph" w:customStyle="1" w:styleId="140">
    <w:name w:val="p19"/>
    <w:basedOn w:val="1"/>
    <w:qFormat/>
    <w:uiPriority w:val="0"/>
    <w:rPr>
      <w:sz w:val="21"/>
      <w:szCs w:val="21"/>
    </w:rPr>
  </w:style>
  <w:style w:type="paragraph" w:customStyle="1" w:styleId="141">
    <w:name w:val="TOC 标题1"/>
    <w:basedOn w:val="14"/>
    <w:next w:val="1"/>
    <w:qFormat/>
    <w:uiPriority w:val="0"/>
    <w:pPr>
      <w:outlineLvl w:val="9"/>
    </w:pPr>
    <w:rPr>
      <w:rFonts w:ascii="Cambria" w:hAnsi="Cambria"/>
      <w:bCs w:val="0"/>
      <w:color w:val="365F91"/>
    </w:rPr>
  </w:style>
  <w:style w:type="paragraph" w:customStyle="1" w:styleId="142">
    <w:name w:val="报告表小段"/>
    <w:basedOn w:val="1"/>
    <w:qFormat/>
    <w:uiPriority w:val="0"/>
    <w:pPr>
      <w:spacing w:before="120" w:line="360" w:lineRule="auto"/>
      <w:ind w:firstLine="470" w:firstLineChars="196"/>
    </w:pPr>
    <w:rPr>
      <w:rFonts w:ascii="宋体" w:hAnsi="宋体"/>
      <w:bCs/>
      <w:szCs w:val="24"/>
    </w:rPr>
  </w:style>
  <w:style w:type="paragraph" w:customStyle="1" w:styleId="143">
    <w:name w:val="正文文本 (3)1"/>
    <w:basedOn w:val="1"/>
    <w:qFormat/>
    <w:uiPriority w:val="0"/>
    <w:pPr>
      <w:shd w:val="clear" w:color="auto" w:fill="FFFFFF"/>
      <w:spacing w:line="394" w:lineRule="exact"/>
      <w:ind w:hanging="140"/>
      <w:jc w:val="distribute"/>
    </w:pPr>
    <w:rPr>
      <w:rFonts w:ascii="MingLiU" w:eastAsia="MingLiU"/>
      <w:shd w:val="clear" w:color="auto" w:fill="FFFFFF"/>
    </w:rPr>
  </w:style>
  <w:style w:type="paragraph" w:customStyle="1" w:styleId="144">
    <w:name w:val="Lux 表格标题"/>
    <w:basedOn w:val="1"/>
    <w:qFormat/>
    <w:uiPriority w:val="0"/>
    <w:pPr>
      <w:spacing w:line="360" w:lineRule="auto"/>
      <w:ind w:hanging="2"/>
      <w:jc w:val="center"/>
    </w:pPr>
    <w:rPr>
      <w:rFonts w:hAnsi="宋体"/>
      <w:szCs w:val="24"/>
    </w:rPr>
  </w:style>
  <w:style w:type="paragraph" w:customStyle="1" w:styleId="145">
    <w:name w:val="列表 31"/>
    <w:basedOn w:val="1"/>
    <w:qFormat/>
    <w:uiPriority w:val="0"/>
    <w:pPr>
      <w:autoSpaceDE w:val="0"/>
      <w:autoSpaceDN w:val="0"/>
      <w:adjustRightInd w:val="0"/>
      <w:spacing w:line="288" w:lineRule="auto"/>
      <w:ind w:left="1260" w:hanging="420"/>
      <w:textAlignment w:val="baseline"/>
    </w:pPr>
    <w:rPr>
      <w:sz w:val="20"/>
      <w:szCs w:val="24"/>
    </w:rPr>
  </w:style>
  <w:style w:type="paragraph" w:customStyle="1" w:styleId="146">
    <w:name w:val="批注主题1"/>
    <w:basedOn w:val="28"/>
    <w:next w:val="28"/>
    <w:qFormat/>
    <w:uiPriority w:val="0"/>
    <w:rPr>
      <w:b/>
    </w:rPr>
  </w:style>
  <w:style w:type="paragraph" w:customStyle="1" w:styleId="147">
    <w:name w:val="称呼1"/>
    <w:basedOn w:val="1"/>
    <w:next w:val="1"/>
    <w:qFormat/>
    <w:uiPriority w:val="0"/>
    <w:pPr>
      <w:autoSpaceDE w:val="0"/>
      <w:autoSpaceDN w:val="0"/>
      <w:adjustRightInd w:val="0"/>
      <w:spacing w:line="288" w:lineRule="auto"/>
      <w:ind w:firstLine="567"/>
      <w:textAlignment w:val="baseline"/>
    </w:pPr>
  </w:style>
  <w:style w:type="paragraph" w:customStyle="1" w:styleId="148">
    <w:name w:val="文档结构图1"/>
    <w:basedOn w:val="1"/>
    <w:qFormat/>
    <w:uiPriority w:val="0"/>
    <w:pPr>
      <w:shd w:val="clear" w:color="auto" w:fill="000080"/>
    </w:pPr>
    <w:rPr>
      <w:sz w:val="21"/>
    </w:rPr>
  </w:style>
  <w:style w:type="paragraph" w:customStyle="1" w:styleId="149">
    <w:name w:val="正文文本缩进1"/>
    <w:basedOn w:val="1"/>
    <w:qFormat/>
    <w:uiPriority w:val="0"/>
    <w:pPr>
      <w:ind w:firstLine="430"/>
    </w:pPr>
    <w:rPr>
      <w:sz w:val="28"/>
    </w:rPr>
  </w:style>
  <w:style w:type="paragraph" w:customStyle="1" w:styleId="150">
    <w:name w:val="正文文本缩进 31"/>
    <w:basedOn w:val="1"/>
    <w:qFormat/>
    <w:uiPriority w:val="0"/>
    <w:pPr>
      <w:spacing w:after="120"/>
      <w:ind w:left="420" w:leftChars="200"/>
    </w:pPr>
    <w:rPr>
      <w:sz w:val="16"/>
    </w:rPr>
  </w:style>
  <w:style w:type="paragraph" w:customStyle="1" w:styleId="151">
    <w:name w:val="日期1"/>
    <w:basedOn w:val="1"/>
    <w:next w:val="1"/>
    <w:qFormat/>
    <w:uiPriority w:val="0"/>
    <w:pPr>
      <w:spacing w:line="520" w:lineRule="exact"/>
    </w:pPr>
    <w:rPr>
      <w:sz w:val="28"/>
    </w:rPr>
  </w:style>
  <w:style w:type="paragraph" w:customStyle="1" w:styleId="152">
    <w:name w:val="普通(网站)1"/>
    <w:basedOn w:val="1"/>
    <w:qFormat/>
    <w:uiPriority w:val="0"/>
    <w:pPr>
      <w:spacing w:before="100" w:beforeAutospacing="1" w:after="100" w:afterAutospacing="1"/>
    </w:pPr>
    <w:rPr>
      <w:rFonts w:ascii="宋体" w:hAnsi="宋体"/>
    </w:rPr>
  </w:style>
  <w:style w:type="paragraph" w:customStyle="1" w:styleId="153">
    <w:name w:val="正文文本 21"/>
    <w:basedOn w:val="1"/>
    <w:qFormat/>
    <w:uiPriority w:val="0"/>
    <w:pPr>
      <w:jc w:val="center"/>
    </w:pPr>
    <w:rPr>
      <w:sz w:val="21"/>
    </w:rPr>
  </w:style>
  <w:style w:type="paragraph" w:customStyle="1" w:styleId="154">
    <w:name w:val="索引 11"/>
    <w:basedOn w:val="1"/>
    <w:next w:val="1"/>
    <w:qFormat/>
    <w:uiPriority w:val="0"/>
    <w:pPr>
      <w:spacing w:line="360" w:lineRule="auto"/>
      <w:ind w:left="240" w:hanging="240"/>
    </w:pPr>
    <w:rPr>
      <w:sz w:val="20"/>
    </w:rPr>
  </w:style>
  <w:style w:type="paragraph" w:customStyle="1" w:styleId="155">
    <w:name w:val="前言"/>
    <w:basedOn w:val="1"/>
    <w:qFormat/>
    <w:uiPriority w:val="0"/>
    <w:pPr>
      <w:pageBreakBefore/>
      <w:autoSpaceDE w:val="0"/>
      <w:autoSpaceDN w:val="0"/>
      <w:adjustRightInd w:val="0"/>
      <w:jc w:val="center"/>
      <w:textAlignment w:val="baseline"/>
    </w:pPr>
    <w:rPr>
      <w:rFonts w:ascii="黑体" w:hAnsi="Impact" w:eastAsia="黑体"/>
      <w:kern w:val="24"/>
      <w:sz w:val="32"/>
    </w:rPr>
  </w:style>
  <w:style w:type="character" w:customStyle="1" w:styleId="156">
    <w:name w:val="文档结构图 Char"/>
    <w:basedOn w:val="45"/>
    <w:link w:val="27"/>
    <w:semiHidden/>
    <w:qFormat/>
    <w:uiPriority w:val="99"/>
    <w:rPr>
      <w:rFonts w:ascii="宋体"/>
      <w:kern w:val="2"/>
      <w:sz w:val="18"/>
      <w:szCs w:val="18"/>
    </w:rPr>
  </w:style>
  <w:style w:type="character" w:customStyle="1" w:styleId="157">
    <w:name w:val="批注主题 Char"/>
    <w:basedOn w:val="68"/>
    <w:link w:val="42"/>
    <w:semiHidden/>
    <w:qFormat/>
    <w:uiPriority w:val="0"/>
    <w:rPr>
      <w:rFonts w:eastAsia="宋体"/>
      <w:b/>
      <w:bCs/>
      <w:kern w:val="2"/>
      <w:sz w:val="24"/>
      <w:lang w:val="en-US" w:eastAsia="zh-CN"/>
    </w:rPr>
  </w:style>
  <w:style w:type="character" w:customStyle="1" w:styleId="158">
    <w:name w:val="表格名称 Char Char"/>
    <w:link w:val="159"/>
    <w:qFormat/>
    <w:uiPriority w:val="0"/>
    <w:rPr>
      <w:rFonts w:ascii="Arial" w:hAnsi="Arial" w:eastAsia="黑体"/>
      <w:kern w:val="2"/>
      <w:sz w:val="24"/>
    </w:rPr>
  </w:style>
  <w:style w:type="paragraph" w:customStyle="1" w:styleId="159">
    <w:name w:val="表格名称"/>
    <w:basedOn w:val="1"/>
    <w:link w:val="158"/>
    <w:qFormat/>
    <w:uiPriority w:val="0"/>
    <w:pPr>
      <w:spacing w:line="360" w:lineRule="auto"/>
      <w:ind w:firstLine="1040" w:firstLineChars="200"/>
      <w:jc w:val="center"/>
    </w:pPr>
    <w:rPr>
      <w:rFonts w:ascii="Arial" w:hAnsi="Arial" w:eastAsia="黑体"/>
    </w:rPr>
  </w:style>
  <w:style w:type="character" w:customStyle="1" w:styleId="160">
    <w:name w:val="正文文本缩进 3 Char"/>
    <w:basedOn w:val="45"/>
    <w:link w:val="39"/>
    <w:semiHidden/>
    <w:qFormat/>
    <w:uiPriority w:val="99"/>
    <w:rPr>
      <w:kern w:val="2"/>
      <w:sz w:val="16"/>
      <w:szCs w:val="16"/>
    </w:rPr>
  </w:style>
  <w:style w:type="character" w:customStyle="1" w:styleId="161">
    <w:name w:val="1正文段落 Char"/>
    <w:link w:val="162"/>
    <w:qFormat/>
    <w:uiPriority w:val="0"/>
    <w:rPr>
      <w:snapToGrid w:val="0"/>
      <w:sz w:val="24"/>
      <w:szCs w:val="24"/>
    </w:rPr>
  </w:style>
  <w:style w:type="paragraph" w:customStyle="1" w:styleId="162">
    <w:name w:val="1正文段落"/>
    <w:basedOn w:val="1"/>
    <w:link w:val="161"/>
    <w:qFormat/>
    <w:uiPriority w:val="0"/>
    <w:pPr>
      <w:spacing w:line="360" w:lineRule="auto"/>
      <w:ind w:firstLine="480" w:firstLineChars="200"/>
    </w:pPr>
    <w:rPr>
      <w:snapToGrid w:val="0"/>
      <w:szCs w:val="24"/>
    </w:rPr>
  </w:style>
  <w:style w:type="paragraph" w:customStyle="1" w:styleId="163">
    <w:name w:val="首行缩进"/>
    <w:basedOn w:val="1"/>
    <w:qFormat/>
    <w:uiPriority w:val="0"/>
    <w:pPr>
      <w:spacing w:line="360" w:lineRule="auto"/>
      <w:ind w:firstLine="200" w:firstLineChars="200"/>
    </w:pPr>
    <w:rPr>
      <w:rFonts w:ascii="宋体" w:hAnsi="宋体" w:cs="宋体"/>
      <w:szCs w:val="24"/>
    </w:rPr>
  </w:style>
  <w:style w:type="paragraph" w:customStyle="1" w:styleId="164">
    <w:name w:val="表格文字！！！！"/>
    <w:basedOn w:val="1"/>
    <w:qFormat/>
    <w:uiPriority w:val="0"/>
    <w:pPr>
      <w:jc w:val="center"/>
    </w:pPr>
    <w:rPr>
      <w:szCs w:val="24"/>
    </w:rPr>
  </w:style>
  <w:style w:type="paragraph" w:customStyle="1" w:styleId="165">
    <w:name w:val="样式 缩进 + (中文) 楷体 加粗 首行缩进:  2 字符 行距: 1.5 倍行距"/>
    <w:basedOn w:val="1"/>
    <w:qFormat/>
    <w:uiPriority w:val="0"/>
    <w:pPr>
      <w:autoSpaceDE w:val="0"/>
      <w:autoSpaceDN w:val="0"/>
      <w:adjustRightInd w:val="0"/>
      <w:spacing w:line="360" w:lineRule="auto"/>
      <w:ind w:firstLine="480" w:firstLineChars="200"/>
      <w:jc w:val="center"/>
    </w:pPr>
    <w:rPr>
      <w:rFonts w:eastAsia="楷体"/>
      <w:b/>
      <w:bCs/>
      <w:lang w:val="zh-CN"/>
    </w:rPr>
  </w:style>
  <w:style w:type="paragraph" w:styleId="166">
    <w:name w:val="List Paragraph"/>
    <w:basedOn w:val="1"/>
    <w:qFormat/>
    <w:uiPriority w:val="34"/>
    <w:pPr>
      <w:ind w:firstLine="420" w:firstLineChars="200"/>
    </w:pPr>
  </w:style>
  <w:style w:type="paragraph" w:customStyle="1" w:styleId="167">
    <w:name w:val="a表格内容"/>
    <w:basedOn w:val="29"/>
    <w:link w:val="168"/>
    <w:qFormat/>
    <w:uiPriority w:val="0"/>
    <w:pPr>
      <w:spacing w:after="0"/>
      <w:jc w:val="center"/>
    </w:pPr>
    <w:rPr>
      <w:sz w:val="16"/>
      <w:szCs w:val="21"/>
    </w:rPr>
  </w:style>
  <w:style w:type="character" w:customStyle="1" w:styleId="168">
    <w:name w:val="a表格内容 Char"/>
    <w:link w:val="167"/>
    <w:qFormat/>
    <w:uiPriority w:val="0"/>
    <w:rPr>
      <w:kern w:val="2"/>
      <w:sz w:val="16"/>
      <w:szCs w:val="21"/>
    </w:rPr>
  </w:style>
  <w:style w:type="paragraph" w:customStyle="1" w:styleId="169">
    <w:name w:val="a表格标题"/>
    <w:basedOn w:val="29"/>
    <w:link w:val="170"/>
    <w:qFormat/>
    <w:uiPriority w:val="0"/>
    <w:pPr>
      <w:spacing w:after="0" w:line="360" w:lineRule="auto"/>
      <w:ind w:firstLine="482"/>
      <w:jc w:val="center"/>
    </w:pPr>
    <w:rPr>
      <w:b/>
      <w:sz w:val="21"/>
      <w:szCs w:val="21"/>
    </w:rPr>
  </w:style>
  <w:style w:type="character" w:customStyle="1" w:styleId="170">
    <w:name w:val="a表格标题 Char"/>
    <w:link w:val="169"/>
    <w:qFormat/>
    <w:uiPriority w:val="0"/>
    <w:rPr>
      <w:b/>
      <w:kern w:val="2"/>
      <w:sz w:val="21"/>
      <w:szCs w:val="21"/>
    </w:rPr>
  </w:style>
  <w:style w:type="paragraph" w:customStyle="1" w:styleId="171">
    <w:name w:val="a正文"/>
    <w:basedOn w:val="32"/>
    <w:link w:val="172"/>
    <w:qFormat/>
    <w:uiPriority w:val="0"/>
    <w:pPr>
      <w:spacing w:line="360" w:lineRule="auto"/>
      <w:ind w:firstLine="480" w:firstLineChars="200"/>
    </w:pPr>
    <w:rPr>
      <w:rFonts w:ascii="Times New Roman" w:hAnsi="Times New Roman" w:cs="Times New Roman"/>
      <w:sz w:val="24"/>
      <w:szCs w:val="24"/>
    </w:rPr>
  </w:style>
  <w:style w:type="character" w:customStyle="1" w:styleId="172">
    <w:name w:val="a正文 Char"/>
    <w:link w:val="171"/>
    <w:qFormat/>
    <w:uiPriority w:val="0"/>
    <w:rPr>
      <w:kern w:val="2"/>
      <w:sz w:val="24"/>
      <w:szCs w:val="24"/>
    </w:rPr>
  </w:style>
  <w:style w:type="character" w:customStyle="1" w:styleId="173">
    <w:name w:val="纯文本 Char1"/>
    <w:basedOn w:val="45"/>
    <w:link w:val="32"/>
    <w:semiHidden/>
    <w:qFormat/>
    <w:uiPriority w:val="99"/>
    <w:rPr>
      <w:rFonts w:ascii="宋体" w:hAnsi="Courier New" w:cs="Courier New"/>
      <w:kern w:val="2"/>
      <w:sz w:val="21"/>
      <w:szCs w:val="21"/>
    </w:rPr>
  </w:style>
  <w:style w:type="character" w:customStyle="1" w:styleId="174">
    <w:name w:val="font01"/>
    <w:qFormat/>
    <w:uiPriority w:val="0"/>
    <w:rPr>
      <w:rFonts w:hint="eastAsia" w:ascii="宋体" w:hAnsi="宋体" w:eastAsia="宋体" w:cs="宋体"/>
      <w:b/>
      <w:color w:val="000000"/>
      <w:sz w:val="21"/>
      <w:szCs w:val="21"/>
      <w:u w:val="none"/>
      <w:vertAlign w:val="superscript"/>
    </w:rPr>
  </w:style>
  <w:style w:type="paragraph" w:customStyle="1" w:styleId="175">
    <w:name w:val="Char Char Char Char Char Char Char Char Char Char Char Char Char Char Char Char Char Char Char"/>
    <w:basedOn w:val="1"/>
    <w:qFormat/>
    <w:uiPriority w:val="0"/>
    <w:pPr>
      <w:spacing w:line="360" w:lineRule="auto"/>
      <w:ind w:firstLine="200" w:firstLineChars="200"/>
    </w:pPr>
    <w:rPr>
      <w:rFonts w:ascii="宋体" w:hAnsi="宋体" w:cs="宋体"/>
      <w:szCs w:val="24"/>
    </w:rPr>
  </w:style>
  <w:style w:type="paragraph" w:customStyle="1" w:styleId="176">
    <w:name w:val="TOC 标题2"/>
    <w:basedOn w:val="14"/>
    <w:next w:val="1"/>
    <w:unhideWhenUsed/>
    <w:qFormat/>
    <w:uiPriority w:val="39"/>
    <w:pPr>
      <w:spacing w:before="240" w:line="259" w:lineRule="auto"/>
      <w:outlineLvl w:val="9"/>
    </w:pPr>
    <w:rPr>
      <w:b w:val="0"/>
      <w:sz w:val="32"/>
      <w:szCs w:val="32"/>
    </w:rPr>
  </w:style>
  <w:style w:type="paragraph" w:customStyle="1" w:styleId="177">
    <w:name w:val="正 文"/>
    <w:qFormat/>
    <w:uiPriority w:val="0"/>
    <w:pPr>
      <w:widowControl w:val="0"/>
      <w:spacing w:after="200" w:line="360" w:lineRule="auto"/>
      <w:ind w:firstLine="480" w:firstLineChars="200"/>
    </w:pPr>
    <w:rPr>
      <w:rFonts w:ascii="Calibri" w:hAnsi="Calibri" w:eastAsia="宋体" w:cs="宋体"/>
      <w:kern w:val="2"/>
      <w:sz w:val="24"/>
      <w:szCs w:val="24"/>
      <w:lang w:val="en-US" w:eastAsia="zh-CN" w:bidi="ar-SA"/>
    </w:rPr>
  </w:style>
  <w:style w:type="paragraph" w:customStyle="1" w:styleId="178">
    <w:name w:val="表中文字"/>
    <w:link w:val="179"/>
    <w:qFormat/>
    <w:uiPriority w:val="0"/>
    <w:pPr>
      <w:snapToGrid w:val="0"/>
      <w:spacing w:beforeAutospacing="1" w:after="200" w:afterAutospacing="1" w:line="276" w:lineRule="auto"/>
      <w:jc w:val="center"/>
    </w:pPr>
    <w:rPr>
      <w:rFonts w:ascii="Times New Roman" w:hAnsi="Times New Roman" w:eastAsia="宋体" w:cs="Times New Roman"/>
      <w:kern w:val="2"/>
      <w:sz w:val="21"/>
      <w:szCs w:val="21"/>
      <w:lang w:val="en-US" w:eastAsia="zh-CN" w:bidi="ar-SA"/>
    </w:rPr>
  </w:style>
  <w:style w:type="character" w:customStyle="1" w:styleId="179">
    <w:name w:val="表中文字 Char"/>
    <w:link w:val="178"/>
    <w:qFormat/>
    <w:uiPriority w:val="0"/>
    <w:rPr>
      <w:rFonts w:ascii="Times New Roman" w:hAnsi="Times New Roman" w:eastAsia="宋体" w:cs="Times New Roman"/>
      <w:kern w:val="2"/>
      <w:sz w:val="21"/>
      <w:szCs w:val="21"/>
    </w:rPr>
  </w:style>
  <w:style w:type="paragraph" w:customStyle="1" w:styleId="180">
    <w:name w:val="M图标题"/>
    <w:next w:val="1"/>
    <w:link w:val="181"/>
    <w:qFormat/>
    <w:uiPriority w:val="0"/>
    <w:pPr>
      <w:adjustRightInd w:val="0"/>
      <w:snapToGrid w:val="0"/>
      <w:spacing w:after="200" w:line="360" w:lineRule="auto"/>
      <w:jc w:val="center"/>
    </w:pPr>
    <w:rPr>
      <w:rFonts w:ascii="Times New Roman" w:hAnsi="Times New Roman" w:eastAsia="黑体" w:cs="Times New Roman"/>
      <w:b/>
      <w:bCs/>
      <w:kern w:val="2"/>
      <w:sz w:val="24"/>
      <w:szCs w:val="24"/>
      <w:lang w:val="en-US" w:eastAsia="zh-CN" w:bidi="ar-SA"/>
    </w:rPr>
  </w:style>
  <w:style w:type="character" w:customStyle="1" w:styleId="181">
    <w:name w:val="M图标题 Char"/>
    <w:link w:val="180"/>
    <w:qFormat/>
    <w:uiPriority w:val="0"/>
    <w:rPr>
      <w:rFonts w:ascii="Times New Roman" w:hAnsi="Times New Roman" w:eastAsia="黑体" w:cs="Times New Roman"/>
      <w:b/>
      <w:bCs/>
      <w:kern w:val="2"/>
      <w:sz w:val="24"/>
      <w:szCs w:val="24"/>
    </w:rPr>
  </w:style>
  <w:style w:type="paragraph" w:customStyle="1" w:styleId="182">
    <w:name w:val="M表中字体"/>
    <w:link w:val="183"/>
    <w:qFormat/>
    <w:uiPriority w:val="0"/>
    <w:pPr>
      <w:adjustRightInd w:val="0"/>
      <w:snapToGrid w:val="0"/>
      <w:spacing w:after="200" w:line="276" w:lineRule="auto"/>
      <w:jc w:val="center"/>
    </w:pPr>
    <w:rPr>
      <w:rFonts w:ascii="Times New Roman" w:hAnsi="Times New Roman" w:eastAsia="宋体" w:cs="Times New Roman"/>
      <w:kern w:val="2"/>
      <w:sz w:val="24"/>
      <w:szCs w:val="21"/>
      <w:lang w:val="en-US" w:eastAsia="zh-CN" w:bidi="ar-SA"/>
    </w:rPr>
  </w:style>
  <w:style w:type="character" w:customStyle="1" w:styleId="183">
    <w:name w:val="M表中字体 Char"/>
    <w:link w:val="182"/>
    <w:qFormat/>
    <w:uiPriority w:val="0"/>
    <w:rPr>
      <w:rFonts w:ascii="Times New Roman" w:hAnsi="Times New Roman" w:eastAsia="宋体" w:cs="Times New Roman"/>
      <w:kern w:val="2"/>
      <w:sz w:val="24"/>
      <w:szCs w:val="21"/>
    </w:rPr>
  </w:style>
  <w:style w:type="paragraph" w:customStyle="1" w:styleId="184">
    <w:name w:val="M表标题"/>
    <w:next w:val="1"/>
    <w:link w:val="185"/>
    <w:qFormat/>
    <w:uiPriority w:val="0"/>
    <w:pPr>
      <w:keepNext/>
      <w:spacing w:after="200" w:line="360" w:lineRule="auto"/>
      <w:jc w:val="center"/>
    </w:pPr>
    <w:rPr>
      <w:rFonts w:ascii="Times New Roman" w:hAnsi="Times New Roman" w:eastAsia="黑体" w:cs="Times New Roman"/>
      <w:b/>
      <w:bCs/>
      <w:kern w:val="2"/>
      <w:sz w:val="24"/>
      <w:szCs w:val="24"/>
      <w:lang w:val="en-US" w:eastAsia="zh-CN" w:bidi="ar-SA"/>
    </w:rPr>
  </w:style>
  <w:style w:type="character" w:customStyle="1" w:styleId="185">
    <w:name w:val="M表标题 Char"/>
    <w:link w:val="184"/>
    <w:qFormat/>
    <w:uiPriority w:val="0"/>
    <w:rPr>
      <w:rFonts w:ascii="Times New Roman" w:hAnsi="Times New Roman" w:eastAsia="黑体" w:cs="Times New Roman"/>
      <w:b/>
      <w:bCs/>
      <w:kern w:val="2"/>
      <w:sz w:val="24"/>
      <w:szCs w:val="24"/>
    </w:rPr>
  </w:style>
  <w:style w:type="paragraph" w:customStyle="1" w:styleId="186">
    <w:name w:val="表题"/>
    <w:basedOn w:val="184"/>
    <w:link w:val="187"/>
    <w:qFormat/>
    <w:uiPriority w:val="0"/>
    <w:pPr>
      <w:keepNext w:val="0"/>
      <w:widowControl w:val="0"/>
    </w:pPr>
    <w:rPr>
      <w:rFonts w:ascii="宋体" w:hAnsi="宋体" w:eastAsia="宋体"/>
    </w:rPr>
  </w:style>
  <w:style w:type="character" w:customStyle="1" w:styleId="187">
    <w:name w:val="表题 字符"/>
    <w:link w:val="186"/>
    <w:qFormat/>
    <w:uiPriority w:val="0"/>
    <w:rPr>
      <w:rFonts w:ascii="宋体" w:hAnsi="宋体" w:eastAsia="宋体" w:cs="Times New Roman"/>
      <w:b/>
      <w:bCs/>
      <w:kern w:val="2"/>
      <w:sz w:val="24"/>
      <w:szCs w:val="24"/>
    </w:rPr>
  </w:style>
  <w:style w:type="character" w:customStyle="1" w:styleId="188">
    <w:name w:val="页眉 Char"/>
    <w:basedOn w:val="45"/>
    <w:link w:val="36"/>
    <w:qFormat/>
    <w:uiPriority w:val="99"/>
    <w:rPr>
      <w:rFonts w:ascii="Times New Roman" w:hAnsi="Times New Roman" w:eastAsia="宋体" w:cs="Times New Roman"/>
      <w:kern w:val="2"/>
      <w:sz w:val="18"/>
    </w:rPr>
  </w:style>
  <w:style w:type="paragraph" w:customStyle="1" w:styleId="189">
    <w:name w:val="修订1"/>
    <w:hidden/>
    <w:semiHidden/>
    <w:qFormat/>
    <w:uiPriority w:val="99"/>
    <w:pPr>
      <w:spacing w:after="200" w:line="276" w:lineRule="auto"/>
    </w:pPr>
    <w:rPr>
      <w:rFonts w:ascii="Times New Roman" w:hAnsi="Times New Roman" w:eastAsia="宋体" w:cs="Times New Roman"/>
      <w:kern w:val="2"/>
      <w:sz w:val="24"/>
      <w:szCs w:val="22"/>
      <w:lang w:val="en-US" w:eastAsia="zh-CN" w:bidi="ar-SA"/>
    </w:rPr>
  </w:style>
  <w:style w:type="character" w:customStyle="1" w:styleId="190">
    <w:name w:val="批注引用2"/>
    <w:qFormat/>
    <w:uiPriority w:val="0"/>
    <w:rPr>
      <w:sz w:val="21"/>
      <w:szCs w:val="21"/>
    </w:rPr>
  </w:style>
  <w:style w:type="character" w:customStyle="1" w:styleId="191">
    <w:name w:val="批注引用3"/>
    <w:qFormat/>
    <w:uiPriority w:val="0"/>
    <w:rPr>
      <w:sz w:val="21"/>
      <w:szCs w:val="21"/>
    </w:rPr>
  </w:style>
  <w:style w:type="character" w:customStyle="1" w:styleId="192">
    <w:name w:val="注释标题 Char"/>
    <w:basedOn w:val="45"/>
    <w:link w:val="24"/>
    <w:qFormat/>
    <w:uiPriority w:val="0"/>
    <w:rPr>
      <w:rFonts w:ascii="Times New Roman" w:hAnsi="Times New Roman" w:eastAsia="宋体" w:cs="Times New Roman"/>
      <w:kern w:val="2"/>
      <w:sz w:val="21"/>
    </w:rPr>
  </w:style>
  <w:style w:type="character" w:customStyle="1" w:styleId="193">
    <w:name w:val="company-basic-info-name1"/>
    <w:qFormat/>
    <w:uiPriority w:val="0"/>
  </w:style>
  <w:style w:type="character" w:customStyle="1" w:styleId="194">
    <w:name w:val="font21"/>
    <w:basedOn w:val="45"/>
    <w:qFormat/>
    <w:uiPriority w:val="0"/>
    <w:rPr>
      <w:rFonts w:hint="eastAsia" w:ascii="宋体" w:hAnsi="宋体" w:eastAsia="宋体" w:cs="宋体"/>
      <w:color w:val="000000"/>
      <w:sz w:val="22"/>
      <w:szCs w:val="22"/>
      <w:u w:val="none"/>
    </w:rPr>
  </w:style>
  <w:style w:type="character" w:customStyle="1" w:styleId="195">
    <w:name w:val="font31"/>
    <w:basedOn w:val="45"/>
    <w:qFormat/>
    <w:uiPriority w:val="0"/>
    <w:rPr>
      <w:rFonts w:ascii="Wingdings 2" w:hAnsi="Wingdings 2" w:eastAsia="Wingdings 2" w:cs="Wingdings 2"/>
      <w:color w:val="000000"/>
      <w:sz w:val="24"/>
      <w:szCs w:val="24"/>
      <w:u w:val="none"/>
    </w:rPr>
  </w:style>
  <w:style w:type="character" w:customStyle="1" w:styleId="196">
    <w:name w:val="font41"/>
    <w:basedOn w:val="45"/>
    <w:qFormat/>
    <w:uiPriority w:val="0"/>
    <w:rPr>
      <w:rFonts w:hint="default" w:ascii="Times New Roman" w:hAnsi="Times New Roman" w:cs="Times New Roman"/>
      <w:color w:val="000000"/>
      <w:sz w:val="22"/>
      <w:szCs w:val="22"/>
      <w:u w:val="none"/>
    </w:rPr>
  </w:style>
  <w:style w:type="character" w:customStyle="1" w:styleId="197">
    <w:name w:val="font11"/>
    <w:basedOn w:val="45"/>
    <w:qFormat/>
    <w:uiPriority w:val="0"/>
    <w:rPr>
      <w:rFonts w:hint="default" w:ascii="Times New Roman" w:hAnsi="Times New Roman" w:cs="Times New Roman"/>
      <w:color w:val="000000"/>
      <w:sz w:val="22"/>
      <w:szCs w:val="22"/>
      <w:u w:val="none"/>
      <w:vertAlign w:val="subscript"/>
    </w:rPr>
  </w:style>
  <w:style w:type="paragraph" w:customStyle="1" w:styleId="198">
    <w:name w:val="正文 + 宋体"/>
    <w:basedOn w:val="1"/>
    <w:qFormat/>
    <w:uiPriority w:val="0"/>
    <w:pPr>
      <w:adjustRightInd w:val="0"/>
      <w:snapToGrid w:val="0"/>
      <w:spacing w:line="400" w:lineRule="exact"/>
      <w:ind w:firstLine="480" w:firstLineChars="200"/>
      <w:textAlignment w:val="baseline"/>
    </w:pPr>
    <w:rPr>
      <w:color w:val="000000"/>
      <w:szCs w:val="24"/>
    </w:rPr>
  </w:style>
  <w:style w:type="character" w:customStyle="1" w:styleId="199">
    <w:name w:val="报告正文 Char"/>
    <w:link w:val="200"/>
    <w:qFormat/>
    <w:uiPriority w:val="0"/>
    <w:rPr>
      <w:sz w:val="24"/>
      <w:szCs w:val="24"/>
    </w:rPr>
  </w:style>
  <w:style w:type="paragraph" w:customStyle="1" w:styleId="200">
    <w:name w:val="报告正文"/>
    <w:basedOn w:val="1"/>
    <w:link w:val="199"/>
    <w:qFormat/>
    <w:uiPriority w:val="0"/>
    <w:pPr>
      <w:spacing w:line="360" w:lineRule="auto"/>
      <w:ind w:firstLine="480" w:firstLineChars="200"/>
    </w:pPr>
    <w:rPr>
      <w:szCs w:val="24"/>
    </w:rPr>
  </w:style>
  <w:style w:type="character" w:customStyle="1" w:styleId="201">
    <w:name w:val="正文缩进 Char1"/>
    <w:link w:val="25"/>
    <w:qFormat/>
    <w:uiPriority w:val="0"/>
    <w:rPr>
      <w:rFonts w:eastAsia="宋体"/>
      <w:kern w:val="2"/>
      <w:sz w:val="21"/>
      <w:szCs w:val="21"/>
    </w:rPr>
  </w:style>
  <w:style w:type="paragraph" w:customStyle="1" w:styleId="202">
    <w:name w:val="表 内容"/>
    <w:basedOn w:val="1"/>
    <w:qFormat/>
    <w:uiPriority w:val="0"/>
    <w:pPr>
      <w:adjustRightInd w:val="0"/>
      <w:snapToGrid w:val="0"/>
      <w:spacing w:beforeLines="15" w:afterLines="15"/>
      <w:jc w:val="center"/>
    </w:pPr>
    <w:rPr>
      <w:b/>
      <w:szCs w:val="21"/>
    </w:rPr>
  </w:style>
  <w:style w:type="paragraph" w:customStyle="1" w:styleId="203">
    <w:name w:val="国寰正文"/>
    <w:basedOn w:val="1"/>
    <w:qFormat/>
    <w:uiPriority w:val="0"/>
    <w:pPr>
      <w:adjustRightInd w:val="0"/>
      <w:snapToGrid w:val="0"/>
      <w:spacing w:line="360" w:lineRule="auto"/>
      <w:ind w:firstLine="200" w:firstLineChars="200"/>
    </w:pPr>
    <w:rPr>
      <w:b/>
      <w:szCs w:val="24"/>
    </w:rPr>
  </w:style>
  <w:style w:type="character" w:customStyle="1" w:styleId="204">
    <w:name w:val="标题 2 Char"/>
    <w:basedOn w:val="45"/>
    <w:link w:val="15"/>
    <w:qFormat/>
    <w:uiPriority w:val="9"/>
    <w:rPr>
      <w:rFonts w:asciiTheme="majorHAnsi" w:hAnsiTheme="majorHAnsi" w:eastAsiaTheme="majorEastAsia" w:cstheme="majorBidi"/>
      <w:b/>
      <w:bCs/>
      <w:color w:val="4F81BD" w:themeColor="accent1"/>
      <w:sz w:val="26"/>
      <w:szCs w:val="26"/>
    </w:rPr>
  </w:style>
  <w:style w:type="character" w:customStyle="1" w:styleId="205">
    <w:name w:val="标题 3 Char"/>
    <w:basedOn w:val="45"/>
    <w:link w:val="16"/>
    <w:qFormat/>
    <w:uiPriority w:val="9"/>
    <w:rPr>
      <w:rFonts w:asciiTheme="majorHAnsi" w:hAnsiTheme="majorHAnsi" w:eastAsiaTheme="majorEastAsia" w:cstheme="majorBidi"/>
      <w:b/>
      <w:bCs/>
      <w:color w:val="4F81BD" w:themeColor="accent1"/>
    </w:rPr>
  </w:style>
  <w:style w:type="character" w:customStyle="1" w:styleId="206">
    <w:name w:val="标题 4 Char"/>
    <w:basedOn w:val="45"/>
    <w:link w:val="17"/>
    <w:qFormat/>
    <w:uiPriority w:val="9"/>
    <w:rPr>
      <w:rFonts w:asciiTheme="majorHAnsi" w:hAnsiTheme="majorHAnsi" w:eastAsiaTheme="majorEastAsia" w:cstheme="majorBidi"/>
      <w:b/>
      <w:bCs/>
      <w:i/>
      <w:iCs/>
      <w:color w:val="4F81BD" w:themeColor="accent1"/>
    </w:rPr>
  </w:style>
  <w:style w:type="character" w:customStyle="1" w:styleId="207">
    <w:name w:val="标题 5 Char"/>
    <w:basedOn w:val="45"/>
    <w:link w:val="18"/>
    <w:qFormat/>
    <w:uiPriority w:val="9"/>
    <w:rPr>
      <w:rFonts w:asciiTheme="majorHAnsi" w:hAnsiTheme="majorHAnsi" w:eastAsiaTheme="majorEastAsia" w:cstheme="majorBidi"/>
      <w:color w:val="244061" w:themeColor="accent1" w:themeShade="80"/>
    </w:rPr>
  </w:style>
  <w:style w:type="character" w:customStyle="1" w:styleId="208">
    <w:name w:val="标题 6 Char"/>
    <w:basedOn w:val="45"/>
    <w:link w:val="19"/>
    <w:qFormat/>
    <w:uiPriority w:val="9"/>
    <w:rPr>
      <w:rFonts w:asciiTheme="majorHAnsi" w:hAnsiTheme="majorHAnsi" w:eastAsiaTheme="majorEastAsia" w:cstheme="majorBidi"/>
      <w:i/>
      <w:iCs/>
      <w:color w:val="244061" w:themeColor="accent1" w:themeShade="80"/>
    </w:rPr>
  </w:style>
  <w:style w:type="character" w:customStyle="1" w:styleId="209">
    <w:name w:val="标题 7 Char"/>
    <w:basedOn w:val="45"/>
    <w:link w:val="20"/>
    <w:qFormat/>
    <w:uiPriority w:val="9"/>
    <w:rPr>
      <w:rFonts w:asciiTheme="majorHAnsi" w:hAnsiTheme="majorHAnsi" w:eastAsiaTheme="majorEastAsia" w:cstheme="majorBidi"/>
      <w:i/>
      <w:iCs/>
      <w:color w:val="3F3F3F" w:themeColor="text1" w:themeTint="BF"/>
    </w:rPr>
  </w:style>
  <w:style w:type="character" w:customStyle="1" w:styleId="210">
    <w:name w:val="标题 8 Char"/>
    <w:basedOn w:val="45"/>
    <w:link w:val="21"/>
    <w:qFormat/>
    <w:uiPriority w:val="9"/>
    <w:rPr>
      <w:rFonts w:asciiTheme="majorHAnsi" w:hAnsiTheme="majorHAnsi" w:eastAsiaTheme="majorEastAsia" w:cstheme="majorBidi"/>
      <w:color w:val="4F81BD" w:themeColor="accent1"/>
      <w:sz w:val="20"/>
      <w:szCs w:val="20"/>
    </w:rPr>
  </w:style>
  <w:style w:type="character" w:customStyle="1" w:styleId="211">
    <w:name w:val="标题 9 Char"/>
    <w:basedOn w:val="45"/>
    <w:link w:val="22"/>
    <w:qFormat/>
    <w:uiPriority w:val="9"/>
    <w:rPr>
      <w:rFonts w:asciiTheme="majorHAnsi" w:hAnsiTheme="majorHAnsi" w:eastAsiaTheme="majorEastAsia" w:cstheme="majorBidi"/>
      <w:i/>
      <w:iCs/>
      <w:color w:val="3F3F3F" w:themeColor="text1" w:themeTint="BF"/>
      <w:sz w:val="20"/>
      <w:szCs w:val="20"/>
    </w:rPr>
  </w:style>
  <w:style w:type="character" w:customStyle="1" w:styleId="212">
    <w:name w:val="标题 Char"/>
    <w:basedOn w:val="45"/>
    <w:link w:val="41"/>
    <w:qFormat/>
    <w:uiPriority w:val="10"/>
    <w:rPr>
      <w:rFonts w:asciiTheme="majorHAnsi" w:hAnsiTheme="majorHAnsi" w:eastAsiaTheme="majorEastAsia" w:cstheme="majorBidi"/>
      <w:color w:val="17365D" w:themeColor="text2" w:themeShade="BF"/>
      <w:spacing w:val="5"/>
      <w:sz w:val="52"/>
      <w:szCs w:val="52"/>
    </w:rPr>
  </w:style>
  <w:style w:type="character" w:customStyle="1" w:styleId="213">
    <w:name w:val="副标题 Char"/>
    <w:basedOn w:val="45"/>
    <w:link w:val="38"/>
    <w:qFormat/>
    <w:uiPriority w:val="11"/>
    <w:rPr>
      <w:rFonts w:asciiTheme="majorHAnsi" w:hAnsiTheme="majorHAnsi" w:eastAsiaTheme="majorEastAsia" w:cstheme="majorBidi"/>
      <w:i/>
      <w:iCs/>
      <w:color w:val="4F81BD" w:themeColor="accent1"/>
      <w:spacing w:val="15"/>
      <w:sz w:val="24"/>
      <w:szCs w:val="24"/>
    </w:rPr>
  </w:style>
  <w:style w:type="paragraph" w:styleId="214">
    <w:name w:val="No Spacing"/>
    <w:qFormat/>
    <w:uiPriority w:val="1"/>
    <w:rPr>
      <w:rFonts w:asciiTheme="minorHAnsi" w:hAnsiTheme="minorHAnsi" w:eastAsiaTheme="minorEastAsia" w:cstheme="minorBidi"/>
      <w:sz w:val="22"/>
      <w:szCs w:val="22"/>
      <w:lang w:val="en-US" w:eastAsia="zh-CN" w:bidi="ar-SA"/>
    </w:rPr>
  </w:style>
  <w:style w:type="paragraph" w:styleId="215">
    <w:name w:val="Quote"/>
    <w:basedOn w:val="1"/>
    <w:next w:val="1"/>
    <w:link w:val="216"/>
    <w:qFormat/>
    <w:uiPriority w:val="29"/>
    <w:rPr>
      <w:i/>
      <w:iCs/>
      <w:color w:val="000000" w:themeColor="text1"/>
    </w:rPr>
  </w:style>
  <w:style w:type="character" w:customStyle="1" w:styleId="216">
    <w:name w:val="引用 Char"/>
    <w:basedOn w:val="45"/>
    <w:link w:val="215"/>
    <w:qFormat/>
    <w:uiPriority w:val="29"/>
    <w:rPr>
      <w:i/>
      <w:iCs/>
      <w:color w:val="000000" w:themeColor="text1"/>
    </w:rPr>
  </w:style>
  <w:style w:type="paragraph" w:styleId="217">
    <w:name w:val="Intense Quote"/>
    <w:basedOn w:val="1"/>
    <w:next w:val="1"/>
    <w:link w:val="218"/>
    <w:qFormat/>
    <w:uiPriority w:val="30"/>
    <w:pPr>
      <w:pBdr>
        <w:bottom w:val="single" w:color="4F81BD" w:themeColor="accent1" w:sz="4" w:space="4"/>
      </w:pBdr>
      <w:spacing w:before="200" w:after="280"/>
      <w:ind w:left="936" w:right="936"/>
    </w:pPr>
    <w:rPr>
      <w:b/>
      <w:bCs/>
      <w:i/>
      <w:iCs/>
      <w:color w:val="4F81BD" w:themeColor="accent1"/>
    </w:rPr>
  </w:style>
  <w:style w:type="character" w:customStyle="1" w:styleId="218">
    <w:name w:val="明显引用 Char"/>
    <w:basedOn w:val="45"/>
    <w:link w:val="217"/>
    <w:qFormat/>
    <w:uiPriority w:val="30"/>
    <w:rPr>
      <w:b/>
      <w:bCs/>
      <w:i/>
      <w:iCs/>
      <w:color w:val="4F81BD" w:themeColor="accent1"/>
    </w:rPr>
  </w:style>
  <w:style w:type="character" w:customStyle="1" w:styleId="219">
    <w:name w:val="不明显强调1"/>
    <w:basedOn w:val="45"/>
    <w:qFormat/>
    <w:uiPriority w:val="19"/>
    <w:rPr>
      <w:i/>
      <w:iCs/>
      <w:color w:val="7E7E7E" w:themeColor="text1" w:themeTint="80"/>
    </w:rPr>
  </w:style>
  <w:style w:type="character" w:customStyle="1" w:styleId="220">
    <w:name w:val="明显强调1"/>
    <w:basedOn w:val="45"/>
    <w:qFormat/>
    <w:uiPriority w:val="21"/>
    <w:rPr>
      <w:b/>
      <w:bCs/>
      <w:i/>
      <w:iCs/>
      <w:color w:val="4F81BD" w:themeColor="accent1"/>
    </w:rPr>
  </w:style>
  <w:style w:type="character" w:customStyle="1" w:styleId="221">
    <w:name w:val="不明显参考1"/>
    <w:basedOn w:val="45"/>
    <w:qFormat/>
    <w:uiPriority w:val="31"/>
    <w:rPr>
      <w:smallCaps/>
      <w:color w:val="C0504D" w:themeColor="accent2"/>
      <w:u w:val="single"/>
    </w:rPr>
  </w:style>
  <w:style w:type="character" w:customStyle="1" w:styleId="222">
    <w:name w:val="明显参考1"/>
    <w:basedOn w:val="45"/>
    <w:qFormat/>
    <w:uiPriority w:val="32"/>
    <w:rPr>
      <w:b/>
      <w:bCs/>
      <w:smallCaps/>
      <w:color w:val="C0504D" w:themeColor="accent2"/>
      <w:spacing w:val="5"/>
      <w:u w:val="single"/>
    </w:rPr>
  </w:style>
  <w:style w:type="character" w:customStyle="1" w:styleId="223">
    <w:name w:val="书籍标题1"/>
    <w:basedOn w:val="45"/>
    <w:qFormat/>
    <w:uiPriority w:val="33"/>
    <w:rPr>
      <w:b/>
      <w:bCs/>
      <w:smallCaps/>
      <w:spacing w:val="5"/>
    </w:rPr>
  </w:style>
  <w:style w:type="paragraph" w:customStyle="1" w:styleId="224">
    <w:name w:val="TOC 标题3"/>
    <w:basedOn w:val="14"/>
    <w:next w:val="1"/>
    <w:semiHidden/>
    <w:unhideWhenUsed/>
    <w:qFormat/>
    <w:uiPriority w:val="39"/>
    <w:pPr>
      <w:outlineLvl w:val="9"/>
    </w:pPr>
  </w:style>
  <w:style w:type="paragraph" w:customStyle="1" w:styleId="225">
    <w:name w:val="简单回函地址"/>
    <w:basedOn w:val="1"/>
    <w:qFormat/>
    <w:uiPriority w:val="0"/>
    <w:pPr>
      <w:widowControl w:val="0"/>
      <w:spacing w:after="0" w:line="240" w:lineRule="auto"/>
      <w:jc w:val="both"/>
    </w:pPr>
    <w:rPr>
      <w:rFonts w:ascii="Calibri" w:hAnsi="Calibri" w:eastAsia="宋体" w:cs="Times New Roman"/>
      <w:kern w:val="2"/>
      <w:sz w:val="24"/>
      <w:szCs w:val="20"/>
    </w:rPr>
  </w:style>
  <w:style w:type="paragraph" w:customStyle="1" w:styleId="226">
    <w:name w:val="样式 表格表头样式"/>
    <w:basedOn w:val="1"/>
    <w:qFormat/>
    <w:uiPriority w:val="0"/>
    <w:pPr>
      <w:widowControl/>
      <w:tabs>
        <w:tab w:val="left" w:pos="360"/>
      </w:tabs>
      <w:adjustRightInd w:val="0"/>
      <w:snapToGrid w:val="0"/>
      <w:ind w:left="360" w:hanging="360"/>
      <w:jc w:val="center"/>
    </w:pPr>
    <w:rPr>
      <w:rFonts w:eastAsia="黑体" w:cs="宋体"/>
      <w:kern w:val="0"/>
      <w:sz w:val="24"/>
      <w:szCs w:val="20"/>
    </w:rPr>
  </w:style>
  <w:style w:type="paragraph" w:customStyle="1" w:styleId="227">
    <w:name w:val="表格文字"/>
    <w:basedOn w:val="1"/>
    <w:qFormat/>
    <w:uiPriority w:val="0"/>
    <w:pPr>
      <w:jc w:val="center"/>
    </w:pPr>
    <w:rPr>
      <w:kern w:val="44"/>
      <w:szCs w:val="20"/>
    </w:rPr>
  </w:style>
  <w:style w:type="paragraph" w:customStyle="1" w:styleId="228">
    <w:name w:val="表文字"/>
    <w:basedOn w:val="1"/>
    <w:qFormat/>
    <w:uiPriority w:val="0"/>
    <w:pPr>
      <w:overflowPunct w:val="0"/>
      <w:autoSpaceDE w:val="0"/>
      <w:autoSpaceDN w:val="0"/>
      <w:adjustRightInd w:val="0"/>
      <w:spacing w:line="240" w:lineRule="atLeast"/>
      <w:jc w:val="center"/>
    </w:pPr>
    <w:rPr>
      <w:kern w:val="0"/>
      <w:sz w:val="24"/>
      <w:szCs w:val="20"/>
    </w:rPr>
  </w:style>
  <w:style w:type="paragraph" w:customStyle="1" w:styleId="229">
    <w:name w:val="无间隔1"/>
    <w:qFormat/>
    <w:uiPriority w:val="0"/>
    <w:pPr>
      <w:widowControl w:val="0"/>
      <w:jc w:val="center"/>
      <w:outlineLvl w:val="7"/>
    </w:pPr>
    <w:rPr>
      <w:rFonts w:ascii="Times New Roman" w:hAnsi="Times New Roman" w:eastAsia="宋体" w:cs="Times New Roman"/>
      <w:kern w:val="2"/>
      <w:sz w:val="21"/>
      <w:szCs w:val="24"/>
      <w:lang w:val="en-US" w:eastAsia="zh-CN" w:bidi="ar-SA"/>
    </w:rPr>
  </w:style>
  <w:style w:type="paragraph" w:customStyle="1" w:styleId="230">
    <w:name w:val="正文 03"/>
    <w:basedOn w:val="1"/>
    <w:qFormat/>
    <w:uiPriority w:val="0"/>
    <w:pPr>
      <w:autoSpaceDE w:val="0"/>
      <w:autoSpaceDN w:val="0"/>
      <w:adjustRightInd w:val="0"/>
      <w:textAlignment w:val="baseline"/>
    </w:pPr>
    <w:rPr>
      <w:rFonts w:eastAsia="楷体_GB2312"/>
      <w:kern w:val="0"/>
      <w:sz w:val="24"/>
      <w:szCs w:val="20"/>
    </w:rPr>
  </w:style>
  <w:style w:type="paragraph" w:customStyle="1" w:styleId="231">
    <w:name w:val="正文+小四，黑色"/>
    <w:basedOn w:val="1"/>
    <w:qFormat/>
    <w:uiPriority w:val="0"/>
    <w:pPr>
      <w:snapToGrid w:val="0"/>
      <w:spacing w:line="300" w:lineRule="auto"/>
      <w:ind w:firstLine="492" w:firstLineChars="205"/>
    </w:pPr>
    <w:rPr>
      <w:rFonts w:ascii="宋体" w:hAnsi="宋体"/>
      <w:sz w:val="24"/>
      <w:szCs w:val="20"/>
    </w:rPr>
  </w:style>
  <w:style w:type="paragraph" w:customStyle="1" w:styleId="232">
    <w:name w:val="Table Paragraph"/>
    <w:basedOn w:val="1"/>
    <w:qFormat/>
    <w:uiPriority w:val="1"/>
    <w:rPr>
      <w:rFonts w:ascii="Noto Sans CJK JP Regular" w:hAnsi="Noto Sans CJK JP Regular" w:eastAsia="Noto Sans CJK JP Regular" w:cs="Noto Sans CJK JP Regular"/>
    </w:rPr>
  </w:style>
  <w:style w:type="paragraph" w:customStyle="1" w:styleId="233">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234">
    <w:name w:val="正文-lin"/>
    <w:basedOn w:val="1"/>
    <w:qFormat/>
    <w:uiPriority w:val="0"/>
    <w:pPr>
      <w:spacing w:line="360" w:lineRule="auto"/>
      <w:ind w:firstLine="1040" w:firstLineChars="200"/>
    </w:pPr>
    <w:rPr>
      <w:kern w:val="0"/>
      <w:sz w:val="24"/>
      <w:szCs w:val="20"/>
    </w:rPr>
  </w:style>
  <w:style w:type="paragraph" w:customStyle="1" w:styleId="235">
    <w:name w:val="报告表正文"/>
    <w:basedOn w:val="1"/>
    <w:qFormat/>
    <w:uiPriority w:val="0"/>
    <w:pPr>
      <w:adjustRightInd w:val="0"/>
      <w:spacing w:line="312" w:lineRule="auto"/>
      <w:ind w:left="113" w:right="113" w:firstLine="482"/>
      <w:jc w:val="left"/>
      <w:textAlignment w:val="baseline"/>
    </w:pPr>
    <w:rPr>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7" Type="http://schemas.openxmlformats.org/officeDocument/2006/relationships/fontTable" Target="fontTable.xml"/><Relationship Id="rId76" Type="http://schemas.openxmlformats.org/officeDocument/2006/relationships/customXml" Target="../customXml/item2.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44.png"/><Relationship Id="rId72" Type="http://schemas.openxmlformats.org/officeDocument/2006/relationships/image" Target="media/image43.jpeg"/><Relationship Id="rId71" Type="http://schemas.openxmlformats.org/officeDocument/2006/relationships/image" Target="media/image42.jpeg"/><Relationship Id="rId70" Type="http://schemas.openxmlformats.org/officeDocument/2006/relationships/image" Target="media/image41.jpeg"/><Relationship Id="rId7" Type="http://schemas.openxmlformats.org/officeDocument/2006/relationships/footer" Target="footer2.xml"/><Relationship Id="rId69" Type="http://schemas.openxmlformats.org/officeDocument/2006/relationships/image" Target="media/image40.jpeg"/><Relationship Id="rId68" Type="http://schemas.openxmlformats.org/officeDocument/2006/relationships/image" Target="media/image39.jpeg"/><Relationship Id="rId67" Type="http://schemas.openxmlformats.org/officeDocument/2006/relationships/image" Target="media/image38.jpeg"/><Relationship Id="rId66" Type="http://schemas.openxmlformats.org/officeDocument/2006/relationships/image" Target="media/image37.jpeg"/><Relationship Id="rId65" Type="http://schemas.openxmlformats.org/officeDocument/2006/relationships/image" Target="media/image36.jpeg"/><Relationship Id="rId64" Type="http://schemas.openxmlformats.org/officeDocument/2006/relationships/image" Target="media/image35.jpeg"/><Relationship Id="rId63" Type="http://schemas.openxmlformats.org/officeDocument/2006/relationships/image" Target="media/image34.jpeg"/><Relationship Id="rId62" Type="http://schemas.openxmlformats.org/officeDocument/2006/relationships/image" Target="media/image33.jpeg"/><Relationship Id="rId61" Type="http://schemas.openxmlformats.org/officeDocument/2006/relationships/image" Target="media/image32.jpeg"/><Relationship Id="rId60" Type="http://schemas.openxmlformats.org/officeDocument/2006/relationships/image" Target="media/image31.png"/><Relationship Id="rId6" Type="http://schemas.openxmlformats.org/officeDocument/2006/relationships/header" Target="header3.xml"/><Relationship Id="rId59" Type="http://schemas.openxmlformats.org/officeDocument/2006/relationships/image" Target="media/image30.png"/><Relationship Id="rId58" Type="http://schemas.openxmlformats.org/officeDocument/2006/relationships/image" Target="media/image29.jpeg"/><Relationship Id="rId57" Type="http://schemas.openxmlformats.org/officeDocument/2006/relationships/image" Target="media/image28.wmf"/><Relationship Id="rId56" Type="http://schemas.openxmlformats.org/officeDocument/2006/relationships/oleObject" Target="embeddings/oleObject14.bin"/><Relationship Id="rId55" Type="http://schemas.openxmlformats.org/officeDocument/2006/relationships/oleObject" Target="embeddings/oleObject13.bin"/><Relationship Id="rId54" Type="http://schemas.openxmlformats.org/officeDocument/2006/relationships/image" Target="media/image27.wmf"/><Relationship Id="rId53" Type="http://schemas.openxmlformats.org/officeDocument/2006/relationships/oleObject" Target="embeddings/oleObject12.bin"/><Relationship Id="rId52" Type="http://schemas.openxmlformats.org/officeDocument/2006/relationships/image" Target="media/image26.wmf"/><Relationship Id="rId51" Type="http://schemas.openxmlformats.org/officeDocument/2006/relationships/oleObject" Target="embeddings/oleObject11.bin"/><Relationship Id="rId50" Type="http://schemas.openxmlformats.org/officeDocument/2006/relationships/oleObject" Target="embeddings/oleObject10.bin"/><Relationship Id="rId5" Type="http://schemas.openxmlformats.org/officeDocument/2006/relationships/footer" Target="footer1.xml"/><Relationship Id="rId49" Type="http://schemas.openxmlformats.org/officeDocument/2006/relationships/image" Target="media/image25.wmf"/><Relationship Id="rId48" Type="http://schemas.openxmlformats.org/officeDocument/2006/relationships/oleObject" Target="embeddings/oleObject9.bin"/><Relationship Id="rId47" Type="http://schemas.openxmlformats.org/officeDocument/2006/relationships/image" Target="media/image24.wmf"/><Relationship Id="rId46" Type="http://schemas.openxmlformats.org/officeDocument/2006/relationships/oleObject" Target="embeddings/oleObject8.bin"/><Relationship Id="rId45" Type="http://schemas.openxmlformats.org/officeDocument/2006/relationships/image" Target="media/image23.wmf"/><Relationship Id="rId44" Type="http://schemas.openxmlformats.org/officeDocument/2006/relationships/oleObject" Target="embeddings/oleObject7.bin"/><Relationship Id="rId43" Type="http://schemas.openxmlformats.org/officeDocument/2006/relationships/image" Target="media/image22.wmf"/><Relationship Id="rId42" Type="http://schemas.openxmlformats.org/officeDocument/2006/relationships/oleObject" Target="embeddings/oleObject6.bin"/><Relationship Id="rId41" Type="http://schemas.openxmlformats.org/officeDocument/2006/relationships/image" Target="media/image21.wmf"/><Relationship Id="rId40" Type="http://schemas.openxmlformats.org/officeDocument/2006/relationships/oleObject" Target="embeddings/oleObject5.bin"/><Relationship Id="rId4" Type="http://schemas.openxmlformats.org/officeDocument/2006/relationships/header" Target="header2.xml"/><Relationship Id="rId39" Type="http://schemas.openxmlformats.org/officeDocument/2006/relationships/image" Target="media/image20.wmf"/><Relationship Id="rId38" Type="http://schemas.openxmlformats.org/officeDocument/2006/relationships/oleObject" Target="embeddings/oleObject4.bin"/><Relationship Id="rId37" Type="http://schemas.openxmlformats.org/officeDocument/2006/relationships/image" Target="media/image19.wmf"/><Relationship Id="rId36" Type="http://schemas.openxmlformats.org/officeDocument/2006/relationships/oleObject" Target="embeddings/oleObject3.bin"/><Relationship Id="rId35" Type="http://schemas.openxmlformats.org/officeDocument/2006/relationships/image" Target="media/image18.wmf"/><Relationship Id="rId34" Type="http://schemas.openxmlformats.org/officeDocument/2006/relationships/oleObject" Target="embeddings/oleObject2.bin"/><Relationship Id="rId33" Type="http://schemas.openxmlformats.org/officeDocument/2006/relationships/image" Target="media/image17.wmf"/><Relationship Id="rId32" Type="http://schemas.openxmlformats.org/officeDocument/2006/relationships/oleObject" Target="embeddings/oleObject1.bin"/><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86"/>
    <customShpInfo spid="_x0000_s2099"/>
    <customShpInfo spid="_x0000_s2100"/>
    <customShpInfo spid="_x0000_s2101"/>
    <customShpInfo spid="_x0000_s2102"/>
    <customShpInfo spid="_x0000_s2103"/>
    <customShpInfo spid="_x0000_s2104"/>
    <customShpInfo spid="_x0000_s2105"/>
    <customShpInfo spid="_x0000_s2107"/>
    <customShpInfo spid="_x0000_s2108"/>
    <customShpInfo spid="_x0000_s2109"/>
    <customShpInfo spid="_x0000_s2106"/>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78"/>
    <customShpInfo spid="_x0000_s2179"/>
    <customShpInfo spid="_x0000_s2180"/>
    <customShpInfo spid="_x0000_s2181"/>
    <customShpInfo spid="_x0000_s2182"/>
    <customShpInfo spid="_x0000_s2184"/>
    <customShpInfo spid="_x0000_s2185"/>
    <customShpInfo spid="_x0000_s2186"/>
    <customShpInfo spid="_x0000_s2183"/>
    <customShpInfo spid="_x0000_s2187"/>
    <customShpInfo spid="_x0000_s2188"/>
    <customShpInfo spid="_x0000_s2098"/>
    <customShpInfo spid="_x0000_s2153"/>
    <customShpInfo spid="_x0000_s2154"/>
    <customShpInfo spid="_x0000_s2155"/>
    <customShpInfo spid="_x0000_s2156"/>
    <customShpInfo spid="_x0000_s2157"/>
    <customShpInfo spid="_x0000_s2158"/>
    <customShpInfo spid="_x0000_s2159"/>
    <customShpInfo spid="_x0000_s2160"/>
    <customShpInfo spid="_x0000_s2161"/>
    <customShpInfo spid="_x0000_s2162"/>
    <customShpInfo spid="_x0000_s2163"/>
    <customShpInfo spid="_x0000_s2164"/>
    <customShpInfo spid="_x0000_s2165"/>
    <customShpInfo spid="_x0000_s2166"/>
    <customShpInfo spid="_x0000_s2167"/>
    <customShpInfo spid="_x0000_s2168"/>
    <customShpInfo spid="_x0000_s2169"/>
    <customShpInfo spid="_x0000_s2170"/>
    <customShpInfo spid="_x0000_s2171"/>
    <customShpInfo spid="_x0000_s2172"/>
    <customShpInfo spid="_x0000_s2173"/>
    <customShpInfo spid="_x0000_s2174"/>
    <customShpInfo spid="_x0000_s2175"/>
    <customShpInfo spid="_x0000_s2176"/>
    <customShpInfo spid="_x0000_s2152"/>
    <customShpInfo spid="_x0000_s2246"/>
    <customShpInfo spid="_x0000_s2245"/>
    <customShpInfo spid="_x0000_s2244"/>
    <customShpInfo spid="_x0000_s2243"/>
    <customShpInfo spid="_x0000_s2241"/>
    <customShpInfo spid="_x0000_s2240"/>
    <customShpInfo spid="_x0000_s2239"/>
    <customShpInfo spid="_x0000_s2238"/>
    <customShpInfo spid="_x0000_s2237"/>
    <customShpInfo spid="_x0000_s2236"/>
    <customShpInfo spid="_x0000_s2234"/>
    <customShpInfo spid="_x0000_s2233"/>
    <customShpInfo spid="_x0000_s2232"/>
    <customShpInfo spid="_x0000_s2231"/>
    <customShpInfo spid="_x0000_s2230"/>
    <customShpInfo spid="_x0000_s2229"/>
    <customShpInfo spid="_x0000_s2228"/>
    <customShpInfo spid="_x0000_s2222"/>
    <customShpInfo spid="_x0000_s2227"/>
    <customShpInfo spid="_x0000_s2226"/>
    <customShpInfo spid="_x0000_s2225"/>
    <customShpInfo spid="_x0000_s2224"/>
    <customShpInfo spid="_x0000_s2218"/>
    <customShpInfo spid="_x0000_s2208"/>
    <customShpInfo spid="_x0000_s2209"/>
    <customShpInfo spid="_x0000_s2210"/>
    <customShpInfo spid="_x0000_s2211"/>
    <customShpInfo spid="_x0000_s2212"/>
    <customShpInfo spid="_x0000_s2213"/>
    <customShpInfo spid="_x0000_s2214"/>
    <customShpInfo spid="_x0000_s2215"/>
    <customShpInfo spid="_x0000_s2216"/>
    <customShpInfo spid="_x0000_s2217"/>
    <customShpInfo spid="_x0000_s2219"/>
    <customShpInfo spid="_x0000_s2220"/>
    <customShpInfo spid="_x0000_s2221"/>
    <customShpInfo spid="_x0000_s2223"/>
    <customShpInfo spid="_x0000_s2194"/>
    <customShpInfo spid="_x0000_s2191"/>
    <customShpInfo spid="_x0000_s2192"/>
    <customShpInfo spid="_x0000_s2190"/>
    <customShpInfo spid="_x0000_s2193"/>
    <customShpInfo spid="_x0000_s2189"/>
    <customShpInfo spid="_x0000_s2133"/>
    <customShpInfo spid="_x0000_s2134"/>
    <customShpInfo spid="_x0000_s2258"/>
    <customShpInfo spid="_x0000_s2257"/>
    <customShpInfo spid="_x0000_s2251"/>
    <customShpInfo spid="_x0000_s2249"/>
    <customShpInfo spid="_x0000_s2253"/>
    <customShpInfo spid="_x0000_s2254"/>
    <customShpInfo spid="_x0000_s2250"/>
    <customShpInfo spid="_x0000_s2252"/>
    <customShpInfo spid="_x0000_s2248"/>
    <customShpInfo spid="_x0000_s2255"/>
    <customShpInfo spid="_x0000_s2136"/>
    <customShpInfo spid="_x0000_s2135"/>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20F0CB-533E-4A60-A1E3-020B7FF70BB6}">
  <ds:schemaRefs/>
</ds:datastoreItem>
</file>

<file path=docProps/app.xml><?xml version="1.0" encoding="utf-8"?>
<Properties xmlns="http://schemas.openxmlformats.org/officeDocument/2006/extended-properties" xmlns:vt="http://schemas.openxmlformats.org/officeDocument/2006/docPropsVTypes">
  <Template>Normal</Template>
  <Company>广州市瑞岛</Company>
  <Pages>94</Pages>
  <Words>35016</Words>
  <Characters>41752</Characters>
  <Lines>308</Lines>
  <Paragraphs>86</Paragraphs>
  <TotalTime>34</TotalTime>
  <ScaleCrop>false</ScaleCrop>
  <LinksUpToDate>false</LinksUpToDate>
  <CharactersWithSpaces>42655</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2019-06-29T07:59:00Z</dcterms:created>
  <dc:creator>lUNAR</dc:creator>
  <cp:lastModifiedBy>hpb</cp:lastModifiedBy>
  <cp:lastPrinted>2018-07-05T04:42:00Z</cp:lastPrinted>
  <dcterms:modified xsi:type="dcterms:W3CDTF">2019-12-11T09:02:49Z</dcterms:modified>
  <dc:title>建设项目环境影响报告表</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