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color w:val="auto"/>
        </w:rPr>
      </w:pPr>
      <w:r>
        <w:rPr>
          <w:color w:val="auto"/>
          <w:sz w:val="20"/>
        </w:rPr>
        <w:pict>
          <v:rect id="_x0000_s2050" o:spid="_x0000_s2050" o:spt="1" style="position:absolute;left:0pt;margin-left:333pt;margin-top:7.8pt;height:70.2pt;width:126pt;z-index:251658240;mso-width-relative:page;mso-height-relative:page;" coordsize="21600,21600">
            <v:path/>
            <v:fill focussize="0,0"/>
            <v:stroke/>
            <v:imagedata o:title=""/>
            <o:lock v:ext="edit"/>
            <v:textbox>
              <w:txbxContent>
                <w:p>
                  <w:pPr>
                    <w:pStyle w:val="55"/>
                    <w:topLinePunct w:val="0"/>
                    <w:autoSpaceDE/>
                    <w:autoSpaceDN/>
                    <w:adjustRightInd/>
                    <w:spacing w:before="120" w:beforeLines="50"/>
                    <w:textAlignment w:val="auto"/>
                    <w:rPr>
                      <w:rFonts w:ascii="楷体_GB2312" w:hAnsi="宋体" w:eastAsia="楷体_GB2312"/>
                      <w:kern w:val="2"/>
                      <w:position w:val="0"/>
                      <w:sz w:val="24"/>
                      <w:szCs w:val="24"/>
                    </w:rPr>
                  </w:pPr>
                  <w:r>
                    <w:rPr>
                      <w:rFonts w:hint="eastAsia" w:ascii="楷体_GB2312" w:hAnsi="Times New Roman" w:eastAsia="楷体_GB2312"/>
                      <w:kern w:val="2"/>
                      <w:position w:val="0"/>
                      <w:sz w:val="24"/>
                      <w:szCs w:val="24"/>
                    </w:rPr>
                    <w:t xml:space="preserve"> </w:t>
                  </w:r>
                  <w:r>
                    <w:rPr>
                      <w:rFonts w:hint="eastAsia" w:ascii="楷体_GB2312" w:hAnsi="宋体" w:eastAsia="楷体_GB2312"/>
                      <w:kern w:val="2"/>
                      <w:position w:val="0"/>
                      <w:sz w:val="24"/>
                      <w:szCs w:val="24"/>
                    </w:rPr>
                    <w:t>报告表编号</w:t>
                  </w:r>
                </w:p>
                <w:p>
                  <w:pPr>
                    <w:rPr>
                      <w:rFonts w:ascii="楷体_GB2312" w:hAnsi="宋体" w:eastAsia="楷体_GB2312"/>
                    </w:rPr>
                  </w:pPr>
                  <w:r>
                    <w:rPr>
                      <w:rFonts w:hint="eastAsia" w:ascii="楷体_GB2312" w:hAnsi="宋体" w:eastAsia="楷体_GB2312"/>
                    </w:rPr>
                    <w:t xml:space="preserve">       </w:t>
                  </w:r>
                  <w:r>
                    <w:rPr>
                      <w:rFonts w:hint="eastAsia" w:ascii="楷体_GB2312" w:hAnsi="宋体" w:eastAsia="楷体_GB2312"/>
                      <w:u w:val="single"/>
                    </w:rPr>
                    <w:t xml:space="preserve">         </w:t>
                  </w:r>
                  <w:r>
                    <w:rPr>
                      <w:rFonts w:hint="eastAsia" w:ascii="楷体_GB2312" w:hAnsi="宋体" w:eastAsia="楷体_GB2312"/>
                    </w:rPr>
                    <w:t xml:space="preserve"> 年</w:t>
                  </w:r>
                </w:p>
                <w:p>
                  <w:pPr>
                    <w:pStyle w:val="55"/>
                    <w:topLinePunct w:val="0"/>
                    <w:autoSpaceDE/>
                    <w:autoSpaceDN/>
                    <w:adjustRightInd/>
                    <w:jc w:val="both"/>
                    <w:textAlignment w:val="auto"/>
                    <w:rPr>
                      <w:rFonts w:ascii="楷体_GB2312" w:hAnsi="宋体" w:eastAsia="楷体_GB2312"/>
                      <w:kern w:val="2"/>
                      <w:position w:val="0"/>
                      <w:szCs w:val="24"/>
                      <w:u w:val="single"/>
                    </w:rPr>
                  </w:pPr>
                  <w:r>
                    <w:rPr>
                      <w:rFonts w:hint="eastAsia" w:ascii="楷体_GB2312" w:hAnsi="宋体" w:eastAsia="楷体_GB2312"/>
                      <w:kern w:val="2"/>
                      <w:position w:val="0"/>
                      <w:sz w:val="24"/>
                      <w:szCs w:val="24"/>
                    </w:rPr>
                    <w:t>编号：</w:t>
                  </w:r>
                  <w:r>
                    <w:rPr>
                      <w:rFonts w:hint="eastAsia" w:ascii="楷体_GB2312" w:hAnsi="宋体" w:eastAsia="楷体_GB2312"/>
                      <w:kern w:val="2"/>
                      <w:position w:val="0"/>
                      <w:sz w:val="24"/>
                      <w:szCs w:val="24"/>
                      <w:u w:val="single"/>
                    </w:rPr>
                    <w:t xml:space="preserve">         </w:t>
                  </w:r>
                  <w:r>
                    <w:rPr>
                      <w:rFonts w:hint="eastAsia" w:ascii="楷体_GB2312" w:hAnsi="宋体" w:eastAsia="楷体_GB2312"/>
                      <w:kern w:val="2"/>
                      <w:position w:val="0"/>
                      <w:sz w:val="24"/>
                      <w:szCs w:val="24"/>
                    </w:rPr>
                    <w:t xml:space="preserve"> </w:t>
                  </w:r>
                </w:p>
              </w:txbxContent>
            </v:textbox>
          </v:rect>
        </w:pict>
      </w:r>
    </w:p>
    <w:p>
      <w:pPr>
        <w:jc w:val="center"/>
        <w:rPr>
          <w:color w:val="auto"/>
        </w:rPr>
      </w:pPr>
    </w:p>
    <w:p>
      <w:pPr>
        <w:jc w:val="center"/>
        <w:rPr>
          <w:color w:val="auto"/>
        </w:rPr>
      </w:pPr>
    </w:p>
    <w:p>
      <w:pPr>
        <w:jc w:val="center"/>
        <w:rPr>
          <w:color w:val="auto"/>
        </w:rPr>
      </w:pPr>
    </w:p>
    <w:p>
      <w:pPr>
        <w:rPr>
          <w:color w:val="auto"/>
        </w:rPr>
      </w:pPr>
    </w:p>
    <w:p>
      <w:pPr>
        <w:spacing w:before="240" w:beforeLines="100" w:after="240" w:afterLines="100"/>
        <w:jc w:val="center"/>
        <w:rPr>
          <w:b/>
          <w:bCs/>
          <w:color w:val="auto"/>
          <w:spacing w:val="30"/>
          <w:sz w:val="72"/>
        </w:rPr>
      </w:pPr>
    </w:p>
    <w:p>
      <w:pPr>
        <w:spacing w:before="240" w:beforeLines="100" w:after="240" w:afterLines="100"/>
        <w:jc w:val="center"/>
        <w:rPr>
          <w:b/>
          <w:bCs/>
          <w:color w:val="auto"/>
          <w:spacing w:val="30"/>
          <w:sz w:val="72"/>
        </w:rPr>
      </w:pPr>
      <w:r>
        <w:rPr>
          <w:b/>
          <w:bCs/>
          <w:color w:val="auto"/>
          <w:spacing w:val="30"/>
          <w:sz w:val="72"/>
        </w:rPr>
        <w:t>建设项目环境影响报告表</w:t>
      </w:r>
    </w:p>
    <w:p>
      <w:pPr>
        <w:rPr>
          <w:b/>
          <w:color w:val="auto"/>
        </w:rPr>
      </w:pPr>
    </w:p>
    <w:p>
      <w:pPr>
        <w:rPr>
          <w:b/>
          <w:color w:val="auto"/>
        </w:rPr>
      </w:pPr>
    </w:p>
    <w:p>
      <w:pPr>
        <w:rPr>
          <w:b/>
          <w:color w:val="auto"/>
        </w:rPr>
      </w:pPr>
      <w:r>
        <w:rPr>
          <w:b/>
          <w:color w:val="auto"/>
        </w:rPr>
        <w:fldChar w:fldCharType="begin"/>
      </w:r>
      <w:r>
        <w:rPr>
          <w:b/>
          <w:color w:val="auto"/>
        </w:rPr>
        <w:instrText xml:space="preserve"> ASK name "请输入建设项目名称：" \* MERGEFORMAT </w:instrText>
      </w:r>
      <w:r>
        <w:rPr>
          <w:b/>
          <w:color w:val="auto"/>
        </w:rPr>
        <w:fldChar w:fldCharType="separate"/>
      </w:r>
      <w:r>
        <w:rPr>
          <w:b/>
          <w:color w:val="auto"/>
        </w:rPr>
        <w:t>留庆新横街住宅综合楼</w:t>
      </w:r>
      <w:r>
        <w:rPr>
          <w:b/>
          <w:color w:val="auto"/>
        </w:rPr>
        <w:fldChar w:fldCharType="end"/>
      </w:r>
      <w:r>
        <w:rPr>
          <w:b/>
          <w:color w:val="auto"/>
        </w:rPr>
        <w:fldChar w:fldCharType="begin"/>
      </w:r>
      <w:r>
        <w:rPr>
          <w:b/>
          <w:color w:val="auto"/>
        </w:rPr>
        <w:instrText xml:space="preserve"> ASK jshxzh "请输入建设性质(新建、改建或扩建)：" \* MERGEFORMAT </w:instrText>
      </w:r>
      <w:r>
        <w:rPr>
          <w:b/>
          <w:color w:val="auto"/>
        </w:rPr>
        <w:fldChar w:fldCharType="separate"/>
      </w:r>
      <w:bookmarkStart w:id="0" w:name="jshxzh"/>
      <w:r>
        <w:rPr>
          <w:b/>
          <w:color w:val="auto"/>
        </w:rPr>
        <w:t>新  建</w:t>
      </w:r>
      <w:bookmarkEnd w:id="0"/>
      <w:r>
        <w:rPr>
          <w:b/>
          <w:color w:val="auto"/>
        </w:rPr>
        <w:fldChar w:fldCharType="end"/>
      </w:r>
      <w:r>
        <w:rPr>
          <w:b/>
          <w:color w:val="auto"/>
        </w:rPr>
        <w:fldChar w:fldCharType="begin"/>
      </w:r>
      <w:r>
        <w:rPr>
          <w:b/>
          <w:color w:val="auto"/>
        </w:rPr>
        <w:instrText xml:space="preserve"> ASK address "请输入建设地点：" \* MERGEFORMAT </w:instrText>
      </w:r>
      <w:r>
        <w:rPr>
          <w:b/>
          <w:color w:val="auto"/>
        </w:rPr>
        <w:fldChar w:fldCharType="separate"/>
      </w:r>
      <w:r>
        <w:rPr>
          <w:b/>
          <w:color w:val="auto"/>
        </w:rPr>
        <w:t>荔湾区黄沙大道留庆新横街10-20号</w:t>
      </w:r>
      <w:r>
        <w:rPr>
          <w:b/>
          <w:color w:val="auto"/>
        </w:rPr>
        <w:fldChar w:fldCharType="end"/>
      </w:r>
      <w:r>
        <w:rPr>
          <w:b/>
          <w:color w:val="auto"/>
        </w:rPr>
        <w:fldChar w:fldCharType="begin"/>
      </w:r>
      <w:r>
        <w:rPr>
          <w:b/>
          <w:color w:val="auto"/>
        </w:rPr>
        <w:instrText xml:space="preserve"> ASK investor "请输入建设单位名称：" \* MERGEFORMAT </w:instrText>
      </w:r>
      <w:r>
        <w:rPr>
          <w:b/>
          <w:color w:val="auto"/>
        </w:rPr>
        <w:fldChar w:fldCharType="separate"/>
      </w:r>
      <w:r>
        <w:rPr>
          <w:b/>
          <w:color w:val="auto"/>
        </w:rPr>
        <w:t>广州羊城铁路集团羊城铁路总公司</w:t>
      </w:r>
      <w:r>
        <w:rPr>
          <w:b/>
          <w:color w:val="auto"/>
        </w:rPr>
        <w:br w:type="textWrapping"/>
      </w:r>
      <w:r>
        <w:rPr>
          <w:b/>
          <w:color w:val="auto"/>
        </w:rPr>
        <w:t>广州市南岭铁路地产开发有限公司</w:t>
      </w:r>
      <w:r>
        <w:rPr>
          <w:b/>
          <w:color w:val="auto"/>
        </w:rPr>
        <w:fldChar w:fldCharType="end"/>
      </w:r>
      <w:r>
        <w:rPr>
          <w:b/>
          <w:color w:val="auto"/>
        </w:rPr>
        <w:fldChar w:fldCharType="begin"/>
      </w:r>
      <w:r>
        <w:rPr>
          <w:b/>
          <w:color w:val="auto"/>
        </w:rPr>
        <w:instrText xml:space="preserve"> ASK investment "请输入总投资额：" \* MERGEFORMAT </w:instrText>
      </w:r>
      <w:r>
        <w:rPr>
          <w:b/>
          <w:color w:val="auto"/>
        </w:rPr>
        <w:fldChar w:fldCharType="separate"/>
      </w:r>
      <w:bookmarkStart w:id="1" w:name="investment"/>
      <w:r>
        <w:rPr>
          <w:b/>
          <w:color w:val="auto"/>
        </w:rPr>
        <w:t>约2000</w:t>
      </w:r>
      <w:bookmarkEnd w:id="1"/>
      <w:r>
        <w:rPr>
          <w:b/>
          <w:color w:val="auto"/>
        </w:rPr>
        <w:fldChar w:fldCharType="end"/>
      </w:r>
      <w:r>
        <w:rPr>
          <w:b/>
          <w:color w:val="auto"/>
        </w:rPr>
        <w:fldChar w:fldCharType="begin"/>
      </w:r>
      <w:r>
        <w:rPr>
          <w:b/>
          <w:color w:val="auto"/>
        </w:rPr>
        <w:instrText xml:space="preserve"> ASK chwsh "请输入停车场车位数量：" \* MERGEFORMAT </w:instrText>
      </w:r>
      <w:r>
        <w:rPr>
          <w:b/>
          <w:color w:val="auto"/>
        </w:rPr>
        <w:fldChar w:fldCharType="separate"/>
      </w:r>
      <w:bookmarkStart w:id="2" w:name="chwsh"/>
      <w:r>
        <w:rPr>
          <w:b/>
          <w:color w:val="auto"/>
        </w:rPr>
        <w:t>20</w:t>
      </w:r>
      <w:r>
        <w:rPr>
          <w:b/>
          <w:color w:val="auto"/>
        </w:rPr>
        <w:br w:type="textWrapping"/>
      </w:r>
      <w:bookmarkEnd w:id="2"/>
      <w:r>
        <w:rPr>
          <w:b/>
          <w:color w:val="auto"/>
        </w:rPr>
        <w:fldChar w:fldCharType="end"/>
      </w:r>
      <w:r>
        <w:rPr>
          <w:b/>
          <w:color w:val="auto"/>
        </w:rPr>
        <w:fldChar w:fldCharType="begin"/>
      </w:r>
      <w:r>
        <w:rPr>
          <w:b/>
          <w:color w:val="auto"/>
        </w:rPr>
        <w:instrText xml:space="preserve"> ASK landarea "请输入项目占地面积：" \* MERGEFORMAT </w:instrText>
      </w:r>
      <w:r>
        <w:rPr>
          <w:b/>
          <w:color w:val="auto"/>
        </w:rPr>
        <w:fldChar w:fldCharType="separate"/>
      </w:r>
      <w:bookmarkStart w:id="3" w:name="landarea"/>
      <w:r>
        <w:rPr>
          <w:b/>
          <w:color w:val="auto"/>
        </w:rPr>
        <w:t>2491</w:t>
      </w:r>
      <w:bookmarkEnd w:id="3"/>
      <w:r>
        <w:rPr>
          <w:b/>
          <w:color w:val="auto"/>
        </w:rPr>
        <w:fldChar w:fldCharType="end"/>
      </w:r>
      <w:r>
        <w:rPr>
          <w:b/>
          <w:color w:val="auto"/>
        </w:rPr>
        <w:fldChar w:fldCharType="begin"/>
      </w:r>
      <w:r>
        <w:rPr>
          <w:b/>
          <w:color w:val="auto"/>
        </w:rPr>
        <w:instrText xml:space="preserve"> ASK builtuparea "请输入建筑面积（m</w:instrText>
      </w:r>
      <w:r>
        <w:rPr>
          <w:b/>
          <w:color w:val="auto"/>
          <w:vertAlign w:val="superscript"/>
        </w:rPr>
        <w:instrText xml:space="preserve">2</w:instrText>
      </w:r>
      <w:r>
        <w:rPr>
          <w:b/>
          <w:color w:val="auto"/>
        </w:rPr>
        <w:instrText xml:space="preserve">）：" \* MERGEFORMAT </w:instrText>
      </w:r>
      <w:r>
        <w:rPr>
          <w:b/>
          <w:color w:val="auto"/>
        </w:rPr>
        <w:fldChar w:fldCharType="separate"/>
      </w:r>
      <w:bookmarkStart w:id="4" w:name="builtuparea"/>
      <w:r>
        <w:rPr>
          <w:b/>
          <w:color w:val="auto"/>
        </w:rPr>
        <w:t>11585</w:t>
      </w:r>
      <w:bookmarkEnd w:id="4"/>
      <w:r>
        <w:rPr>
          <w:b/>
          <w:color w:val="auto"/>
        </w:rPr>
        <w:fldChar w:fldCharType="end"/>
      </w:r>
      <w:r>
        <w:rPr>
          <w:b/>
          <w:color w:val="auto"/>
        </w:rPr>
        <w:fldChar w:fldCharType="begin"/>
      </w:r>
      <w:r>
        <w:rPr>
          <w:b/>
          <w:color w:val="auto"/>
        </w:rPr>
        <w:instrText xml:space="preserve"> ASK basearea "请输入地下室面积（m</w:instrText>
      </w:r>
      <w:r>
        <w:rPr>
          <w:b/>
          <w:color w:val="auto"/>
          <w:vertAlign w:val="superscript"/>
        </w:rPr>
        <w:instrText xml:space="preserve">2</w:instrText>
      </w:r>
      <w:r>
        <w:rPr>
          <w:b/>
          <w:color w:val="auto"/>
        </w:rPr>
        <w:instrText xml:space="preserve">）：" \* MERGEFORMAT </w:instrText>
      </w:r>
      <w:r>
        <w:rPr>
          <w:b/>
          <w:color w:val="auto"/>
        </w:rPr>
        <w:fldChar w:fldCharType="separate"/>
      </w:r>
      <w:bookmarkStart w:id="5" w:name="basearea"/>
      <w:r>
        <w:rPr>
          <w:b/>
          <w:color w:val="auto"/>
        </w:rPr>
        <w:t>987</w:t>
      </w:r>
      <w:bookmarkEnd w:id="5"/>
      <w:r>
        <w:rPr>
          <w:b/>
          <w:color w:val="auto"/>
        </w:rPr>
        <w:fldChar w:fldCharType="end"/>
      </w:r>
      <w:r>
        <w:rPr>
          <w:b/>
          <w:color w:val="auto"/>
        </w:rPr>
        <w:fldChar w:fldCharType="begin"/>
      </w:r>
      <w:r>
        <w:rPr>
          <w:b/>
          <w:color w:val="auto"/>
        </w:rPr>
        <w:instrText xml:space="preserve"> ASK marketarea "请输入商场、办公等配套设施的建筑面积（m</w:instrText>
      </w:r>
      <w:r>
        <w:rPr>
          <w:b/>
          <w:color w:val="auto"/>
          <w:vertAlign w:val="superscript"/>
        </w:rPr>
        <w:instrText xml:space="preserve">2</w:instrText>
      </w:r>
      <w:r>
        <w:rPr>
          <w:b/>
          <w:color w:val="auto"/>
        </w:rPr>
        <w:instrText xml:space="preserve">）：" \* MERGEFORMAT </w:instrText>
      </w:r>
      <w:r>
        <w:rPr>
          <w:b/>
          <w:color w:val="auto"/>
        </w:rPr>
        <w:fldChar w:fldCharType="separate"/>
      </w:r>
      <w:bookmarkStart w:id="6" w:name="marketarea"/>
      <w:r>
        <w:rPr>
          <w:b/>
          <w:color w:val="auto"/>
        </w:rPr>
        <w:t>1024</w:t>
      </w:r>
      <w:bookmarkEnd w:id="6"/>
      <w:r>
        <w:rPr>
          <w:b/>
          <w:color w:val="auto"/>
        </w:rPr>
        <w:fldChar w:fldCharType="end"/>
      </w:r>
      <w:r>
        <w:rPr>
          <w:b/>
          <w:color w:val="auto"/>
        </w:rPr>
        <w:fldChar w:fldCharType="begin"/>
      </w:r>
      <w:r>
        <w:rPr>
          <w:b/>
          <w:color w:val="auto"/>
        </w:rPr>
        <w:instrText xml:space="preserve"> ASK zzhsh "请输入住宅总套数：" \* MERGEFORMAT </w:instrText>
      </w:r>
      <w:r>
        <w:rPr>
          <w:b/>
          <w:color w:val="auto"/>
        </w:rPr>
        <w:fldChar w:fldCharType="separate"/>
      </w:r>
      <w:bookmarkStart w:id="7" w:name="zzhsh"/>
      <w:r>
        <w:rPr>
          <w:b/>
          <w:color w:val="auto"/>
        </w:rPr>
        <w:t>98</w:t>
      </w:r>
      <w:bookmarkEnd w:id="7"/>
      <w:r>
        <w:rPr>
          <w:b/>
          <w:color w:val="auto"/>
        </w:rPr>
        <w:fldChar w:fldCharType="end"/>
      </w:r>
      <w:r>
        <w:rPr>
          <w:b/>
          <w:color w:val="auto"/>
        </w:rPr>
        <w:fldChar w:fldCharType="begin"/>
      </w:r>
      <w:r>
        <w:rPr>
          <w:b/>
          <w:color w:val="auto"/>
        </w:rPr>
        <w:instrText xml:space="preserve"> ASK rjl "请输入建设项目容积率：" \* MERGEFORMAT </w:instrText>
      </w:r>
      <w:r>
        <w:rPr>
          <w:b/>
          <w:color w:val="auto"/>
        </w:rPr>
        <w:fldChar w:fldCharType="separate"/>
      </w:r>
      <w:bookmarkStart w:id="8" w:name="rjl"/>
      <w:r>
        <w:rPr>
          <w:b/>
          <w:color w:val="auto"/>
        </w:rPr>
        <w:t>5.2</w:t>
      </w:r>
      <w:bookmarkEnd w:id="8"/>
      <w:r>
        <w:rPr>
          <w:b/>
          <w:color w:val="auto"/>
        </w:rPr>
        <w:fldChar w:fldCharType="end"/>
      </w:r>
      <w:r>
        <w:rPr>
          <w:b/>
          <w:color w:val="auto"/>
        </w:rPr>
        <w:fldChar w:fldCharType="begin"/>
      </w:r>
      <w:r>
        <w:rPr>
          <w:b/>
          <w:color w:val="auto"/>
        </w:rPr>
        <w:instrText xml:space="preserve"> ASK jzhmd "请输入建设项目建设密度：" \* MERGEFORMAT </w:instrText>
      </w:r>
      <w:r>
        <w:rPr>
          <w:b/>
          <w:color w:val="auto"/>
        </w:rPr>
        <w:fldChar w:fldCharType="separate"/>
      </w:r>
      <w:bookmarkStart w:id="9" w:name="jzhmd"/>
      <w:r>
        <w:rPr>
          <w:b/>
          <w:color w:val="auto"/>
        </w:rPr>
        <w:t>51.8</w:t>
      </w:r>
      <w:bookmarkEnd w:id="9"/>
      <w:r>
        <w:rPr>
          <w:b/>
          <w:color w:val="auto"/>
        </w:rPr>
        <w:fldChar w:fldCharType="end"/>
      </w:r>
      <w:r>
        <w:rPr>
          <w:b/>
          <w:color w:val="auto"/>
        </w:rPr>
        <w:fldChar w:fldCharType="begin"/>
      </w:r>
      <w:r>
        <w:rPr>
          <w:b/>
          <w:color w:val="auto"/>
        </w:rPr>
        <w:instrText xml:space="preserve"> ASK lhl "请输入建设项目绿化率：" \* MERGEFORMAT </w:instrText>
      </w:r>
      <w:r>
        <w:rPr>
          <w:b/>
          <w:color w:val="auto"/>
        </w:rPr>
        <w:fldChar w:fldCharType="separate"/>
      </w:r>
      <w:bookmarkStart w:id="10" w:name="lhl"/>
      <w:r>
        <w:rPr>
          <w:b/>
          <w:color w:val="auto"/>
        </w:rPr>
        <w:t>25</w:t>
      </w:r>
      <w:bookmarkEnd w:id="10"/>
      <w:r>
        <w:rPr>
          <w:b/>
          <w:color w:val="auto"/>
        </w:rPr>
        <w:fldChar w:fldCharType="end"/>
      </w:r>
      <w:r>
        <w:rPr>
          <w:b/>
          <w:color w:val="auto"/>
        </w:rPr>
        <w:fldChar w:fldCharType="begin"/>
      </w:r>
      <w:r>
        <w:rPr>
          <w:b/>
          <w:color w:val="auto"/>
        </w:rPr>
        <w:instrText xml:space="preserve"> ASK wushch "请输入城市污水厂名称（如大坦沙）：" \* MERGEFORMAT </w:instrText>
      </w:r>
      <w:r>
        <w:rPr>
          <w:b/>
          <w:color w:val="auto"/>
        </w:rPr>
        <w:fldChar w:fldCharType="separate"/>
      </w:r>
      <w:bookmarkStart w:id="11" w:name="wushch"/>
      <w:r>
        <w:rPr>
          <w:b/>
          <w:color w:val="auto"/>
        </w:rPr>
        <w:t>大坦沙</w:t>
      </w:r>
      <w:bookmarkEnd w:id="11"/>
      <w:r>
        <w:rPr>
          <w:b/>
          <w:color w:val="auto"/>
        </w:rPr>
        <w:fldChar w:fldCharType="end"/>
      </w:r>
      <w:r>
        <w:rPr>
          <w:b/>
          <w:color w:val="auto"/>
        </w:rPr>
        <w:fldChar w:fldCharType="begin"/>
      </w:r>
      <w:r>
        <w:rPr>
          <w:b/>
          <w:color w:val="auto"/>
        </w:rPr>
        <w:instrText xml:space="preserve"> ASK hangdao "请输入受纳污水的航道名称：" \* MERGEFORMAT </w:instrText>
      </w:r>
      <w:r>
        <w:rPr>
          <w:b/>
          <w:color w:val="auto"/>
        </w:rPr>
        <w:fldChar w:fldCharType="separate"/>
      </w:r>
      <w:r>
        <w:rPr>
          <w:b/>
          <w:color w:val="auto"/>
        </w:rPr>
        <w:t>西航道</w:t>
      </w:r>
      <w:r>
        <w:rPr>
          <w:b/>
          <w:color w:val="auto"/>
        </w:rPr>
        <w:fldChar w:fldCharType="end"/>
      </w:r>
      <w:r>
        <w:rPr>
          <w:b/>
          <w:color w:val="auto"/>
        </w:rPr>
        <w:fldChar w:fldCharType="begin"/>
      </w:r>
      <w:r>
        <w:rPr>
          <w:b/>
          <w:color w:val="auto"/>
        </w:rPr>
        <w:instrText xml:space="preserve"> ASK pzhdw "请输入建设批准单位：" \* MERGEFORMAT </w:instrText>
      </w:r>
      <w:r>
        <w:rPr>
          <w:b/>
          <w:color w:val="auto"/>
        </w:rPr>
        <w:fldChar w:fldCharType="separate"/>
      </w:r>
      <w:bookmarkStart w:id="12" w:name="pzhdw"/>
      <w:r>
        <w:rPr>
          <w:b/>
          <w:color w:val="auto"/>
        </w:rPr>
        <w:t>广州市城市规划局</w:t>
      </w:r>
      <w:bookmarkEnd w:id="12"/>
      <w:r>
        <w:rPr>
          <w:b/>
          <w:color w:val="auto"/>
        </w:rPr>
        <w:fldChar w:fldCharType="end"/>
      </w:r>
      <w:r>
        <w:rPr>
          <w:b/>
          <w:color w:val="auto"/>
        </w:rPr>
        <w:fldChar w:fldCharType="begin"/>
      </w:r>
      <w:r>
        <w:rPr>
          <w:b/>
          <w:color w:val="auto"/>
        </w:rPr>
        <w:instrText xml:space="preserve"> ASK jshyj "请输入建设依据：" \* MERGEFORMAT </w:instrText>
      </w:r>
      <w:r>
        <w:rPr>
          <w:b/>
          <w:color w:val="auto"/>
        </w:rPr>
        <w:fldChar w:fldCharType="separate"/>
      </w:r>
      <w:bookmarkStart w:id="13" w:name="yshyj"/>
      <w:bookmarkStart w:id="14" w:name="jshyj"/>
      <w:r>
        <w:rPr>
          <w:b/>
          <w:color w:val="auto"/>
        </w:rPr>
        <w:t>穗规建发字（2000）第454号</w:t>
      </w:r>
      <w:bookmarkEnd w:id="13"/>
      <w:bookmarkEnd w:id="14"/>
      <w:r>
        <w:rPr>
          <w:b/>
          <w:color w:val="auto"/>
        </w:rPr>
        <w:fldChar w:fldCharType="end"/>
      </w:r>
      <w:r>
        <w:rPr>
          <w:b/>
          <w:color w:val="auto"/>
        </w:rPr>
        <w:fldChar w:fldCharType="begin"/>
      </w:r>
      <w:r>
        <w:rPr>
          <w:b/>
          <w:color w:val="auto"/>
        </w:rPr>
        <w:instrText xml:space="preserve"> ASK setpower "请输入柴油发电机功率（kW）：" \* MERGEFORMAT </w:instrText>
      </w:r>
      <w:r>
        <w:rPr>
          <w:b/>
          <w:color w:val="auto"/>
        </w:rPr>
        <w:fldChar w:fldCharType="separate"/>
      </w:r>
      <w:bookmarkStart w:id="15" w:name="setpower"/>
      <w:r>
        <w:rPr>
          <w:b/>
          <w:color w:val="auto"/>
        </w:rPr>
        <w:t>240</w:t>
      </w:r>
      <w:bookmarkEnd w:id="15"/>
      <w:r>
        <w:rPr>
          <w:b/>
          <w:color w:val="auto"/>
        </w:rPr>
        <w:fldChar w:fldCharType="end"/>
      </w:r>
    </w:p>
    <w:p>
      <w:pPr>
        <w:rPr>
          <w:color w:val="auto"/>
        </w:rPr>
      </w:pPr>
      <w:r>
        <w:rPr>
          <w:color w:val="auto"/>
        </w:rPr>
        <w:t xml:space="preserve"> </w:t>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spacing w:line="300" w:lineRule="auto"/>
        <w:jc w:val="center"/>
        <w:rPr>
          <w:rFonts w:hint="eastAsia" w:eastAsia="宋体"/>
          <w:b/>
          <w:bCs/>
          <w:color w:val="auto"/>
          <w:spacing w:val="20"/>
          <w:sz w:val="36"/>
          <w:szCs w:val="36"/>
          <w:lang w:eastAsia="zh-CN"/>
        </w:rPr>
      </w:pPr>
      <w:r>
        <w:rPr>
          <w:b/>
          <w:bCs/>
          <w:color w:val="auto"/>
          <w:spacing w:val="20"/>
          <w:sz w:val="36"/>
          <w:szCs w:val="36"/>
        </w:rPr>
        <w:t xml:space="preserve">项目名称： </w:t>
      </w:r>
      <w:r>
        <w:rPr>
          <w:b/>
          <w:bCs/>
          <w:color w:val="auto"/>
          <w:spacing w:val="20"/>
          <w:sz w:val="36"/>
          <w:szCs w:val="36"/>
          <w:u w:val="single"/>
        </w:rPr>
        <w:t xml:space="preserve"> </w:t>
      </w:r>
      <w:r>
        <w:rPr>
          <w:rFonts w:hint="eastAsia"/>
          <w:b/>
          <w:bCs/>
          <w:color w:val="auto"/>
          <w:sz w:val="36"/>
          <w:szCs w:val="36"/>
          <w:u w:val="single"/>
          <w:lang w:eastAsia="zh-CN"/>
        </w:rPr>
        <w:t>开平市合丰管业科技有限公司年生产加工高压软管500吨建设项目</w:t>
      </w:r>
    </w:p>
    <w:p>
      <w:pPr>
        <w:spacing w:line="300" w:lineRule="auto"/>
        <w:jc w:val="center"/>
        <w:rPr>
          <w:b/>
          <w:bCs/>
          <w:color w:val="auto"/>
          <w:spacing w:val="20"/>
          <w:sz w:val="36"/>
          <w:szCs w:val="36"/>
        </w:rPr>
      </w:pPr>
    </w:p>
    <w:p>
      <w:pPr>
        <w:spacing w:line="300" w:lineRule="auto"/>
        <w:jc w:val="center"/>
        <w:rPr>
          <w:b/>
          <w:bCs/>
          <w:color w:val="auto"/>
          <w:sz w:val="36"/>
          <w:u w:val="single"/>
        </w:rPr>
      </w:pPr>
      <w:r>
        <w:rPr>
          <w:b/>
          <w:bCs/>
          <w:color w:val="auto"/>
          <w:spacing w:val="-10"/>
          <w:sz w:val="36"/>
          <w:szCs w:val="36"/>
        </w:rPr>
        <w:t>建设单位（盖章）</w:t>
      </w:r>
      <w:r>
        <w:rPr>
          <w:b/>
          <w:bCs/>
          <w:color w:val="auto"/>
          <w:spacing w:val="20"/>
          <w:sz w:val="36"/>
          <w:szCs w:val="36"/>
        </w:rPr>
        <w:t>：</w:t>
      </w:r>
      <w:r>
        <w:rPr>
          <w:rFonts w:hint="eastAsia"/>
          <w:b/>
          <w:bCs/>
          <w:color w:val="auto"/>
          <w:sz w:val="36"/>
          <w:szCs w:val="36"/>
          <w:u w:val="single"/>
        </w:rPr>
        <w:t xml:space="preserve"> 开平市合丰管业科技有限公司</w:t>
      </w:r>
    </w:p>
    <w:p>
      <w:pPr>
        <w:spacing w:line="300" w:lineRule="auto"/>
        <w:jc w:val="center"/>
        <w:rPr>
          <w:b/>
          <w:color w:val="auto"/>
        </w:rPr>
      </w:pPr>
    </w:p>
    <w:p>
      <w:pPr>
        <w:rPr>
          <w:b/>
          <w:color w:val="auto"/>
        </w:rPr>
      </w:pPr>
    </w:p>
    <w:p>
      <w:pPr>
        <w:rPr>
          <w:b/>
          <w:color w:val="auto"/>
        </w:rPr>
      </w:pPr>
    </w:p>
    <w:p>
      <w:pPr>
        <w:rPr>
          <w:b/>
          <w:color w:val="auto"/>
        </w:rPr>
      </w:pPr>
    </w:p>
    <w:p>
      <w:pPr>
        <w:rPr>
          <w:b/>
          <w:color w:val="auto"/>
        </w:rPr>
      </w:pPr>
    </w:p>
    <w:p>
      <w:pPr>
        <w:rPr>
          <w:b/>
          <w:color w:val="auto"/>
        </w:rPr>
      </w:pPr>
    </w:p>
    <w:p>
      <w:pPr>
        <w:rPr>
          <w:b/>
          <w:color w:val="auto"/>
        </w:rPr>
      </w:pPr>
    </w:p>
    <w:p>
      <w:pPr>
        <w:spacing w:line="300" w:lineRule="auto"/>
        <w:jc w:val="center"/>
        <w:rPr>
          <w:color w:val="auto"/>
          <w:sz w:val="30"/>
        </w:rPr>
      </w:pPr>
      <w:r>
        <w:rPr>
          <w:color w:val="auto"/>
          <w:sz w:val="30"/>
        </w:rPr>
        <w:t>编制日期：201</w:t>
      </w:r>
      <w:r>
        <w:rPr>
          <w:rFonts w:hint="eastAsia"/>
          <w:color w:val="auto"/>
          <w:sz w:val="30"/>
        </w:rPr>
        <w:t>9</w:t>
      </w:r>
      <w:r>
        <w:rPr>
          <w:color w:val="auto"/>
          <w:sz w:val="30"/>
        </w:rPr>
        <w:t>年</w:t>
      </w:r>
      <w:r>
        <w:rPr>
          <w:rFonts w:hint="eastAsia"/>
          <w:color w:val="auto"/>
          <w:sz w:val="30"/>
        </w:rPr>
        <w:t>7</w:t>
      </w:r>
      <w:r>
        <w:rPr>
          <w:color w:val="auto"/>
          <w:sz w:val="30"/>
        </w:rPr>
        <w:t>月</w:t>
      </w:r>
    </w:p>
    <w:p>
      <w:pPr>
        <w:jc w:val="center"/>
        <w:rPr>
          <w:color w:val="auto"/>
          <w:sz w:val="30"/>
        </w:rPr>
      </w:pPr>
      <w:r>
        <w:rPr>
          <w:color w:val="auto"/>
          <w:sz w:val="30"/>
        </w:rPr>
        <w:t>国家</w:t>
      </w:r>
      <w:r>
        <w:rPr>
          <w:rFonts w:hint="eastAsia"/>
          <w:color w:val="auto"/>
          <w:sz w:val="30"/>
        </w:rPr>
        <w:t>生态环境部</w:t>
      </w:r>
      <w:r>
        <w:rPr>
          <w:color w:val="auto"/>
          <w:sz w:val="30"/>
        </w:rPr>
        <w:t>制</w:t>
      </w:r>
    </w:p>
    <w:p>
      <w:pPr>
        <w:spacing w:line="300" w:lineRule="auto"/>
        <w:rPr>
          <w:color w:val="auto"/>
          <w:sz w:val="36"/>
        </w:rPr>
        <w:sectPr>
          <w:headerReference r:id="rId4" w:type="first"/>
          <w:footerReference r:id="rId6" w:type="first"/>
          <w:headerReference r:id="rId3" w:type="default"/>
          <w:footerReference r:id="rId5" w:type="even"/>
          <w:pgSz w:w="11907" w:h="16840"/>
          <w:pgMar w:top="1531" w:right="1134" w:bottom="1134" w:left="1418" w:header="0" w:footer="1055" w:gutter="0"/>
          <w:pgNumType w:start="0"/>
          <w:cols w:space="720" w:num="1"/>
          <w:docGrid w:linePitch="326" w:charSpace="-4916"/>
        </w:sectPr>
      </w:pPr>
    </w:p>
    <w:p>
      <w:pPr>
        <w:pStyle w:val="2"/>
        <w:rPr>
          <w:color w:val="auto"/>
        </w:rPr>
        <w:sectPr>
          <w:pgSz w:w="11907" w:h="16840"/>
          <w:pgMar w:top="1531" w:right="1134" w:bottom="1134" w:left="1418" w:header="0" w:footer="1055" w:gutter="0"/>
          <w:pgNumType w:start="0"/>
          <w:cols w:space="720" w:num="1"/>
          <w:docGrid w:linePitch="326" w:charSpace="-4916"/>
        </w:sectPr>
      </w:pPr>
      <w:r>
        <w:rPr>
          <w:color w:val="auto"/>
        </w:rPr>
        <w:drawing>
          <wp:inline distT="0" distB="0" distL="114300" distR="114300">
            <wp:extent cx="5912485" cy="8522970"/>
            <wp:effectExtent l="0" t="0" r="12065" b="11430"/>
            <wp:docPr id="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7"/>
                    <pic:cNvPicPr>
                      <a:picLocks noChangeAspect="1"/>
                    </pic:cNvPicPr>
                  </pic:nvPicPr>
                  <pic:blipFill>
                    <a:blip r:embed="rId32"/>
                    <a:stretch>
                      <a:fillRect/>
                    </a:stretch>
                  </pic:blipFill>
                  <pic:spPr>
                    <a:xfrm>
                      <a:off x="0" y="0"/>
                      <a:ext cx="5912485" cy="8522970"/>
                    </a:xfrm>
                    <a:prstGeom prst="rect">
                      <a:avLst/>
                    </a:prstGeom>
                    <a:noFill/>
                    <a:ln>
                      <a:noFill/>
                    </a:ln>
                  </pic:spPr>
                </pic:pic>
              </a:graphicData>
            </a:graphic>
          </wp:inline>
        </w:drawing>
      </w:r>
    </w:p>
    <w:p>
      <w:pPr>
        <w:pStyle w:val="4"/>
        <w:ind w:firstLine="0"/>
        <w:rPr>
          <w:color w:val="auto"/>
        </w:rPr>
        <w:sectPr>
          <w:pgSz w:w="11907" w:h="16840"/>
          <w:pgMar w:top="1531" w:right="1134" w:bottom="1134" w:left="1418" w:header="0" w:footer="1055" w:gutter="0"/>
          <w:pgNumType w:start="0"/>
          <w:cols w:space="720" w:num="1"/>
          <w:docGrid w:linePitch="326" w:charSpace="-4916"/>
        </w:sectPr>
      </w:pPr>
      <w:r>
        <w:rPr>
          <w:color w:val="auto"/>
        </w:rPr>
        <w:drawing>
          <wp:inline distT="0" distB="0" distL="114300" distR="114300">
            <wp:extent cx="5912485" cy="8399145"/>
            <wp:effectExtent l="0" t="0" r="12065" b="1905"/>
            <wp:docPr id="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8"/>
                    <pic:cNvPicPr>
                      <a:picLocks noChangeAspect="1"/>
                    </pic:cNvPicPr>
                  </pic:nvPicPr>
                  <pic:blipFill>
                    <a:blip r:embed="rId33"/>
                    <a:stretch>
                      <a:fillRect/>
                    </a:stretch>
                  </pic:blipFill>
                  <pic:spPr>
                    <a:xfrm>
                      <a:off x="0" y="0"/>
                      <a:ext cx="5912485" cy="8399145"/>
                    </a:xfrm>
                    <a:prstGeom prst="rect">
                      <a:avLst/>
                    </a:prstGeom>
                    <a:noFill/>
                    <a:ln>
                      <a:noFill/>
                    </a:ln>
                  </pic:spPr>
                </pic:pic>
              </a:graphicData>
            </a:graphic>
          </wp:inline>
        </w:drawing>
      </w:r>
    </w:p>
    <w:p>
      <w:pPr>
        <w:pStyle w:val="5"/>
        <w:rPr>
          <w:color w:val="auto"/>
        </w:rPr>
        <w:sectPr>
          <w:pgSz w:w="11907" w:h="16840"/>
          <w:pgMar w:top="1531" w:right="1134" w:bottom="1134" w:left="1418" w:header="0" w:footer="1055" w:gutter="0"/>
          <w:pgNumType w:start="0"/>
          <w:cols w:space="720" w:num="1"/>
          <w:docGrid w:linePitch="326" w:charSpace="-4916"/>
        </w:sectPr>
      </w:pPr>
      <w:r>
        <w:rPr>
          <w:color w:val="auto"/>
        </w:rPr>
        <w:drawing>
          <wp:inline distT="0" distB="0" distL="114300" distR="114300">
            <wp:extent cx="5912485" cy="7590790"/>
            <wp:effectExtent l="0" t="0" r="12065" b="10160"/>
            <wp:docPr id="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7"/>
                    <pic:cNvPicPr>
                      <a:picLocks noChangeAspect="1"/>
                    </pic:cNvPicPr>
                  </pic:nvPicPr>
                  <pic:blipFill>
                    <a:blip r:embed="rId34"/>
                    <a:stretch>
                      <a:fillRect/>
                    </a:stretch>
                  </pic:blipFill>
                  <pic:spPr>
                    <a:xfrm>
                      <a:off x="0" y="0"/>
                      <a:ext cx="5912485" cy="7590790"/>
                    </a:xfrm>
                    <a:prstGeom prst="rect">
                      <a:avLst/>
                    </a:prstGeom>
                    <a:noFill/>
                    <a:ln>
                      <a:noFill/>
                    </a:ln>
                  </pic:spPr>
                </pic:pic>
              </a:graphicData>
            </a:graphic>
          </wp:inline>
        </w:drawing>
      </w:r>
    </w:p>
    <w:p>
      <w:pPr>
        <w:pStyle w:val="5"/>
        <w:rPr>
          <w:color w:val="auto"/>
        </w:rPr>
        <w:sectPr>
          <w:pgSz w:w="11907" w:h="16840"/>
          <w:pgMar w:top="1531" w:right="1134" w:bottom="1134" w:left="1418" w:header="0" w:footer="1055" w:gutter="0"/>
          <w:pgNumType w:start="0"/>
          <w:cols w:space="720" w:num="1"/>
          <w:docGrid w:linePitch="326" w:charSpace="-4916"/>
        </w:sectPr>
      </w:pPr>
      <w:r>
        <w:rPr>
          <w:color w:val="auto"/>
        </w:rPr>
        <w:drawing>
          <wp:inline distT="0" distB="0" distL="114300" distR="114300">
            <wp:extent cx="5912485" cy="8009255"/>
            <wp:effectExtent l="0" t="0" r="12065" b="10795"/>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35"/>
                    <a:stretch>
                      <a:fillRect/>
                    </a:stretch>
                  </pic:blipFill>
                  <pic:spPr>
                    <a:xfrm>
                      <a:off x="0" y="0"/>
                      <a:ext cx="5912485" cy="8009255"/>
                    </a:xfrm>
                    <a:prstGeom prst="rect">
                      <a:avLst/>
                    </a:prstGeom>
                    <a:noFill/>
                    <a:ln>
                      <a:noFill/>
                    </a:ln>
                  </pic:spPr>
                </pic:pic>
              </a:graphicData>
            </a:graphic>
          </wp:inline>
        </w:drawing>
      </w:r>
    </w:p>
    <w:p>
      <w:pPr>
        <w:pStyle w:val="5"/>
        <w:rPr>
          <w:color w:val="auto"/>
        </w:rPr>
        <w:sectPr>
          <w:pgSz w:w="11907" w:h="16840"/>
          <w:pgMar w:top="1531" w:right="1134" w:bottom="1134" w:left="1418" w:header="0" w:footer="1055" w:gutter="0"/>
          <w:pgNumType w:start="0"/>
          <w:cols w:space="720" w:num="1"/>
          <w:docGrid w:linePitch="326" w:charSpace="-4916"/>
        </w:sectPr>
      </w:pPr>
      <w:r>
        <w:rPr>
          <w:color w:val="auto"/>
        </w:rPr>
        <w:drawing>
          <wp:inline distT="0" distB="0" distL="114300" distR="114300">
            <wp:extent cx="5912485" cy="8399780"/>
            <wp:effectExtent l="0" t="0" r="12065" b="1270"/>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36"/>
                    <a:stretch>
                      <a:fillRect/>
                    </a:stretch>
                  </pic:blipFill>
                  <pic:spPr>
                    <a:xfrm>
                      <a:off x="0" y="0"/>
                      <a:ext cx="5912485" cy="8399780"/>
                    </a:xfrm>
                    <a:prstGeom prst="rect">
                      <a:avLst/>
                    </a:prstGeom>
                    <a:noFill/>
                    <a:ln>
                      <a:noFill/>
                    </a:ln>
                  </pic:spPr>
                </pic:pic>
              </a:graphicData>
            </a:graphic>
          </wp:inline>
        </w:drawing>
      </w:r>
    </w:p>
    <w:p>
      <w:pPr>
        <w:pStyle w:val="5"/>
        <w:rPr>
          <w:color w:val="auto"/>
        </w:rPr>
        <w:sectPr>
          <w:pgSz w:w="11907" w:h="16840"/>
          <w:pgMar w:top="1531" w:right="1134" w:bottom="1134" w:left="1418" w:header="0" w:footer="1055" w:gutter="0"/>
          <w:pgNumType w:start="0"/>
          <w:cols w:space="720" w:num="1"/>
          <w:docGrid w:linePitch="326" w:charSpace="-4916"/>
        </w:sectPr>
      </w:pPr>
      <w:r>
        <w:rPr>
          <w:color w:val="auto"/>
        </w:rPr>
        <w:drawing>
          <wp:inline distT="0" distB="0" distL="114300" distR="114300">
            <wp:extent cx="5912485" cy="8209915"/>
            <wp:effectExtent l="0" t="0" r="12065" b="635"/>
            <wp:docPr id="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9"/>
                    <pic:cNvPicPr>
                      <a:picLocks noChangeAspect="1"/>
                    </pic:cNvPicPr>
                  </pic:nvPicPr>
                  <pic:blipFill>
                    <a:blip r:embed="rId37"/>
                    <a:stretch>
                      <a:fillRect/>
                    </a:stretch>
                  </pic:blipFill>
                  <pic:spPr>
                    <a:xfrm>
                      <a:off x="0" y="0"/>
                      <a:ext cx="5912485" cy="8209915"/>
                    </a:xfrm>
                    <a:prstGeom prst="rect">
                      <a:avLst/>
                    </a:prstGeom>
                    <a:noFill/>
                    <a:ln>
                      <a:noFill/>
                    </a:ln>
                  </pic:spPr>
                </pic:pic>
              </a:graphicData>
            </a:graphic>
          </wp:inline>
        </w:drawing>
      </w:r>
    </w:p>
    <w:p>
      <w:pPr>
        <w:pStyle w:val="6"/>
        <w:ind w:left="0"/>
        <w:rPr>
          <w:color w:val="auto"/>
        </w:rPr>
        <w:sectPr>
          <w:pgSz w:w="11907" w:h="16840"/>
          <w:pgMar w:top="1531" w:right="1134" w:bottom="1134" w:left="1418" w:header="0" w:footer="1055" w:gutter="0"/>
          <w:pgNumType w:start="0"/>
          <w:cols w:space="720" w:num="1"/>
          <w:docGrid w:linePitch="326" w:charSpace="-4916"/>
        </w:sectPr>
      </w:pPr>
      <w:r>
        <w:rPr>
          <w:color w:val="auto"/>
        </w:rPr>
        <w:drawing>
          <wp:inline distT="0" distB="0" distL="114300" distR="114300">
            <wp:extent cx="5912485" cy="8466455"/>
            <wp:effectExtent l="0" t="0" r="12065" b="10795"/>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38"/>
                    <a:stretch>
                      <a:fillRect/>
                    </a:stretch>
                  </pic:blipFill>
                  <pic:spPr>
                    <a:xfrm>
                      <a:off x="0" y="0"/>
                      <a:ext cx="5912485" cy="8466455"/>
                    </a:xfrm>
                    <a:prstGeom prst="rect">
                      <a:avLst/>
                    </a:prstGeom>
                    <a:noFill/>
                    <a:ln>
                      <a:noFill/>
                    </a:ln>
                  </pic:spPr>
                </pic:pic>
              </a:graphicData>
            </a:graphic>
          </wp:inline>
        </w:drawing>
      </w:r>
    </w:p>
    <w:p>
      <w:pPr>
        <w:spacing w:line="360" w:lineRule="auto"/>
        <w:jc w:val="center"/>
        <w:rPr>
          <w:rFonts w:hint="eastAsia"/>
          <w:bCs/>
          <w:color w:val="auto"/>
          <w:sz w:val="28"/>
          <w:szCs w:val="28"/>
        </w:rPr>
      </w:pPr>
    </w:p>
    <w:p>
      <w:pPr>
        <w:spacing w:line="360" w:lineRule="auto"/>
        <w:jc w:val="center"/>
        <w:rPr>
          <w:bCs/>
          <w:color w:val="auto"/>
          <w:sz w:val="28"/>
          <w:szCs w:val="28"/>
        </w:rPr>
      </w:pPr>
      <w:r>
        <w:rPr>
          <w:rFonts w:hint="eastAsia"/>
          <w:bCs/>
          <w:color w:val="auto"/>
          <w:sz w:val="28"/>
          <w:szCs w:val="28"/>
        </w:rPr>
        <w:t>《建设项目环境影响报告表》编制说明</w:t>
      </w:r>
    </w:p>
    <w:p>
      <w:pPr>
        <w:spacing w:line="360" w:lineRule="auto"/>
        <w:jc w:val="center"/>
        <w:rPr>
          <w:bCs/>
          <w:color w:val="auto"/>
          <w:sz w:val="28"/>
          <w:szCs w:val="28"/>
        </w:rPr>
      </w:pPr>
    </w:p>
    <w:p>
      <w:pPr>
        <w:pStyle w:val="53"/>
        <w:autoSpaceDE/>
        <w:autoSpaceDN/>
        <w:adjustRightInd/>
        <w:spacing w:line="360" w:lineRule="auto"/>
        <w:jc w:val="center"/>
        <w:textAlignment w:val="auto"/>
        <w:rPr>
          <w:rFonts w:eastAsia="宋体"/>
          <w:color w:val="auto"/>
          <w:kern w:val="2"/>
          <w:szCs w:val="24"/>
        </w:rPr>
      </w:pPr>
      <w:r>
        <w:rPr>
          <w:rFonts w:hint="eastAsia" w:eastAsia="宋体"/>
          <w:color w:val="auto"/>
          <w:kern w:val="2"/>
          <w:szCs w:val="24"/>
        </w:rPr>
        <w:t>《建设项目环境影响报告表》由具有从事环境影响评价工作资质的单位编制</w:t>
      </w:r>
    </w:p>
    <w:p>
      <w:pPr>
        <w:pStyle w:val="53"/>
        <w:numPr>
          <w:ilvl w:val="0"/>
          <w:numId w:val="4"/>
        </w:numPr>
        <w:autoSpaceDE/>
        <w:autoSpaceDN/>
        <w:adjustRightInd/>
        <w:spacing w:line="360" w:lineRule="auto"/>
        <w:textAlignment w:val="auto"/>
        <w:rPr>
          <w:rFonts w:eastAsia="宋体"/>
          <w:color w:val="auto"/>
          <w:kern w:val="2"/>
          <w:szCs w:val="24"/>
        </w:rPr>
      </w:pPr>
      <w:r>
        <w:rPr>
          <w:rFonts w:hint="eastAsia" w:eastAsia="宋体"/>
          <w:color w:val="auto"/>
          <w:kern w:val="2"/>
          <w:szCs w:val="24"/>
        </w:rPr>
        <w:t>项目名称――指项目立项批复时的名称，应不超过30个字（两个英文字段作一个汉字）。</w:t>
      </w:r>
    </w:p>
    <w:p>
      <w:pPr>
        <w:pStyle w:val="53"/>
        <w:numPr>
          <w:ilvl w:val="0"/>
          <w:numId w:val="4"/>
        </w:numPr>
        <w:autoSpaceDE/>
        <w:autoSpaceDN/>
        <w:adjustRightInd/>
        <w:spacing w:line="360" w:lineRule="auto"/>
        <w:textAlignment w:val="auto"/>
        <w:rPr>
          <w:rFonts w:eastAsia="宋体"/>
          <w:color w:val="auto"/>
          <w:kern w:val="2"/>
          <w:szCs w:val="24"/>
        </w:rPr>
      </w:pPr>
      <w:r>
        <w:rPr>
          <w:rFonts w:hint="eastAsia" w:eastAsia="宋体"/>
          <w:color w:val="auto"/>
          <w:kern w:val="2"/>
          <w:szCs w:val="24"/>
        </w:rPr>
        <w:t>建设地点――指项目所在地详细地址、公路、铁路应填写起止点。</w:t>
      </w:r>
    </w:p>
    <w:p>
      <w:pPr>
        <w:pStyle w:val="53"/>
        <w:numPr>
          <w:ilvl w:val="0"/>
          <w:numId w:val="4"/>
        </w:numPr>
        <w:autoSpaceDE/>
        <w:autoSpaceDN/>
        <w:adjustRightInd/>
        <w:spacing w:line="360" w:lineRule="auto"/>
        <w:textAlignment w:val="auto"/>
        <w:rPr>
          <w:rFonts w:eastAsia="宋体"/>
          <w:color w:val="auto"/>
          <w:kern w:val="2"/>
          <w:szCs w:val="24"/>
        </w:rPr>
      </w:pPr>
      <w:r>
        <w:rPr>
          <w:rFonts w:hint="eastAsia" w:eastAsia="宋体"/>
          <w:color w:val="auto"/>
          <w:kern w:val="2"/>
          <w:szCs w:val="24"/>
        </w:rPr>
        <w:t>行业类别――按国标填写。</w:t>
      </w:r>
    </w:p>
    <w:p>
      <w:pPr>
        <w:pStyle w:val="53"/>
        <w:numPr>
          <w:ilvl w:val="0"/>
          <w:numId w:val="4"/>
        </w:numPr>
        <w:autoSpaceDE/>
        <w:autoSpaceDN/>
        <w:adjustRightInd/>
        <w:spacing w:line="360" w:lineRule="auto"/>
        <w:textAlignment w:val="auto"/>
        <w:rPr>
          <w:rFonts w:eastAsia="宋体"/>
          <w:color w:val="auto"/>
          <w:kern w:val="2"/>
          <w:szCs w:val="24"/>
        </w:rPr>
      </w:pPr>
      <w:r>
        <w:rPr>
          <w:rFonts w:hint="eastAsia" w:eastAsia="宋体"/>
          <w:color w:val="auto"/>
          <w:kern w:val="2"/>
          <w:szCs w:val="24"/>
        </w:rPr>
        <w:t>总投资　――指项目投资总额。</w:t>
      </w:r>
    </w:p>
    <w:p>
      <w:pPr>
        <w:pStyle w:val="53"/>
        <w:numPr>
          <w:ilvl w:val="0"/>
          <w:numId w:val="4"/>
        </w:numPr>
        <w:autoSpaceDE/>
        <w:autoSpaceDN/>
        <w:adjustRightInd/>
        <w:spacing w:line="360" w:lineRule="auto"/>
        <w:textAlignment w:val="auto"/>
        <w:rPr>
          <w:rFonts w:eastAsia="宋体"/>
          <w:color w:val="auto"/>
          <w:kern w:val="2"/>
          <w:szCs w:val="24"/>
        </w:rPr>
      </w:pPr>
      <w:r>
        <w:rPr>
          <w:rFonts w:hint="eastAsia" w:eastAsia="宋体"/>
          <w:color w:val="auto"/>
          <w:kern w:val="2"/>
          <w:szCs w:val="24"/>
        </w:rPr>
        <w:t>主要环境保护目标――指项目区周围一定范围内集中居民住宅、学校、医院、保护文物、风景名胜区、水源地和生态敏感点等，应尽可能给出保护目标、性质、规模和距厂界距离等。</w:t>
      </w:r>
    </w:p>
    <w:p>
      <w:pPr>
        <w:pStyle w:val="53"/>
        <w:numPr>
          <w:ilvl w:val="0"/>
          <w:numId w:val="4"/>
        </w:numPr>
        <w:autoSpaceDE/>
        <w:autoSpaceDN/>
        <w:adjustRightInd/>
        <w:spacing w:line="360" w:lineRule="auto"/>
        <w:textAlignment w:val="auto"/>
        <w:rPr>
          <w:rFonts w:eastAsia="宋体"/>
          <w:color w:val="auto"/>
          <w:kern w:val="2"/>
          <w:szCs w:val="24"/>
        </w:rPr>
      </w:pPr>
      <w:r>
        <w:rPr>
          <w:rFonts w:hint="eastAsia" w:eastAsia="宋体"/>
          <w:color w:val="auto"/>
          <w:kern w:val="2"/>
          <w:szCs w:val="24"/>
        </w:rPr>
        <w:t>结论与建议――给出本项目清洁生产、达标排放和</w:t>
      </w:r>
      <w:r>
        <w:rPr>
          <w:rFonts w:hint="eastAsia" w:ascii="宋体" w:hAnsi="宋体" w:eastAsia="宋体"/>
          <w:color w:val="auto"/>
        </w:rPr>
        <w:t>总量</w:t>
      </w:r>
      <w:r>
        <w:rPr>
          <w:rFonts w:hint="eastAsia" w:eastAsia="宋体"/>
          <w:color w:val="auto"/>
          <w:kern w:val="2"/>
          <w:szCs w:val="24"/>
        </w:rPr>
        <w:t>控制的分析结论，确定污染防治措施的有效性，说明本项目对环境造成的影响，给出建设项目环境可行性的明确结论。同时提出减少环境影响的其它建议。</w:t>
      </w:r>
    </w:p>
    <w:p>
      <w:pPr>
        <w:pStyle w:val="53"/>
        <w:numPr>
          <w:ilvl w:val="0"/>
          <w:numId w:val="4"/>
        </w:numPr>
        <w:autoSpaceDE/>
        <w:autoSpaceDN/>
        <w:adjustRightInd/>
        <w:spacing w:line="360" w:lineRule="auto"/>
        <w:textAlignment w:val="auto"/>
        <w:rPr>
          <w:rFonts w:eastAsia="宋体"/>
          <w:color w:val="auto"/>
          <w:kern w:val="2"/>
          <w:szCs w:val="24"/>
        </w:rPr>
      </w:pPr>
      <w:r>
        <w:rPr>
          <w:rFonts w:hint="eastAsia" w:eastAsia="宋体"/>
          <w:color w:val="auto"/>
          <w:kern w:val="2"/>
          <w:szCs w:val="24"/>
        </w:rPr>
        <w:t>预审意见――由行业主管部门填写答复意见，无主管部门项目，可不填。</w:t>
      </w:r>
    </w:p>
    <w:p>
      <w:pPr>
        <w:pStyle w:val="53"/>
        <w:numPr>
          <w:ilvl w:val="0"/>
          <w:numId w:val="4"/>
        </w:numPr>
        <w:autoSpaceDE/>
        <w:autoSpaceDN/>
        <w:adjustRightInd/>
        <w:spacing w:line="360" w:lineRule="auto"/>
        <w:textAlignment w:val="auto"/>
        <w:rPr>
          <w:rFonts w:eastAsia="宋体"/>
          <w:color w:val="auto"/>
          <w:kern w:val="2"/>
          <w:szCs w:val="24"/>
        </w:rPr>
      </w:pPr>
      <w:r>
        <w:rPr>
          <w:rFonts w:hint="eastAsia" w:eastAsia="宋体"/>
          <w:color w:val="auto"/>
          <w:kern w:val="2"/>
          <w:szCs w:val="24"/>
        </w:rPr>
        <w:t>审批意见――由负责审批该项目的环境保护行政主管部门批复。</w:t>
      </w: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spacing w:line="360" w:lineRule="auto"/>
        <w:rPr>
          <w:color w:val="auto"/>
          <w:sz w:val="28"/>
        </w:rPr>
      </w:pPr>
    </w:p>
    <w:p>
      <w:pPr>
        <w:pStyle w:val="42"/>
        <w:jc w:val="left"/>
        <w:rPr>
          <w:rFonts w:hint="eastAsia" w:ascii="Times New Roman"/>
          <w:color w:val="auto"/>
        </w:rPr>
        <w:sectPr>
          <w:headerReference r:id="rId7" w:type="default"/>
          <w:footerReference r:id="rId8" w:type="default"/>
          <w:pgSz w:w="11907" w:h="16840"/>
          <w:pgMar w:top="1531" w:right="1134" w:bottom="1134" w:left="1418" w:header="0" w:footer="1078" w:gutter="0"/>
          <w:pgNumType w:start="1"/>
          <w:cols w:space="720" w:num="1"/>
          <w:docGrid w:linePitch="326" w:charSpace="-4916"/>
        </w:sectPr>
      </w:pPr>
    </w:p>
    <w:p>
      <w:pPr>
        <w:pStyle w:val="42"/>
        <w:jc w:val="left"/>
        <w:rPr>
          <w:rFonts w:ascii="Times New Roman" w:hAnsi="Times New Roman"/>
          <w:color w:val="auto"/>
        </w:rPr>
      </w:pPr>
      <w:r>
        <w:rPr>
          <w:rFonts w:hint="eastAsia" w:ascii="Times New Roman"/>
          <w:color w:val="auto"/>
        </w:rPr>
        <w:t>建设项目基本情况</w:t>
      </w:r>
    </w:p>
    <w:tbl>
      <w:tblPr>
        <w:tblStyle w:val="44"/>
        <w:tblW w:w="946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69"/>
        <w:gridCol w:w="1683"/>
        <w:gridCol w:w="1676"/>
        <w:gridCol w:w="1391"/>
        <w:gridCol w:w="1860"/>
        <w:gridCol w:w="88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rPr>
            </w:pPr>
            <w:r>
              <w:rPr>
                <w:rFonts w:hint="eastAsia"/>
                <w:color w:val="auto"/>
                <w:sz w:val="24"/>
              </w:rPr>
              <w:t>项目名称</w:t>
            </w:r>
          </w:p>
        </w:tc>
        <w:tc>
          <w:tcPr>
            <w:tcW w:w="7496" w:type="dxa"/>
            <w:gridSpan w:val="5"/>
            <w:vAlign w:val="center"/>
          </w:tcPr>
          <w:p>
            <w:pPr>
              <w:jc w:val="center"/>
              <w:rPr>
                <w:color w:val="auto"/>
                <w:sz w:val="24"/>
              </w:rPr>
            </w:pPr>
            <w:r>
              <w:rPr>
                <w:rFonts w:hint="eastAsia"/>
                <w:color w:val="auto"/>
                <w:sz w:val="24"/>
                <w:lang w:eastAsia="zh-CN"/>
              </w:rPr>
              <w:t>开平市合丰管业科技有限公司年生产加工高压软管500吨建设项目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4" w:hRule="atLeast"/>
        </w:trPr>
        <w:tc>
          <w:tcPr>
            <w:tcW w:w="1969" w:type="dxa"/>
            <w:vAlign w:val="center"/>
          </w:tcPr>
          <w:p>
            <w:pPr>
              <w:jc w:val="center"/>
              <w:rPr>
                <w:color w:val="auto"/>
                <w:sz w:val="24"/>
              </w:rPr>
            </w:pPr>
            <w:r>
              <w:rPr>
                <w:rFonts w:hint="eastAsia"/>
                <w:color w:val="auto"/>
                <w:sz w:val="24"/>
              </w:rPr>
              <w:t>建设单位</w:t>
            </w:r>
          </w:p>
        </w:tc>
        <w:tc>
          <w:tcPr>
            <w:tcW w:w="7496" w:type="dxa"/>
            <w:gridSpan w:val="5"/>
            <w:vAlign w:val="center"/>
          </w:tcPr>
          <w:p>
            <w:pPr>
              <w:jc w:val="center"/>
              <w:rPr>
                <w:bCs/>
                <w:color w:val="auto"/>
                <w:sz w:val="24"/>
              </w:rPr>
            </w:pPr>
            <w:r>
              <w:rPr>
                <w:rFonts w:hint="eastAsia"/>
                <w:color w:val="auto"/>
                <w:sz w:val="24"/>
              </w:rPr>
              <w:t>开平市合丰管业科技有限公司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66" w:hRule="atLeast"/>
        </w:trPr>
        <w:tc>
          <w:tcPr>
            <w:tcW w:w="1969" w:type="dxa"/>
            <w:vAlign w:val="center"/>
          </w:tcPr>
          <w:p>
            <w:pPr>
              <w:jc w:val="center"/>
              <w:rPr>
                <w:color w:val="auto"/>
                <w:sz w:val="24"/>
              </w:rPr>
            </w:pPr>
            <w:r>
              <w:rPr>
                <w:rFonts w:hint="eastAsia"/>
                <w:color w:val="auto"/>
                <w:sz w:val="24"/>
              </w:rPr>
              <w:t>法人代表</w:t>
            </w:r>
          </w:p>
        </w:tc>
        <w:tc>
          <w:tcPr>
            <w:tcW w:w="3359" w:type="dxa"/>
            <w:gridSpan w:val="2"/>
            <w:vAlign w:val="center"/>
          </w:tcPr>
          <w:p>
            <w:pPr>
              <w:jc w:val="center"/>
              <w:rPr>
                <w:bCs/>
                <w:color w:val="auto"/>
                <w:sz w:val="24"/>
              </w:rPr>
            </w:pPr>
          </w:p>
        </w:tc>
        <w:tc>
          <w:tcPr>
            <w:tcW w:w="1391" w:type="dxa"/>
            <w:vAlign w:val="center"/>
          </w:tcPr>
          <w:p>
            <w:pPr>
              <w:jc w:val="center"/>
              <w:rPr>
                <w:bCs/>
                <w:color w:val="auto"/>
                <w:sz w:val="24"/>
              </w:rPr>
            </w:pPr>
            <w:r>
              <w:rPr>
                <w:rFonts w:hint="eastAsia"/>
                <w:bCs/>
                <w:color w:val="auto"/>
                <w:sz w:val="24"/>
              </w:rPr>
              <w:t>联系人</w:t>
            </w:r>
          </w:p>
        </w:tc>
        <w:tc>
          <w:tcPr>
            <w:tcW w:w="2746" w:type="dxa"/>
            <w:gridSpan w:val="2"/>
            <w:vAlign w:val="center"/>
          </w:tcPr>
          <w:p>
            <w:pPr>
              <w:jc w:val="center"/>
              <w:rPr>
                <w:bCs/>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rPr>
            </w:pPr>
            <w:r>
              <w:rPr>
                <w:rFonts w:hint="eastAsia"/>
                <w:color w:val="auto"/>
                <w:sz w:val="24"/>
              </w:rPr>
              <w:t>通讯地址</w:t>
            </w:r>
          </w:p>
        </w:tc>
        <w:tc>
          <w:tcPr>
            <w:tcW w:w="7496" w:type="dxa"/>
            <w:gridSpan w:val="5"/>
            <w:vAlign w:val="center"/>
          </w:tcPr>
          <w:p>
            <w:pPr>
              <w:jc w:val="center"/>
              <w:rPr>
                <w:bCs/>
                <w:color w:val="auto"/>
                <w:sz w:val="24"/>
              </w:rPr>
            </w:pPr>
            <w:r>
              <w:rPr>
                <w:rFonts w:hint="eastAsia"/>
                <w:bCs/>
                <w:color w:val="auto"/>
                <w:sz w:val="24"/>
              </w:rPr>
              <w:t>开平市水口镇太和路12号后座之6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1969" w:type="dxa"/>
            <w:vAlign w:val="center"/>
          </w:tcPr>
          <w:p>
            <w:pPr>
              <w:jc w:val="center"/>
              <w:rPr>
                <w:color w:val="auto"/>
                <w:sz w:val="24"/>
              </w:rPr>
            </w:pPr>
            <w:r>
              <w:rPr>
                <w:rFonts w:hint="eastAsia"/>
                <w:color w:val="auto"/>
                <w:sz w:val="24"/>
              </w:rPr>
              <w:t>联系电话</w:t>
            </w:r>
          </w:p>
        </w:tc>
        <w:tc>
          <w:tcPr>
            <w:tcW w:w="1683" w:type="dxa"/>
            <w:vAlign w:val="center"/>
          </w:tcPr>
          <w:p>
            <w:pPr>
              <w:jc w:val="center"/>
              <w:rPr>
                <w:color w:val="auto"/>
                <w:sz w:val="24"/>
              </w:rPr>
            </w:pPr>
          </w:p>
        </w:tc>
        <w:tc>
          <w:tcPr>
            <w:tcW w:w="1676" w:type="dxa"/>
            <w:vAlign w:val="center"/>
          </w:tcPr>
          <w:p>
            <w:pPr>
              <w:jc w:val="center"/>
              <w:rPr>
                <w:color w:val="auto"/>
                <w:sz w:val="24"/>
              </w:rPr>
            </w:pPr>
            <w:r>
              <w:rPr>
                <w:rFonts w:hint="eastAsia"/>
                <w:color w:val="auto"/>
                <w:sz w:val="24"/>
              </w:rPr>
              <w:t>传  真</w:t>
            </w:r>
          </w:p>
        </w:tc>
        <w:tc>
          <w:tcPr>
            <w:tcW w:w="1391" w:type="dxa"/>
            <w:vAlign w:val="center"/>
          </w:tcPr>
          <w:p>
            <w:pPr>
              <w:jc w:val="center"/>
              <w:rPr>
                <w:bCs/>
                <w:color w:val="auto"/>
                <w:sz w:val="24"/>
              </w:rPr>
            </w:pPr>
            <w:r>
              <w:rPr>
                <w:rFonts w:hint="eastAsia"/>
                <w:bCs/>
                <w:color w:val="auto"/>
                <w:sz w:val="24"/>
              </w:rPr>
              <w:t>——</w:t>
            </w:r>
          </w:p>
        </w:tc>
        <w:tc>
          <w:tcPr>
            <w:tcW w:w="1860" w:type="dxa"/>
            <w:vAlign w:val="center"/>
          </w:tcPr>
          <w:p>
            <w:pPr>
              <w:jc w:val="center"/>
              <w:rPr>
                <w:color w:val="auto"/>
                <w:sz w:val="24"/>
              </w:rPr>
            </w:pPr>
            <w:r>
              <w:rPr>
                <w:rFonts w:hint="eastAsia"/>
                <w:color w:val="auto"/>
                <w:sz w:val="24"/>
              </w:rPr>
              <w:t>邮政编码</w:t>
            </w:r>
          </w:p>
        </w:tc>
        <w:tc>
          <w:tcPr>
            <w:tcW w:w="886" w:type="dxa"/>
            <w:vAlign w:val="center"/>
          </w:tcPr>
          <w:p>
            <w:pPr>
              <w:jc w:val="center"/>
              <w:rPr>
                <w:color w:val="auto"/>
                <w:sz w:val="24"/>
              </w:rPr>
            </w:pPr>
            <w:r>
              <w:rPr>
                <w:rFonts w:hint="eastAsia"/>
                <w:color w:val="auto"/>
                <w:sz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rPr>
            </w:pPr>
            <w:r>
              <w:rPr>
                <w:rFonts w:hint="eastAsia"/>
                <w:color w:val="auto"/>
                <w:sz w:val="24"/>
              </w:rPr>
              <w:t>建设地点</w:t>
            </w:r>
          </w:p>
        </w:tc>
        <w:tc>
          <w:tcPr>
            <w:tcW w:w="7496" w:type="dxa"/>
            <w:gridSpan w:val="5"/>
            <w:vAlign w:val="center"/>
          </w:tcPr>
          <w:p>
            <w:pPr>
              <w:jc w:val="center"/>
              <w:rPr>
                <w:bCs/>
                <w:color w:val="auto"/>
                <w:sz w:val="24"/>
              </w:rPr>
            </w:pPr>
            <w:r>
              <w:rPr>
                <w:rFonts w:hint="eastAsia"/>
                <w:bCs/>
                <w:color w:val="auto"/>
                <w:sz w:val="24"/>
              </w:rPr>
              <w:t>开平市水口镇太和路12号后座之6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33" w:hRule="atLeast"/>
        </w:trPr>
        <w:tc>
          <w:tcPr>
            <w:tcW w:w="1969" w:type="dxa"/>
            <w:vAlign w:val="center"/>
          </w:tcPr>
          <w:p>
            <w:pPr>
              <w:jc w:val="center"/>
              <w:rPr>
                <w:color w:val="auto"/>
                <w:sz w:val="24"/>
              </w:rPr>
            </w:pPr>
            <w:r>
              <w:rPr>
                <w:rFonts w:hint="eastAsia"/>
                <w:color w:val="auto"/>
                <w:sz w:val="24"/>
              </w:rPr>
              <w:t>立项审批部门</w:t>
            </w:r>
          </w:p>
        </w:tc>
        <w:tc>
          <w:tcPr>
            <w:tcW w:w="3359" w:type="dxa"/>
            <w:gridSpan w:val="2"/>
            <w:vAlign w:val="center"/>
          </w:tcPr>
          <w:p>
            <w:pPr>
              <w:jc w:val="center"/>
              <w:rPr>
                <w:color w:val="auto"/>
                <w:sz w:val="24"/>
              </w:rPr>
            </w:pPr>
            <w:r>
              <w:rPr>
                <w:rFonts w:hint="eastAsia"/>
                <w:color w:val="auto"/>
                <w:sz w:val="24"/>
              </w:rPr>
              <w:t>——</w:t>
            </w:r>
          </w:p>
        </w:tc>
        <w:tc>
          <w:tcPr>
            <w:tcW w:w="1391" w:type="dxa"/>
            <w:vAlign w:val="center"/>
          </w:tcPr>
          <w:p>
            <w:pPr>
              <w:jc w:val="center"/>
              <w:rPr>
                <w:color w:val="auto"/>
                <w:sz w:val="24"/>
              </w:rPr>
            </w:pPr>
            <w:r>
              <w:rPr>
                <w:rFonts w:hint="eastAsia"/>
                <w:color w:val="auto"/>
                <w:sz w:val="24"/>
              </w:rPr>
              <w:t>批准文号</w:t>
            </w:r>
          </w:p>
        </w:tc>
        <w:tc>
          <w:tcPr>
            <w:tcW w:w="2746" w:type="dxa"/>
            <w:gridSpan w:val="2"/>
            <w:vAlign w:val="center"/>
          </w:tcPr>
          <w:p>
            <w:pPr>
              <w:jc w:val="center"/>
              <w:rPr>
                <w:color w:val="auto"/>
                <w:sz w:val="24"/>
              </w:rPr>
            </w:pPr>
            <w:r>
              <w:rPr>
                <w:rFonts w:hint="eastAsia"/>
                <w:color w:val="auto"/>
                <w:sz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46" w:hRule="atLeast"/>
        </w:trPr>
        <w:tc>
          <w:tcPr>
            <w:tcW w:w="1969" w:type="dxa"/>
            <w:vAlign w:val="center"/>
          </w:tcPr>
          <w:p>
            <w:pPr>
              <w:jc w:val="center"/>
              <w:rPr>
                <w:color w:val="auto"/>
                <w:sz w:val="24"/>
              </w:rPr>
            </w:pPr>
            <w:r>
              <w:rPr>
                <w:rFonts w:hint="eastAsia"/>
                <w:color w:val="auto"/>
                <w:sz w:val="24"/>
              </w:rPr>
              <w:t>建设性质</w:t>
            </w:r>
          </w:p>
        </w:tc>
        <w:tc>
          <w:tcPr>
            <w:tcW w:w="3359" w:type="dxa"/>
            <w:gridSpan w:val="2"/>
            <w:vAlign w:val="center"/>
          </w:tcPr>
          <w:p>
            <w:pPr>
              <w:jc w:val="center"/>
              <w:rPr>
                <w:color w:val="auto"/>
                <w:sz w:val="24"/>
              </w:rPr>
            </w:pPr>
            <w:r>
              <w:rPr>
                <w:color w:val="auto"/>
                <w:sz w:val="24"/>
              </w:rPr>
              <w:t>新建√迁建</w:t>
            </w:r>
            <w:r>
              <w:rPr>
                <w:color w:val="auto"/>
                <w:sz w:val="24"/>
              </w:rPr>
              <w:fldChar w:fldCharType="begin">
                <w:ffData>
                  <w:name w:val="Check3"/>
                  <w:enabled/>
                  <w:calcOnExit w:val="0"/>
                  <w:checkBox>
                    <w:sizeAuto/>
                    <w:default w:val="0"/>
                    <w:checked w:val="0"/>
                  </w:checkBox>
                </w:ffData>
              </w:fldChar>
            </w:r>
            <w:r>
              <w:rPr>
                <w:color w:val="auto"/>
                <w:sz w:val="24"/>
              </w:rPr>
              <w:instrText xml:space="preserve"> FORMCHECKBOX </w:instrText>
            </w:r>
            <w:r>
              <w:rPr>
                <w:color w:val="auto"/>
                <w:sz w:val="24"/>
              </w:rPr>
              <w:fldChar w:fldCharType="separate"/>
            </w:r>
            <w:r>
              <w:rPr>
                <w:color w:val="auto"/>
                <w:sz w:val="24"/>
              </w:rPr>
              <w:fldChar w:fldCharType="end"/>
            </w:r>
            <w:r>
              <w:rPr>
                <w:color w:val="auto"/>
                <w:sz w:val="24"/>
              </w:rPr>
              <w:t>扩建</w:t>
            </w:r>
            <w:r>
              <w:rPr>
                <w:color w:val="auto"/>
                <w:sz w:val="24"/>
              </w:rPr>
              <w:fldChar w:fldCharType="begin">
                <w:ffData>
                  <w:name w:val="Check3"/>
                  <w:enabled/>
                  <w:calcOnExit w:val="0"/>
                  <w:checkBox>
                    <w:sizeAuto/>
                    <w:default w:val="0"/>
                    <w:checked w:val="0"/>
                  </w:checkBox>
                </w:ffData>
              </w:fldChar>
            </w:r>
            <w:r>
              <w:rPr>
                <w:color w:val="auto"/>
                <w:sz w:val="24"/>
              </w:rPr>
              <w:instrText xml:space="preserve"> FORMCHECKBOX </w:instrText>
            </w:r>
            <w:r>
              <w:rPr>
                <w:color w:val="auto"/>
                <w:sz w:val="24"/>
              </w:rPr>
              <w:fldChar w:fldCharType="separate"/>
            </w:r>
            <w:r>
              <w:rPr>
                <w:color w:val="auto"/>
                <w:sz w:val="24"/>
              </w:rPr>
              <w:fldChar w:fldCharType="end"/>
            </w:r>
            <w:r>
              <w:rPr>
                <w:color w:val="auto"/>
                <w:sz w:val="24"/>
              </w:rPr>
              <w:t>技改</w:t>
            </w:r>
            <w:r>
              <w:rPr>
                <w:color w:val="auto"/>
                <w:sz w:val="24"/>
              </w:rPr>
              <w:fldChar w:fldCharType="begin">
                <w:ffData>
                  <w:name w:val="Check3"/>
                  <w:enabled/>
                  <w:calcOnExit w:val="0"/>
                  <w:checkBox>
                    <w:sizeAuto/>
                    <w:default w:val="0"/>
                    <w:checked w:val="0"/>
                  </w:checkBox>
                </w:ffData>
              </w:fldChar>
            </w:r>
            <w:bookmarkStart w:id="16" w:name="Check3"/>
            <w:r>
              <w:rPr>
                <w:color w:val="auto"/>
                <w:sz w:val="24"/>
              </w:rPr>
              <w:instrText xml:space="preserve"> FORMCHECKBOX </w:instrText>
            </w:r>
            <w:r>
              <w:rPr>
                <w:color w:val="auto"/>
                <w:sz w:val="24"/>
              </w:rPr>
              <w:fldChar w:fldCharType="separate"/>
            </w:r>
            <w:r>
              <w:rPr>
                <w:color w:val="auto"/>
                <w:sz w:val="24"/>
              </w:rPr>
              <w:fldChar w:fldCharType="end"/>
            </w:r>
            <w:bookmarkEnd w:id="16"/>
          </w:p>
        </w:tc>
        <w:tc>
          <w:tcPr>
            <w:tcW w:w="1391" w:type="dxa"/>
            <w:vAlign w:val="center"/>
          </w:tcPr>
          <w:p>
            <w:pPr>
              <w:jc w:val="center"/>
              <w:rPr>
                <w:color w:val="auto"/>
                <w:sz w:val="24"/>
              </w:rPr>
            </w:pPr>
            <w:r>
              <w:rPr>
                <w:rFonts w:hint="eastAsia"/>
                <w:color w:val="auto"/>
                <w:sz w:val="24"/>
              </w:rPr>
              <w:t>行业类别及代码</w:t>
            </w:r>
          </w:p>
        </w:tc>
        <w:tc>
          <w:tcPr>
            <w:tcW w:w="2746" w:type="dxa"/>
            <w:gridSpan w:val="2"/>
            <w:vAlign w:val="center"/>
          </w:tcPr>
          <w:p>
            <w:pPr>
              <w:jc w:val="center"/>
              <w:rPr>
                <w:color w:val="auto"/>
                <w:sz w:val="24"/>
              </w:rPr>
            </w:pPr>
            <w:r>
              <w:rPr>
                <w:rFonts w:hint="eastAsia"/>
                <w:color w:val="auto"/>
                <w:sz w:val="24"/>
              </w:rPr>
              <w:t>C2929塑料零件及其他塑料制品制造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rPr>
            </w:pPr>
            <w:r>
              <w:rPr>
                <w:rFonts w:hint="eastAsia"/>
                <w:color w:val="auto"/>
                <w:sz w:val="24"/>
              </w:rPr>
              <w:t>占地面积</w:t>
            </w:r>
          </w:p>
          <w:p>
            <w:pPr>
              <w:jc w:val="center"/>
              <w:rPr>
                <w:color w:val="auto"/>
                <w:sz w:val="24"/>
              </w:rPr>
            </w:pPr>
            <w:r>
              <w:rPr>
                <w:rFonts w:hint="eastAsia"/>
                <w:color w:val="auto"/>
                <w:sz w:val="24"/>
              </w:rPr>
              <w:t>（平方米）</w:t>
            </w:r>
          </w:p>
        </w:tc>
        <w:tc>
          <w:tcPr>
            <w:tcW w:w="3359" w:type="dxa"/>
            <w:gridSpan w:val="2"/>
            <w:vAlign w:val="center"/>
          </w:tcPr>
          <w:p>
            <w:pPr>
              <w:jc w:val="center"/>
              <w:rPr>
                <w:color w:val="auto"/>
                <w:sz w:val="24"/>
              </w:rPr>
            </w:pPr>
            <w:r>
              <w:rPr>
                <w:rFonts w:hint="eastAsia"/>
                <w:color w:val="auto"/>
                <w:sz w:val="24"/>
              </w:rPr>
              <w:t>1000</w:t>
            </w:r>
          </w:p>
        </w:tc>
        <w:tc>
          <w:tcPr>
            <w:tcW w:w="1391" w:type="dxa"/>
            <w:vAlign w:val="center"/>
          </w:tcPr>
          <w:p>
            <w:pPr>
              <w:jc w:val="center"/>
              <w:rPr>
                <w:color w:val="auto"/>
                <w:sz w:val="24"/>
              </w:rPr>
            </w:pPr>
            <w:r>
              <w:rPr>
                <w:rFonts w:hint="eastAsia"/>
                <w:color w:val="auto"/>
                <w:sz w:val="24"/>
              </w:rPr>
              <w:t>绿化面积</w:t>
            </w:r>
          </w:p>
          <w:p>
            <w:pPr>
              <w:jc w:val="center"/>
              <w:rPr>
                <w:color w:val="auto"/>
                <w:sz w:val="24"/>
              </w:rPr>
            </w:pPr>
            <w:r>
              <w:rPr>
                <w:rFonts w:hint="eastAsia"/>
                <w:color w:val="auto"/>
                <w:sz w:val="24"/>
              </w:rPr>
              <w:t>（平方米）</w:t>
            </w:r>
          </w:p>
        </w:tc>
        <w:tc>
          <w:tcPr>
            <w:tcW w:w="2746" w:type="dxa"/>
            <w:gridSpan w:val="2"/>
            <w:vAlign w:val="center"/>
          </w:tcPr>
          <w:p>
            <w:pPr>
              <w:jc w:val="center"/>
              <w:rPr>
                <w:color w:val="auto"/>
                <w:sz w:val="24"/>
              </w:rPr>
            </w:pPr>
            <w:r>
              <w:rPr>
                <w:rFonts w:hint="eastAsia"/>
                <w:color w:val="auto"/>
                <w:sz w:val="24"/>
              </w:rPr>
              <w:softHyphen/>
            </w:r>
            <w:r>
              <w:rPr>
                <w:rFonts w:hint="eastAsia"/>
                <w:color w:val="auto"/>
                <w:sz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69" w:type="dxa"/>
            <w:vAlign w:val="center"/>
          </w:tcPr>
          <w:p>
            <w:pPr>
              <w:jc w:val="center"/>
              <w:rPr>
                <w:color w:val="auto"/>
                <w:sz w:val="24"/>
              </w:rPr>
            </w:pPr>
            <w:r>
              <w:rPr>
                <w:rFonts w:hint="eastAsia"/>
                <w:color w:val="auto"/>
                <w:sz w:val="24"/>
              </w:rPr>
              <w:t>总投资</w:t>
            </w:r>
          </w:p>
          <w:p>
            <w:pPr>
              <w:jc w:val="center"/>
              <w:rPr>
                <w:color w:val="auto"/>
                <w:sz w:val="24"/>
              </w:rPr>
            </w:pPr>
            <w:r>
              <w:rPr>
                <w:rFonts w:hint="eastAsia"/>
                <w:color w:val="auto"/>
                <w:sz w:val="24"/>
              </w:rPr>
              <w:t>（万元）</w:t>
            </w:r>
          </w:p>
        </w:tc>
        <w:tc>
          <w:tcPr>
            <w:tcW w:w="1683" w:type="dxa"/>
            <w:vAlign w:val="center"/>
          </w:tcPr>
          <w:p>
            <w:pPr>
              <w:jc w:val="center"/>
              <w:rPr>
                <w:color w:val="auto"/>
                <w:sz w:val="24"/>
              </w:rPr>
            </w:pPr>
            <w:r>
              <w:rPr>
                <w:rFonts w:hint="eastAsia"/>
                <w:color w:val="auto"/>
                <w:sz w:val="24"/>
              </w:rPr>
              <w:t>50</w:t>
            </w:r>
          </w:p>
        </w:tc>
        <w:tc>
          <w:tcPr>
            <w:tcW w:w="1676" w:type="dxa"/>
            <w:vAlign w:val="center"/>
          </w:tcPr>
          <w:p>
            <w:pPr>
              <w:jc w:val="center"/>
              <w:rPr>
                <w:color w:val="auto"/>
                <w:sz w:val="24"/>
              </w:rPr>
            </w:pPr>
            <w:r>
              <w:rPr>
                <w:rFonts w:hint="eastAsia"/>
                <w:color w:val="auto"/>
                <w:sz w:val="24"/>
              </w:rPr>
              <w:t>其中：环保投资（万元）</w:t>
            </w:r>
          </w:p>
        </w:tc>
        <w:tc>
          <w:tcPr>
            <w:tcW w:w="1391" w:type="dxa"/>
            <w:vAlign w:val="center"/>
          </w:tcPr>
          <w:p>
            <w:pPr>
              <w:jc w:val="center"/>
              <w:rPr>
                <w:color w:val="auto"/>
                <w:sz w:val="24"/>
              </w:rPr>
            </w:pPr>
            <w:r>
              <w:rPr>
                <w:rFonts w:hint="eastAsia"/>
                <w:color w:val="auto"/>
                <w:sz w:val="24"/>
              </w:rPr>
              <w:t>11</w:t>
            </w:r>
          </w:p>
        </w:tc>
        <w:tc>
          <w:tcPr>
            <w:tcW w:w="1860" w:type="dxa"/>
            <w:vAlign w:val="center"/>
          </w:tcPr>
          <w:p>
            <w:pPr>
              <w:jc w:val="center"/>
              <w:rPr>
                <w:color w:val="auto"/>
                <w:sz w:val="24"/>
              </w:rPr>
            </w:pPr>
            <w:r>
              <w:rPr>
                <w:rFonts w:hint="eastAsia"/>
                <w:color w:val="auto"/>
                <w:sz w:val="24"/>
              </w:rPr>
              <w:t>环保投资占总投资比例</w:t>
            </w:r>
          </w:p>
        </w:tc>
        <w:tc>
          <w:tcPr>
            <w:tcW w:w="886" w:type="dxa"/>
            <w:vAlign w:val="center"/>
          </w:tcPr>
          <w:p>
            <w:pPr>
              <w:pStyle w:val="54"/>
              <w:topLinePunct w:val="0"/>
              <w:autoSpaceDE/>
              <w:autoSpaceDN/>
              <w:adjustRightInd/>
              <w:textAlignment w:val="auto"/>
              <w:rPr>
                <w:rFonts w:ascii="Times New Roman" w:hAnsi="Times New Roman"/>
                <w:color w:val="auto"/>
                <w:kern w:val="2"/>
                <w:sz w:val="24"/>
                <w:szCs w:val="24"/>
              </w:rPr>
            </w:pPr>
            <w:r>
              <w:rPr>
                <w:rFonts w:hint="eastAsia" w:ascii="Times New Roman" w:hAnsi="Times New Roman"/>
                <w:color w:val="auto"/>
                <w:kern w:val="2"/>
                <w:sz w:val="24"/>
                <w:szCs w:val="24"/>
              </w:rPr>
              <w:t>22%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tcBorders>
              <w:bottom w:val="single" w:color="auto" w:sz="4" w:space="0"/>
            </w:tcBorders>
            <w:vAlign w:val="center"/>
          </w:tcPr>
          <w:p>
            <w:pPr>
              <w:jc w:val="center"/>
              <w:rPr>
                <w:rFonts w:hint="eastAsia"/>
                <w:color w:val="auto"/>
                <w:sz w:val="24"/>
                <w:szCs w:val="24"/>
                <w:lang w:eastAsia="zh-CN"/>
              </w:rPr>
            </w:pPr>
            <w:r>
              <w:rPr>
                <w:rFonts w:hint="eastAsia"/>
                <w:color w:val="auto"/>
                <w:sz w:val="24"/>
                <w:szCs w:val="24"/>
                <w:lang w:eastAsia="zh-CN"/>
              </w:rPr>
              <w:t>评价经费</w:t>
            </w:r>
          </w:p>
          <w:p>
            <w:pPr>
              <w:jc w:val="center"/>
              <w:rPr>
                <w:color w:val="auto"/>
                <w:sz w:val="24"/>
              </w:rPr>
            </w:pPr>
            <w:r>
              <w:rPr>
                <w:rFonts w:hint="eastAsia"/>
                <w:color w:val="auto"/>
                <w:sz w:val="24"/>
                <w:shd w:val="clear" w:color="auto" w:fill="auto"/>
              </w:rPr>
              <w:t>（万元）</w:t>
            </w:r>
          </w:p>
        </w:tc>
        <w:tc>
          <w:tcPr>
            <w:tcW w:w="3359" w:type="dxa"/>
            <w:gridSpan w:val="2"/>
            <w:tcBorders>
              <w:bottom w:val="single" w:color="auto" w:sz="4" w:space="0"/>
              <w:right w:val="single" w:color="auto" w:sz="4" w:space="0"/>
            </w:tcBorders>
            <w:vAlign w:val="center"/>
          </w:tcPr>
          <w:p>
            <w:pPr>
              <w:jc w:val="center"/>
              <w:rPr>
                <w:color w:val="auto"/>
                <w:sz w:val="24"/>
              </w:rPr>
            </w:pPr>
            <w:r>
              <w:rPr>
                <w:rFonts w:hint="eastAsia"/>
                <w:color w:val="auto"/>
                <w:sz w:val="24"/>
                <w:shd w:val="clear" w:color="auto" w:fill="auto"/>
                <w:lang w:val="en-US" w:eastAsia="zh-CN"/>
              </w:rPr>
              <w:t>1</w:t>
            </w:r>
          </w:p>
        </w:tc>
        <w:tc>
          <w:tcPr>
            <w:tcW w:w="1391" w:type="dxa"/>
            <w:tcBorders>
              <w:left w:val="single" w:color="auto" w:sz="4" w:space="0"/>
              <w:bottom w:val="single" w:color="auto" w:sz="4" w:space="0"/>
              <w:right w:val="single" w:color="auto" w:sz="4" w:space="0"/>
            </w:tcBorders>
            <w:vAlign w:val="center"/>
          </w:tcPr>
          <w:p>
            <w:pPr>
              <w:jc w:val="center"/>
              <w:rPr>
                <w:rFonts w:hint="eastAsia"/>
                <w:color w:val="auto"/>
                <w:sz w:val="24"/>
              </w:rPr>
            </w:pPr>
            <w:r>
              <w:rPr>
                <w:rFonts w:hint="eastAsia"/>
                <w:color w:val="auto"/>
                <w:sz w:val="24"/>
              </w:rPr>
              <w:t>预计投产日期</w:t>
            </w:r>
          </w:p>
        </w:tc>
        <w:tc>
          <w:tcPr>
            <w:tcW w:w="2746" w:type="dxa"/>
            <w:gridSpan w:val="2"/>
            <w:tcBorders>
              <w:left w:val="single" w:color="auto" w:sz="4" w:space="0"/>
              <w:bottom w:val="single" w:color="auto" w:sz="4" w:space="0"/>
            </w:tcBorders>
            <w:vAlign w:val="center"/>
          </w:tcPr>
          <w:p>
            <w:pPr>
              <w:jc w:val="center"/>
              <w:rPr>
                <w:rFonts w:hint="eastAsia"/>
                <w:color w:val="auto"/>
                <w:sz w:val="24"/>
              </w:rPr>
            </w:pPr>
            <w:r>
              <w:rPr>
                <w:rFonts w:hint="eastAsia"/>
                <w:color w:val="auto"/>
                <w:sz w:val="24"/>
              </w:rPr>
              <w:t>2019年11月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9465" w:type="dxa"/>
            <w:gridSpan w:val="6"/>
            <w:tcBorders>
              <w:top w:val="single" w:color="auto" w:sz="4" w:space="0"/>
              <w:left w:val="single" w:color="auto" w:sz="4" w:space="0"/>
              <w:bottom w:val="single" w:color="auto" w:sz="4" w:space="0"/>
              <w:right w:val="single" w:color="auto" w:sz="4" w:space="0"/>
            </w:tcBorders>
          </w:tcPr>
          <w:p>
            <w:pPr>
              <w:spacing w:line="360" w:lineRule="auto"/>
              <w:rPr>
                <w:b/>
                <w:bCs/>
                <w:color w:val="auto"/>
                <w:sz w:val="28"/>
                <w:szCs w:val="28"/>
              </w:rPr>
            </w:pPr>
            <w:r>
              <w:rPr>
                <w:rFonts w:hint="eastAsia"/>
                <w:b/>
                <w:bCs/>
                <w:color w:val="auto"/>
                <w:sz w:val="28"/>
                <w:szCs w:val="28"/>
              </w:rPr>
              <w:t>工程内容及规模：</w:t>
            </w:r>
          </w:p>
          <w:p>
            <w:pPr>
              <w:spacing w:line="360" w:lineRule="auto"/>
              <w:ind w:left="-44" w:leftChars="-21" w:firstLine="511" w:firstLineChars="213"/>
              <w:rPr>
                <w:color w:val="auto"/>
                <w:sz w:val="24"/>
              </w:rPr>
            </w:pPr>
            <w:r>
              <w:rPr>
                <w:rFonts w:hint="eastAsia"/>
                <w:color w:val="auto"/>
                <w:sz w:val="24"/>
                <w:lang w:eastAsia="zh-CN"/>
              </w:rPr>
              <w:t>开平市合丰管业科技有限公司年生产加工高压软管500吨建设项目</w:t>
            </w:r>
            <w:r>
              <w:rPr>
                <w:bCs/>
                <w:color w:val="auto"/>
                <w:sz w:val="24"/>
              </w:rPr>
              <w:t>（以下简称“</w:t>
            </w:r>
            <w:r>
              <w:rPr>
                <w:rFonts w:hAnsi="宋体"/>
                <w:bCs/>
                <w:color w:val="auto"/>
                <w:sz w:val="24"/>
              </w:rPr>
              <w:t>项目</w:t>
            </w:r>
            <w:r>
              <w:rPr>
                <w:bCs/>
                <w:color w:val="auto"/>
                <w:sz w:val="24"/>
              </w:rPr>
              <w:t>”）</w:t>
            </w:r>
            <w:r>
              <w:rPr>
                <w:color w:val="auto"/>
                <w:sz w:val="24"/>
              </w:rPr>
              <w:t>位于</w:t>
            </w:r>
            <w:r>
              <w:rPr>
                <w:rFonts w:hint="eastAsia"/>
                <w:bCs/>
                <w:color w:val="auto"/>
                <w:sz w:val="24"/>
              </w:rPr>
              <w:t>开平市水口镇太和路12号后座之6</w:t>
            </w:r>
            <w:r>
              <w:rPr>
                <w:bCs/>
                <w:color w:val="auto"/>
                <w:sz w:val="24"/>
              </w:rPr>
              <w:t>（项目所在地中心卫星坐标：北纬</w:t>
            </w:r>
            <w:r>
              <w:rPr>
                <w:rFonts w:hint="eastAsia"/>
                <w:bCs/>
                <w:color w:val="auto"/>
                <w:sz w:val="24"/>
              </w:rPr>
              <w:t>22°26'43.99"</w:t>
            </w:r>
            <w:r>
              <w:rPr>
                <w:bCs/>
                <w:color w:val="auto"/>
                <w:sz w:val="24"/>
              </w:rPr>
              <w:t>，东经</w:t>
            </w:r>
            <w:r>
              <w:rPr>
                <w:rFonts w:hint="eastAsia"/>
                <w:bCs/>
                <w:color w:val="auto"/>
                <w:sz w:val="24"/>
              </w:rPr>
              <w:t>112°46'48.03"）</w:t>
            </w:r>
            <w:r>
              <w:rPr>
                <w:rFonts w:hint="eastAsia"/>
                <w:bCs/>
                <w:color w:val="auto"/>
                <w:sz w:val="24"/>
                <w:lang w:eastAsia="zh-CN"/>
              </w:rPr>
              <w:t>，</w:t>
            </w:r>
            <w:r>
              <w:rPr>
                <w:rFonts w:hint="eastAsia" w:hAnsi="宋体"/>
                <w:bCs/>
                <w:color w:val="auto"/>
                <w:sz w:val="24"/>
              </w:rPr>
              <w:t>所在厂区东南面为福斯特卫浴厂，西南面为信越橡胶厂，西北面为商铺，东北面为星洋塑料厂。</w:t>
            </w:r>
            <w:r>
              <w:rPr>
                <w:rFonts w:hint="eastAsia"/>
                <w:bCs/>
                <w:color w:val="auto"/>
                <w:sz w:val="24"/>
              </w:rPr>
              <w:t>项目总投资50万元，占地面积1000平方米，建筑</w:t>
            </w:r>
            <w:r>
              <w:rPr>
                <w:bCs/>
                <w:color w:val="auto"/>
                <w:sz w:val="24"/>
              </w:rPr>
              <w:t>面积</w:t>
            </w:r>
            <w:r>
              <w:rPr>
                <w:rFonts w:hint="eastAsia"/>
                <w:bCs/>
                <w:color w:val="auto"/>
                <w:sz w:val="24"/>
              </w:rPr>
              <w:t>1000平方米，主要从事高压软管的加工生产，年产量为</w:t>
            </w:r>
            <w:r>
              <w:rPr>
                <w:rFonts w:hint="eastAsia"/>
                <w:color w:val="auto"/>
                <w:sz w:val="24"/>
              </w:rPr>
              <w:t>500吨。</w:t>
            </w:r>
          </w:p>
          <w:p>
            <w:pPr>
              <w:tabs>
                <w:tab w:val="left" w:pos="7800"/>
              </w:tabs>
              <w:spacing w:line="360" w:lineRule="auto"/>
              <w:ind w:firstLine="480" w:firstLineChars="200"/>
              <w:rPr>
                <w:bCs/>
                <w:color w:val="auto"/>
                <w:sz w:val="24"/>
              </w:rPr>
            </w:pPr>
            <w:r>
              <w:rPr>
                <w:rFonts w:hint="eastAsia"/>
                <w:bCs/>
                <w:color w:val="auto"/>
                <w:sz w:val="24"/>
              </w:rPr>
              <w:t>根据《中华人民共和国环境影响评价法》、《建设项目环境影响评价分类管理名录》（</w:t>
            </w:r>
            <w:r>
              <w:rPr>
                <w:rFonts w:hint="eastAsia" w:ascii="宋体" w:hAnsi="宋体"/>
                <w:color w:val="auto"/>
                <w:sz w:val="24"/>
              </w:rPr>
              <w:t>环境保护部令第</w:t>
            </w:r>
            <w:r>
              <w:rPr>
                <w:rFonts w:hint="eastAsia" w:ascii="TimesNewRomanPSMT" w:hAnsi="TimesNewRomanPSMT" w:eastAsia="TimesNewRomanPSMT"/>
                <w:color w:val="auto"/>
                <w:sz w:val="24"/>
              </w:rPr>
              <w:t>44</w:t>
            </w:r>
            <w:r>
              <w:rPr>
                <w:rFonts w:hint="eastAsia" w:ascii="宋体" w:hAnsi="宋体"/>
                <w:color w:val="auto"/>
                <w:sz w:val="24"/>
              </w:rPr>
              <w:t>号，</w:t>
            </w:r>
            <w:r>
              <w:rPr>
                <w:rFonts w:hint="eastAsia" w:ascii="TimesNewRomanPSMT" w:hAnsi="TimesNewRomanPSMT" w:eastAsia="TimesNewRomanPSMT"/>
                <w:color w:val="auto"/>
                <w:sz w:val="24"/>
              </w:rPr>
              <w:t>2018</w:t>
            </w:r>
            <w:r>
              <w:rPr>
                <w:rFonts w:hint="eastAsia" w:ascii="宋体" w:hAnsi="宋体"/>
                <w:color w:val="auto"/>
                <w:sz w:val="24"/>
              </w:rPr>
              <w:t>年</w:t>
            </w:r>
            <w:r>
              <w:rPr>
                <w:rFonts w:hint="eastAsia" w:ascii="TimesNewRomanPSMT" w:hAnsi="TimesNewRomanPSMT" w:eastAsia="TimesNewRomanPSMT"/>
                <w:color w:val="auto"/>
                <w:sz w:val="24"/>
              </w:rPr>
              <w:t>4</w:t>
            </w:r>
            <w:r>
              <w:rPr>
                <w:rFonts w:hint="eastAsia" w:ascii="宋体" w:hAnsi="宋体"/>
                <w:color w:val="auto"/>
                <w:sz w:val="24"/>
              </w:rPr>
              <w:t>月</w:t>
            </w:r>
            <w:r>
              <w:rPr>
                <w:rFonts w:hint="eastAsia" w:ascii="TimesNewRomanPSMT" w:hAnsi="TimesNewRomanPSMT" w:eastAsia="TimesNewRomanPSMT"/>
                <w:color w:val="auto"/>
                <w:sz w:val="24"/>
              </w:rPr>
              <w:t>28</w:t>
            </w:r>
            <w:r>
              <w:rPr>
                <w:rFonts w:hint="eastAsia" w:ascii="宋体" w:hAnsi="宋体"/>
                <w:color w:val="auto"/>
                <w:sz w:val="24"/>
              </w:rPr>
              <w:t>日修订</w:t>
            </w:r>
            <w:r>
              <w:rPr>
                <w:rFonts w:hint="eastAsia"/>
                <w:bCs/>
                <w:color w:val="auto"/>
                <w:sz w:val="24"/>
              </w:rPr>
              <w:t>）的规定和要求，一切可能对环境产生影响的新建、扩建或改建项目必须实行环境影响评价。根据</w:t>
            </w:r>
            <w:r>
              <w:rPr>
                <w:rFonts w:hint="eastAsia"/>
                <w:bCs/>
                <w:color w:val="auto"/>
                <w:sz w:val="24"/>
                <w:lang w:val="en-GB"/>
              </w:rPr>
              <w:t>《建设项目环境影响评价分类管理名录》</w:t>
            </w:r>
            <w:r>
              <w:rPr>
                <w:rFonts w:hint="eastAsia"/>
                <w:bCs/>
                <w:color w:val="auto"/>
                <w:sz w:val="24"/>
              </w:rPr>
              <w:t>中要求，该项目属于“十八、橡胶和塑料制造业/47塑料制品制造/其他”应编制环境影响报告表。为此，受</w:t>
            </w:r>
            <w:r>
              <w:rPr>
                <w:rFonts w:hint="eastAsia"/>
                <w:color w:val="auto"/>
                <w:sz w:val="24"/>
              </w:rPr>
              <w:t>开平市合丰管业科技有限公司</w:t>
            </w:r>
            <w:r>
              <w:rPr>
                <w:rFonts w:hint="eastAsia"/>
                <w:bCs/>
                <w:color w:val="auto"/>
                <w:sz w:val="24"/>
              </w:rPr>
              <w:t>委托，我单位承担了本次项目的环境影响评价工作，并编制完成项目环境影响报告表。</w:t>
            </w:r>
          </w:p>
          <w:p>
            <w:pPr>
              <w:tabs>
                <w:tab w:val="left" w:pos="7800"/>
              </w:tabs>
              <w:spacing w:line="360" w:lineRule="auto"/>
              <w:ind w:firstLine="482" w:firstLineChars="200"/>
              <w:rPr>
                <w:b/>
                <w:color w:val="auto"/>
                <w:sz w:val="24"/>
              </w:rPr>
            </w:pPr>
            <w:r>
              <w:rPr>
                <w:rFonts w:hint="eastAsia"/>
                <w:b/>
                <w:color w:val="auto"/>
                <w:sz w:val="24"/>
              </w:rPr>
              <w:t>一、工程内容：</w:t>
            </w:r>
            <w:r>
              <w:rPr>
                <w:b/>
                <w:color w:val="auto"/>
                <w:sz w:val="24"/>
              </w:rPr>
              <w:tab/>
            </w:r>
          </w:p>
          <w:p>
            <w:pPr>
              <w:spacing w:line="360" w:lineRule="auto"/>
              <w:ind w:left="-44" w:leftChars="-21" w:firstLine="511" w:firstLineChars="213"/>
              <w:rPr>
                <w:color w:val="auto"/>
              </w:rPr>
            </w:pPr>
            <w:r>
              <w:rPr>
                <w:rFonts w:hint="eastAsia"/>
                <w:bCs/>
                <w:color w:val="auto"/>
                <w:sz w:val="24"/>
              </w:rPr>
              <w:t>项目总投资50万元，占地面积1000平方米，建筑</w:t>
            </w:r>
            <w:r>
              <w:rPr>
                <w:bCs/>
                <w:color w:val="auto"/>
                <w:sz w:val="24"/>
              </w:rPr>
              <w:t>面积</w:t>
            </w:r>
            <w:r>
              <w:rPr>
                <w:rFonts w:hint="eastAsia"/>
                <w:bCs/>
                <w:color w:val="auto"/>
                <w:sz w:val="24"/>
              </w:rPr>
              <w:t>1000平方米，主要从事高压软管的加工生产，年产量为</w:t>
            </w:r>
            <w:r>
              <w:rPr>
                <w:rFonts w:hint="eastAsia"/>
                <w:color w:val="auto"/>
                <w:sz w:val="24"/>
              </w:rPr>
              <w:t>500吨。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建设项目</w:t>
            </w:r>
            <w:r>
              <w:rPr>
                <w:rFonts w:hint="eastAsia" w:eastAsia="宋体" w:cs="Times New Roman"/>
                <w:b/>
                <w:color w:val="auto"/>
                <w:sz w:val="21"/>
                <w:szCs w:val="21"/>
              </w:rPr>
              <w:t>工程内容及</w:t>
            </w:r>
            <w:r>
              <w:rPr>
                <w:rFonts w:eastAsia="宋体" w:cs="Times New Roman"/>
                <w:b/>
                <w:color w:val="auto"/>
                <w:sz w:val="21"/>
                <w:szCs w:val="21"/>
              </w:rPr>
              <w:t>产品方案</w:t>
            </w:r>
          </w:p>
          <w:tbl>
            <w:tblPr>
              <w:tblStyle w:val="44"/>
              <w:tblW w:w="92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2265"/>
              <w:gridCol w:w="3688"/>
              <w:gridCol w:w="2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tcPr>
                <w:p>
                  <w:pPr>
                    <w:pStyle w:val="34"/>
                    <w:spacing w:line="360" w:lineRule="auto"/>
                    <w:ind w:firstLine="0"/>
                    <w:jc w:val="center"/>
                    <w:rPr>
                      <w:b/>
                      <w:color w:val="auto"/>
                      <w:sz w:val="21"/>
                      <w:szCs w:val="21"/>
                    </w:rPr>
                  </w:pPr>
                  <w:r>
                    <w:rPr>
                      <w:rFonts w:hint="eastAsia"/>
                      <w:b/>
                      <w:color w:val="auto"/>
                      <w:sz w:val="21"/>
                      <w:szCs w:val="21"/>
                    </w:rPr>
                    <w:t>序号</w:t>
                  </w:r>
                </w:p>
              </w:tc>
              <w:tc>
                <w:tcPr>
                  <w:tcW w:w="5953" w:type="dxa"/>
                  <w:gridSpan w:val="2"/>
                </w:tcPr>
                <w:p>
                  <w:pPr>
                    <w:pStyle w:val="34"/>
                    <w:spacing w:line="360" w:lineRule="auto"/>
                    <w:ind w:firstLine="0"/>
                    <w:jc w:val="center"/>
                    <w:rPr>
                      <w:b/>
                      <w:color w:val="auto"/>
                      <w:sz w:val="21"/>
                      <w:szCs w:val="21"/>
                    </w:rPr>
                  </w:pPr>
                  <w:r>
                    <w:rPr>
                      <w:rFonts w:hint="eastAsia"/>
                      <w:b/>
                      <w:color w:val="auto"/>
                      <w:sz w:val="21"/>
                      <w:szCs w:val="21"/>
                    </w:rPr>
                    <w:t>工程内容</w:t>
                  </w:r>
                </w:p>
              </w:tc>
              <w:tc>
                <w:tcPr>
                  <w:tcW w:w="2125" w:type="dxa"/>
                </w:tcPr>
                <w:p>
                  <w:pPr>
                    <w:pStyle w:val="34"/>
                    <w:spacing w:line="360" w:lineRule="auto"/>
                    <w:ind w:firstLine="0"/>
                    <w:jc w:val="center"/>
                    <w:rPr>
                      <w:b/>
                      <w:color w:val="auto"/>
                      <w:sz w:val="21"/>
                      <w:szCs w:val="21"/>
                    </w:rPr>
                  </w:pPr>
                  <w:r>
                    <w:rPr>
                      <w:rFonts w:hint="eastAsia"/>
                      <w:b/>
                      <w:color w:val="auto"/>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tcPr>
                <w:p>
                  <w:pPr>
                    <w:spacing w:line="360" w:lineRule="auto"/>
                    <w:jc w:val="center"/>
                    <w:rPr>
                      <w:color w:val="auto"/>
                      <w:szCs w:val="21"/>
                    </w:rPr>
                  </w:pPr>
                  <w:r>
                    <w:rPr>
                      <w:rFonts w:hint="eastAsia"/>
                      <w:color w:val="auto"/>
                      <w:szCs w:val="21"/>
                    </w:rPr>
                    <w:t>1</w:t>
                  </w:r>
                </w:p>
              </w:tc>
              <w:tc>
                <w:tcPr>
                  <w:tcW w:w="5953" w:type="dxa"/>
                  <w:gridSpan w:val="2"/>
                </w:tcPr>
                <w:p>
                  <w:pPr>
                    <w:spacing w:line="360" w:lineRule="auto"/>
                    <w:jc w:val="center"/>
                    <w:rPr>
                      <w:color w:val="auto"/>
                      <w:szCs w:val="21"/>
                    </w:rPr>
                  </w:pPr>
                  <w:r>
                    <w:rPr>
                      <w:rFonts w:hint="eastAsia"/>
                      <w:color w:val="auto"/>
                      <w:szCs w:val="21"/>
                    </w:rPr>
                    <w:t>总投资（万元）</w:t>
                  </w:r>
                </w:p>
              </w:tc>
              <w:tc>
                <w:tcPr>
                  <w:tcW w:w="2125" w:type="dxa"/>
                </w:tcPr>
                <w:p>
                  <w:pPr>
                    <w:pStyle w:val="34"/>
                    <w:spacing w:line="360" w:lineRule="auto"/>
                    <w:ind w:firstLine="0"/>
                    <w:jc w:val="center"/>
                    <w:rPr>
                      <w:color w:val="auto"/>
                      <w:sz w:val="21"/>
                      <w:szCs w:val="21"/>
                    </w:rPr>
                  </w:pPr>
                  <w:r>
                    <w:rPr>
                      <w:rFonts w:hint="eastAsia"/>
                      <w:color w:val="auto"/>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tcPr>
                <w:p>
                  <w:pPr>
                    <w:spacing w:line="360" w:lineRule="auto"/>
                    <w:jc w:val="center"/>
                    <w:rPr>
                      <w:color w:val="auto"/>
                      <w:szCs w:val="21"/>
                    </w:rPr>
                  </w:pPr>
                  <w:r>
                    <w:rPr>
                      <w:rFonts w:hint="eastAsia"/>
                      <w:color w:val="auto"/>
                      <w:szCs w:val="21"/>
                    </w:rPr>
                    <w:t>2</w:t>
                  </w:r>
                </w:p>
              </w:tc>
              <w:tc>
                <w:tcPr>
                  <w:tcW w:w="5953" w:type="dxa"/>
                  <w:gridSpan w:val="2"/>
                </w:tcPr>
                <w:p>
                  <w:pPr>
                    <w:spacing w:line="360" w:lineRule="auto"/>
                    <w:jc w:val="center"/>
                    <w:rPr>
                      <w:color w:val="auto"/>
                      <w:szCs w:val="21"/>
                    </w:rPr>
                  </w:pPr>
                  <w:r>
                    <w:rPr>
                      <w:rFonts w:hint="eastAsia"/>
                      <w:color w:val="auto"/>
                      <w:szCs w:val="21"/>
                    </w:rPr>
                    <w:t>占地面积（</w:t>
                  </w:r>
                  <w:r>
                    <w:rPr>
                      <w:color w:val="auto"/>
                      <w:szCs w:val="21"/>
                    </w:rPr>
                    <w:t>m</w:t>
                  </w:r>
                  <w:r>
                    <w:rPr>
                      <w:color w:val="auto"/>
                      <w:szCs w:val="21"/>
                      <w:vertAlign w:val="superscript"/>
                    </w:rPr>
                    <w:t>2</w:t>
                  </w:r>
                  <w:r>
                    <w:rPr>
                      <w:rFonts w:hint="eastAsia"/>
                      <w:color w:val="auto"/>
                      <w:szCs w:val="21"/>
                    </w:rPr>
                    <w:t>）</w:t>
                  </w:r>
                </w:p>
              </w:tc>
              <w:tc>
                <w:tcPr>
                  <w:tcW w:w="2125" w:type="dxa"/>
                </w:tcPr>
                <w:p>
                  <w:pPr>
                    <w:pStyle w:val="34"/>
                    <w:spacing w:line="360" w:lineRule="auto"/>
                    <w:ind w:firstLine="0"/>
                    <w:jc w:val="center"/>
                    <w:rPr>
                      <w:color w:val="auto"/>
                      <w:sz w:val="21"/>
                      <w:szCs w:val="21"/>
                    </w:rPr>
                  </w:pPr>
                  <w:r>
                    <w:rPr>
                      <w:rFonts w:hint="eastAsia"/>
                      <w:color w:val="auto"/>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tcPr>
                <w:p>
                  <w:pPr>
                    <w:spacing w:line="360" w:lineRule="auto"/>
                    <w:jc w:val="center"/>
                    <w:rPr>
                      <w:color w:val="auto"/>
                      <w:szCs w:val="21"/>
                    </w:rPr>
                  </w:pPr>
                  <w:r>
                    <w:rPr>
                      <w:rFonts w:hint="eastAsia"/>
                      <w:color w:val="auto"/>
                      <w:szCs w:val="21"/>
                    </w:rPr>
                    <w:t>3</w:t>
                  </w:r>
                </w:p>
              </w:tc>
              <w:tc>
                <w:tcPr>
                  <w:tcW w:w="5953" w:type="dxa"/>
                  <w:gridSpan w:val="2"/>
                </w:tcPr>
                <w:p>
                  <w:pPr>
                    <w:spacing w:line="360" w:lineRule="auto"/>
                    <w:jc w:val="center"/>
                    <w:rPr>
                      <w:color w:val="auto"/>
                      <w:szCs w:val="21"/>
                    </w:rPr>
                  </w:pPr>
                  <w:r>
                    <w:rPr>
                      <w:rFonts w:hint="eastAsia"/>
                      <w:color w:val="auto"/>
                      <w:szCs w:val="21"/>
                    </w:rPr>
                    <w:t>建筑面积（</w:t>
                  </w:r>
                  <w:r>
                    <w:rPr>
                      <w:color w:val="auto"/>
                      <w:szCs w:val="21"/>
                    </w:rPr>
                    <w:t>m</w:t>
                  </w:r>
                  <w:r>
                    <w:rPr>
                      <w:color w:val="auto"/>
                      <w:szCs w:val="21"/>
                      <w:vertAlign w:val="superscript"/>
                    </w:rPr>
                    <w:t>2</w:t>
                  </w:r>
                  <w:r>
                    <w:rPr>
                      <w:rFonts w:hint="eastAsia"/>
                      <w:color w:val="auto"/>
                      <w:szCs w:val="21"/>
                    </w:rPr>
                    <w:t>）</w:t>
                  </w:r>
                </w:p>
              </w:tc>
              <w:tc>
                <w:tcPr>
                  <w:tcW w:w="2125" w:type="dxa"/>
                </w:tcPr>
                <w:p>
                  <w:pPr>
                    <w:pStyle w:val="34"/>
                    <w:spacing w:line="360" w:lineRule="auto"/>
                    <w:ind w:firstLine="0"/>
                    <w:jc w:val="center"/>
                    <w:rPr>
                      <w:color w:val="auto"/>
                      <w:sz w:val="21"/>
                      <w:szCs w:val="21"/>
                    </w:rPr>
                  </w:pPr>
                  <w:r>
                    <w:rPr>
                      <w:rFonts w:hint="eastAsia"/>
                      <w:color w:val="auto"/>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1" w:type="dxa"/>
                  <w:vAlign w:val="center"/>
                </w:tcPr>
                <w:p>
                  <w:pPr>
                    <w:spacing w:line="360" w:lineRule="auto"/>
                    <w:jc w:val="center"/>
                    <w:rPr>
                      <w:color w:val="auto"/>
                      <w:szCs w:val="21"/>
                    </w:rPr>
                  </w:pPr>
                  <w:r>
                    <w:rPr>
                      <w:rFonts w:hint="eastAsia"/>
                      <w:color w:val="auto"/>
                      <w:szCs w:val="21"/>
                    </w:rPr>
                    <w:t>4</w:t>
                  </w:r>
                </w:p>
              </w:tc>
              <w:tc>
                <w:tcPr>
                  <w:tcW w:w="2265" w:type="dxa"/>
                  <w:vAlign w:val="center"/>
                </w:tcPr>
                <w:p>
                  <w:pPr>
                    <w:spacing w:line="360" w:lineRule="auto"/>
                    <w:jc w:val="center"/>
                    <w:rPr>
                      <w:color w:val="auto"/>
                      <w:szCs w:val="21"/>
                    </w:rPr>
                  </w:pPr>
                  <w:r>
                    <w:rPr>
                      <w:rFonts w:hint="eastAsia"/>
                      <w:color w:val="auto"/>
                      <w:szCs w:val="21"/>
                    </w:rPr>
                    <w:t>产品及方案</w:t>
                  </w:r>
                </w:p>
              </w:tc>
              <w:tc>
                <w:tcPr>
                  <w:tcW w:w="3688" w:type="dxa"/>
                </w:tcPr>
                <w:p>
                  <w:pPr>
                    <w:spacing w:line="360" w:lineRule="auto"/>
                    <w:jc w:val="center"/>
                    <w:rPr>
                      <w:color w:val="auto"/>
                      <w:szCs w:val="21"/>
                    </w:rPr>
                  </w:pPr>
                  <w:r>
                    <w:rPr>
                      <w:rFonts w:hint="eastAsia"/>
                      <w:bCs/>
                      <w:color w:val="auto"/>
                      <w:szCs w:val="21"/>
                    </w:rPr>
                    <w:t>高压软管（吨</w:t>
                  </w:r>
                  <w:r>
                    <w:rPr>
                      <w:rFonts w:hint="eastAsia"/>
                      <w:color w:val="auto"/>
                      <w:szCs w:val="21"/>
                    </w:rPr>
                    <w:t>/年）</w:t>
                  </w:r>
                </w:p>
              </w:tc>
              <w:tc>
                <w:tcPr>
                  <w:tcW w:w="2125" w:type="dxa"/>
                  <w:vAlign w:val="center"/>
                </w:tcPr>
                <w:p>
                  <w:pPr>
                    <w:pStyle w:val="34"/>
                    <w:spacing w:line="360" w:lineRule="auto"/>
                    <w:ind w:firstLine="0"/>
                    <w:jc w:val="center"/>
                    <w:rPr>
                      <w:color w:val="auto"/>
                      <w:sz w:val="21"/>
                      <w:szCs w:val="21"/>
                    </w:rPr>
                  </w:pPr>
                  <w:r>
                    <w:rPr>
                      <w:rFonts w:hint="eastAsia"/>
                      <w:color w:val="auto"/>
                      <w:sz w:val="21"/>
                      <w:szCs w:val="21"/>
                    </w:rPr>
                    <w:t>500</w:t>
                  </w:r>
                </w:p>
              </w:tc>
            </w:tr>
          </w:tbl>
          <w:p>
            <w:pPr>
              <w:pStyle w:val="2"/>
              <w:spacing w:line="360" w:lineRule="auto"/>
              <w:ind w:firstLine="480" w:firstLineChars="200"/>
              <w:rPr>
                <w:rFonts w:ascii="Times New Roman" w:cs="Times New Roman"/>
                <w:color w:val="auto"/>
              </w:rPr>
            </w:pPr>
            <w:r>
              <w:rPr>
                <w:rFonts w:hint="eastAsia" w:ascii="Times New Roman" w:cs="Times New Roman"/>
                <w:color w:val="auto"/>
              </w:rPr>
              <w:t>项目物料平衡图如下：</w:t>
            </w:r>
          </w:p>
          <w:p>
            <w:pPr>
              <w:pStyle w:val="4"/>
              <w:rPr>
                <w:color w:val="auto"/>
              </w:rPr>
            </w:pPr>
            <w:r>
              <w:rPr>
                <w:rFonts w:ascii="Times New Roman"/>
                <w:b/>
                <w:bCs/>
                <w:color w:val="auto"/>
                <w:sz w:val="24"/>
              </w:rPr>
              <w:pict>
                <v:group id="画布 2251" o:spid="_x0000_s2051" o:spt="203" style="height:104.6pt;width:437.75pt;" coordorigin="1317,2834" coordsize="8755,2086" editas="canvas">
                  <o:lock v:ext="edit"/>
                  <v:shape id="画布 2251" o:spid="_x0000_s2051" o:spt="75" type="#_x0000_t75" style="position:absolute;left:1317;top:2834;height:2086;width:8755;" filled="f" o:preferrelative="t" stroked="f" coordsize="21600,21600">
                    <v:path/>
                    <v:fill on="f" focussize="0,0"/>
                    <v:stroke on="f" joinstyle="miter"/>
                    <v:imagedata o:title=""/>
                    <o:lock v:ext="edit" rotation="t" text="t" aspectratio="f"/>
                  </v:shape>
                  <v:shape id="文本框 2260" o:spid="_x0000_s2052" o:spt="202" type="#_x0000_t202" style="position:absolute;left:4633;top:2849;height:443;width:1824;" filled="f" stroked="f" coordsize="21600,21600">
                    <v:path/>
                    <v:fill on="f" focussize="0,0"/>
                    <v:stroke on="f" joinstyle="miter"/>
                    <v:imagedata o:title=""/>
                    <o:lock v:ext="edit"/>
                    <v:textbox>
                      <w:txbxContent>
                        <w:p>
                          <w:pPr>
                            <w:jc w:val="center"/>
                          </w:pPr>
                          <w:r>
                            <w:rPr>
                              <w:rFonts w:hint="eastAsia"/>
                            </w:rPr>
                            <w:t>进入固</w:t>
                          </w:r>
                          <w:r>
                            <w:rPr>
                              <w:rFonts w:hint="eastAsia"/>
                              <w:color w:val="auto"/>
                            </w:rPr>
                            <w:t>废5</w:t>
                          </w:r>
                          <w:r>
                            <w:rPr>
                              <w:rFonts w:hint="eastAsia"/>
                              <w:color w:val="auto"/>
                              <w:lang w:val="en-US" w:eastAsia="zh-CN"/>
                            </w:rPr>
                            <w:t>.3</w:t>
                          </w:r>
                          <w:r>
                            <w:rPr>
                              <w:rFonts w:hint="eastAsia"/>
                              <w:color w:val="auto"/>
                            </w:rPr>
                            <w:t>t/a</w:t>
                          </w:r>
                        </w:p>
                      </w:txbxContent>
                    </v:textbox>
                  </v:shape>
                  <v:shape id="文本框 2262" o:spid="_x0000_s2053" o:spt="202" type="#_x0000_t202" style="position:absolute;left:4937;top:3630;height:465;width:1441;" filled="f" coordsize="21600,21600">
                    <v:path/>
                    <v:fill on="f" focussize="0,0"/>
                    <v:stroke weight="0.25pt" joinstyle="miter"/>
                    <v:imagedata o:title=""/>
                    <o:lock v:ext="edit"/>
                    <v:textbox>
                      <w:txbxContent>
                        <w:p>
                          <w:pPr>
                            <w:jc w:val="center"/>
                          </w:pPr>
                          <w:r>
                            <w:rPr>
                              <w:rFonts w:hint="eastAsia"/>
                            </w:rPr>
                            <w:t>全部工序</w:t>
                          </w:r>
                        </w:p>
                      </w:txbxContent>
                    </v:textbox>
                  </v:shape>
                  <v:shape id="自选图形 2700" o:spid="_x0000_s2054" o:spt="32" type="#_x0000_t32" style="position:absolute;left:4053;top:3880;height:6;width:886;" filled="f" coordsize="21600,21600">
                    <v:path arrowok="t"/>
                    <v:fill on="f" focussize="0,0"/>
                    <v:stroke weight="0.25pt" endarrow="block"/>
                    <v:imagedata o:title=""/>
                    <o:lock v:ext="edit"/>
                  </v:shape>
                  <v:shape id="自选图形 2700" o:spid="_x0000_s2055" o:spt="32" type="#_x0000_t32" style="position:absolute;left:6393;top:3888;flip:y;height:4;width:690;" filled="f" coordsize="21600,21600">
                    <v:path arrowok="t"/>
                    <v:fill on="f" focussize="0,0"/>
                    <v:stroke weight="0.25pt" endarrow="block"/>
                    <v:imagedata o:title=""/>
                    <o:lock v:ext="edit"/>
                  </v:shape>
                  <v:shape id="文本框 2265" o:spid="_x0000_s2056" o:spt="202" type="#_x0000_t202" style="position:absolute;left:6865;top:3688;height:440;width:2257;" filled="f" stroked="f" coordsize="21600,21600">
                    <v:path/>
                    <v:fill on="f" focussize="0,0"/>
                    <v:stroke on="f" joinstyle="miter"/>
                    <v:imagedata o:title=""/>
                    <o:lock v:ext="edit"/>
                    <v:textbox>
                      <w:txbxContent>
                        <w:p>
                          <w:pPr>
                            <w:jc w:val="center"/>
                          </w:pPr>
                          <w:r>
                            <w:rPr>
                              <w:rFonts w:hint="eastAsia"/>
                            </w:rPr>
                            <w:t>进入产品约500t/a</w:t>
                          </w:r>
                        </w:p>
                        <w:p>
                          <w:pPr>
                            <w:jc w:val="center"/>
                          </w:pPr>
                        </w:p>
                      </w:txbxContent>
                    </v:textbox>
                  </v:shape>
                  <v:shape id="文本框 2258" o:spid="_x0000_s2057" o:spt="202" type="#_x0000_t202" style="position:absolute;left:1317;top:3401;height:1026;width:2719;" filled="f" stroked="f" coordsize="21600,21600">
                    <v:path/>
                    <v:fill on="f" focussize="0,0"/>
                    <v:stroke on="f" weight="0.25pt" joinstyle="miter"/>
                    <v:imagedata o:title=""/>
                    <o:lock v:ext="edit"/>
                    <v:textbox>
                      <w:txbxContent>
                        <w:p>
                          <w:pPr>
                            <w:rPr>
                              <w:szCs w:val="21"/>
                            </w:rPr>
                          </w:pPr>
                          <w:r>
                            <w:rPr>
                              <w:rFonts w:hint="eastAsia"/>
                              <w:szCs w:val="21"/>
                            </w:rPr>
                            <w:t>PVC塑胶粉250</w:t>
                          </w:r>
                          <w:r>
                            <w:rPr>
                              <w:szCs w:val="21"/>
                            </w:rPr>
                            <w:t>t/a</w:t>
                          </w:r>
                          <w:r>
                            <w:rPr>
                              <w:rFonts w:hint="eastAsia"/>
                              <w:szCs w:val="21"/>
                            </w:rPr>
                            <w:t>、增塑剂150</w:t>
                          </w:r>
                          <w:r>
                            <w:rPr>
                              <w:rFonts w:hint="eastAsia"/>
                            </w:rPr>
                            <w:t>t/a</w:t>
                          </w:r>
                          <w:r>
                            <w:rPr>
                              <w:rFonts w:hint="eastAsia"/>
                              <w:szCs w:val="21"/>
                            </w:rPr>
                            <w:t>、碳酸钙粉74</w:t>
                          </w:r>
                          <w:r>
                            <w:rPr>
                              <w:rFonts w:hint="eastAsia"/>
                            </w:rPr>
                            <w:t>t/a</w:t>
                          </w:r>
                          <w:r>
                            <w:rPr>
                              <w:rFonts w:hint="eastAsia"/>
                              <w:szCs w:val="21"/>
                            </w:rPr>
                            <w:t>、色粉1</w:t>
                          </w:r>
                          <w:r>
                            <w:rPr>
                              <w:rFonts w:hint="eastAsia"/>
                            </w:rPr>
                            <w:t>t/a、</w:t>
                          </w:r>
                          <w:r>
                            <w:rPr>
                              <w:rFonts w:hint="eastAsia"/>
                              <w:szCs w:val="21"/>
                            </w:rPr>
                            <w:t>涤纶线30</w:t>
                          </w:r>
                          <w:r>
                            <w:rPr>
                              <w:rFonts w:hint="eastAsia"/>
                            </w:rPr>
                            <w:t>t/a</w:t>
                          </w:r>
                        </w:p>
                      </w:txbxContent>
                    </v:textbox>
                  </v:shape>
                  <v:shape id="文本框 2258" o:spid="_x0000_s2058" o:spt="202" type="#_x0000_t202" style="position:absolute;left:3790;top:3551;height:459;width:1290;" filled="f" stroked="f" coordsize="21600,21600">
                    <v:path/>
                    <v:fill on="f" focussize="0,0"/>
                    <v:stroke on="f" weight="0.25pt" joinstyle="miter"/>
                    <v:imagedata o:title=""/>
                    <o:lock v:ext="edit"/>
                    <v:textbox>
                      <w:txbxContent>
                        <w:p>
                          <w:pPr>
                            <w:jc w:val="center"/>
                          </w:pPr>
                          <w:r>
                            <w:rPr>
                              <w:rFonts w:hint="eastAsia"/>
                            </w:rPr>
                            <w:t>505t/a</w:t>
                          </w:r>
                        </w:p>
                      </w:txbxContent>
                    </v:textbox>
                  </v:shape>
                  <v:shape id="自选图形 2700" o:spid="_x0000_s2059" o:spt="32" type="#_x0000_t32" style="position:absolute;left:5642;top:4109;height:482;width:1;" filled="f" coordsize="21600,21600">
                    <v:path arrowok="t"/>
                    <v:fill on="f" focussize="0,0"/>
                    <v:stroke weight="0.25pt" endarrow="block"/>
                    <v:imagedata o:title=""/>
                    <o:lock v:ext="edit"/>
                  </v:shape>
                  <v:shape id="文本框 2265" o:spid="_x0000_s2060" o:spt="202" type="#_x0000_t202" style="position:absolute;left:4690;top:4524;height:439;width:2100;" filled="f" stroked="f" coordsize="21600,21600">
                    <v:path/>
                    <v:fill on="f" focussize="0,0"/>
                    <v:stroke on="f" joinstyle="miter"/>
                    <v:imagedata o:title=""/>
                    <o:lock v:ext="edit"/>
                    <v:textbox>
                      <w:txbxContent>
                        <w:p>
                          <w:pPr>
                            <w:jc w:val="center"/>
                          </w:pPr>
                          <w:r>
                            <w:rPr>
                              <w:rFonts w:hint="eastAsia"/>
                            </w:rPr>
                            <w:t>进入大</w:t>
                          </w:r>
                          <w:r>
                            <w:rPr>
                              <w:rFonts w:hint="eastAsia"/>
                              <w:color w:val="auto"/>
                            </w:rPr>
                            <w:t>气0.0</w:t>
                          </w:r>
                          <w:r>
                            <w:rPr>
                              <w:rFonts w:hint="eastAsia"/>
                              <w:color w:val="auto"/>
                              <w:lang w:val="en-US" w:eastAsia="zh-CN"/>
                            </w:rPr>
                            <w:t>825</w:t>
                          </w:r>
                          <w:r>
                            <w:rPr>
                              <w:rFonts w:hint="eastAsia"/>
                              <w:color w:val="auto"/>
                            </w:rPr>
                            <w:t>t/a</w:t>
                          </w:r>
                        </w:p>
                        <w:p>
                          <w:pPr>
                            <w:jc w:val="center"/>
                          </w:pPr>
                        </w:p>
                      </w:txbxContent>
                    </v:textbox>
                  </v:shape>
                  <v:shape id="自选图形 2700" o:spid="_x0000_s2061" o:spt="32" type="#_x0000_t32" style="position:absolute;left:5628;top:3185;flip:y;height:442;width:0;" filled="f" coordsize="21600,21600">
                    <v:path arrowok="t"/>
                    <v:fill on="f" focussize="0,0"/>
                    <v:stroke weight="0.25pt" endarrow="block"/>
                    <v:imagedata o:title=""/>
                    <o:lock v:ext="edit"/>
                  </v:shape>
                  <w10:wrap type="none"/>
                  <w10:anchorlock/>
                </v:group>
              </w:pict>
            </w:r>
          </w:p>
          <w:p>
            <w:pPr>
              <w:spacing w:line="312" w:lineRule="auto"/>
              <w:ind w:firstLine="482" w:firstLineChars="200"/>
              <w:rPr>
                <w:b/>
                <w:color w:val="auto"/>
                <w:sz w:val="24"/>
              </w:rPr>
            </w:pPr>
            <w:r>
              <w:rPr>
                <w:rFonts w:hint="eastAsia"/>
                <w:b/>
                <w:color w:val="auto"/>
                <w:sz w:val="24"/>
              </w:rPr>
              <w:t>二、主要原辅材料：</w:t>
            </w:r>
          </w:p>
          <w:p>
            <w:pPr>
              <w:pStyle w:val="138"/>
              <w:numPr>
                <w:ilvl w:val="0"/>
                <w:numId w:val="5"/>
              </w:numPr>
              <w:tabs>
                <w:tab w:val="left" w:pos="420"/>
              </w:tabs>
              <w:spacing w:line="312" w:lineRule="auto"/>
              <w:ind w:left="0" w:firstLine="471"/>
              <w:rPr>
                <w:rFonts w:eastAsia="宋体" w:cs="Times New Roman"/>
                <w:b/>
                <w:color w:val="auto"/>
                <w:sz w:val="21"/>
                <w:szCs w:val="21"/>
              </w:rPr>
            </w:pPr>
            <w:r>
              <w:rPr>
                <w:rFonts w:eastAsia="宋体" w:cs="Times New Roman"/>
                <w:b/>
                <w:color w:val="auto"/>
                <w:sz w:val="21"/>
                <w:szCs w:val="21"/>
              </w:rPr>
              <w:t>主要原辅材料</w:t>
            </w:r>
          </w:p>
          <w:tbl>
            <w:tblPr>
              <w:tblStyle w:val="44"/>
              <w:tblW w:w="8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065"/>
              <w:gridCol w:w="2214"/>
              <w:gridCol w:w="2156"/>
              <w:gridCol w:w="2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69" w:type="dxa"/>
                  <w:shd w:val="clear" w:color="auto" w:fill="auto"/>
                  <w:vAlign w:val="center"/>
                </w:tcPr>
                <w:p>
                  <w:pPr>
                    <w:pStyle w:val="34"/>
                    <w:spacing w:line="360" w:lineRule="auto"/>
                    <w:ind w:firstLine="0"/>
                    <w:jc w:val="center"/>
                    <w:rPr>
                      <w:b/>
                      <w:color w:val="auto"/>
                      <w:sz w:val="21"/>
                      <w:szCs w:val="21"/>
                    </w:rPr>
                  </w:pPr>
                  <w:r>
                    <w:rPr>
                      <w:b/>
                      <w:color w:val="auto"/>
                      <w:sz w:val="21"/>
                      <w:szCs w:val="21"/>
                    </w:rPr>
                    <w:t>序号</w:t>
                  </w:r>
                </w:p>
              </w:tc>
              <w:tc>
                <w:tcPr>
                  <w:tcW w:w="3279" w:type="dxa"/>
                  <w:gridSpan w:val="2"/>
                  <w:shd w:val="clear" w:color="auto" w:fill="auto"/>
                  <w:vAlign w:val="center"/>
                </w:tcPr>
                <w:p>
                  <w:pPr>
                    <w:pStyle w:val="34"/>
                    <w:spacing w:line="360" w:lineRule="auto"/>
                    <w:ind w:firstLine="0"/>
                    <w:jc w:val="center"/>
                    <w:rPr>
                      <w:b/>
                      <w:color w:val="auto"/>
                      <w:sz w:val="21"/>
                      <w:szCs w:val="21"/>
                    </w:rPr>
                  </w:pPr>
                  <w:r>
                    <w:rPr>
                      <w:b/>
                      <w:color w:val="auto"/>
                      <w:sz w:val="21"/>
                      <w:szCs w:val="21"/>
                    </w:rPr>
                    <w:t>材料名称</w:t>
                  </w:r>
                </w:p>
              </w:tc>
              <w:tc>
                <w:tcPr>
                  <w:tcW w:w="2156" w:type="dxa"/>
                  <w:shd w:val="clear" w:color="auto" w:fill="auto"/>
                  <w:vAlign w:val="center"/>
                </w:tcPr>
                <w:p>
                  <w:pPr>
                    <w:pStyle w:val="34"/>
                    <w:spacing w:line="360" w:lineRule="auto"/>
                    <w:ind w:firstLine="0"/>
                    <w:jc w:val="center"/>
                    <w:rPr>
                      <w:b/>
                      <w:color w:val="auto"/>
                      <w:sz w:val="21"/>
                      <w:szCs w:val="21"/>
                    </w:rPr>
                  </w:pPr>
                  <w:r>
                    <w:rPr>
                      <w:rFonts w:hint="eastAsia"/>
                      <w:b/>
                      <w:color w:val="auto"/>
                      <w:sz w:val="21"/>
                      <w:szCs w:val="21"/>
                    </w:rPr>
                    <w:t>年</w:t>
                  </w:r>
                  <w:r>
                    <w:rPr>
                      <w:b/>
                      <w:color w:val="auto"/>
                      <w:sz w:val="21"/>
                      <w:szCs w:val="21"/>
                    </w:rPr>
                    <w:t>用量</w:t>
                  </w:r>
                </w:p>
              </w:tc>
              <w:tc>
                <w:tcPr>
                  <w:tcW w:w="2156" w:type="dxa"/>
                </w:tcPr>
                <w:p>
                  <w:pPr>
                    <w:pStyle w:val="34"/>
                    <w:spacing w:line="360" w:lineRule="auto"/>
                    <w:ind w:firstLine="0"/>
                    <w:jc w:val="center"/>
                    <w:rPr>
                      <w:b/>
                      <w:color w:val="auto"/>
                      <w:sz w:val="21"/>
                      <w:szCs w:val="21"/>
                    </w:rPr>
                  </w:pPr>
                  <w:r>
                    <w:rPr>
                      <w:rFonts w:hint="eastAsia"/>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69" w:type="dxa"/>
                  <w:shd w:val="clear" w:color="auto" w:fill="auto"/>
                  <w:vAlign w:val="center"/>
                </w:tcPr>
                <w:p>
                  <w:pPr>
                    <w:pStyle w:val="34"/>
                    <w:spacing w:line="360" w:lineRule="auto"/>
                    <w:ind w:firstLine="0"/>
                    <w:jc w:val="center"/>
                    <w:rPr>
                      <w:color w:val="auto"/>
                      <w:sz w:val="21"/>
                      <w:szCs w:val="21"/>
                    </w:rPr>
                  </w:pPr>
                  <w:r>
                    <w:rPr>
                      <w:color w:val="auto"/>
                      <w:sz w:val="21"/>
                      <w:szCs w:val="21"/>
                    </w:rPr>
                    <w:t>1</w:t>
                  </w:r>
                </w:p>
              </w:tc>
              <w:tc>
                <w:tcPr>
                  <w:tcW w:w="3279" w:type="dxa"/>
                  <w:gridSpan w:val="2"/>
                  <w:shd w:val="clear" w:color="auto" w:fill="auto"/>
                  <w:vAlign w:val="center"/>
                </w:tcPr>
                <w:p>
                  <w:pPr>
                    <w:spacing w:line="360" w:lineRule="auto"/>
                    <w:jc w:val="center"/>
                    <w:rPr>
                      <w:color w:val="auto"/>
                      <w:szCs w:val="21"/>
                    </w:rPr>
                  </w:pPr>
                  <w:r>
                    <w:rPr>
                      <w:rFonts w:hint="eastAsia"/>
                      <w:color w:val="auto"/>
                      <w:szCs w:val="21"/>
                    </w:rPr>
                    <w:t>PVC塑胶粉</w:t>
                  </w:r>
                </w:p>
              </w:tc>
              <w:tc>
                <w:tcPr>
                  <w:tcW w:w="2156" w:type="dxa"/>
                  <w:shd w:val="clear" w:color="auto" w:fill="auto"/>
                  <w:vAlign w:val="center"/>
                </w:tcPr>
                <w:p>
                  <w:pPr>
                    <w:pStyle w:val="142"/>
                    <w:spacing w:line="360" w:lineRule="auto"/>
                    <w:rPr>
                      <w:color w:val="auto"/>
                      <w:szCs w:val="21"/>
                    </w:rPr>
                  </w:pPr>
                  <w:r>
                    <w:rPr>
                      <w:rFonts w:hint="eastAsia"/>
                      <w:color w:val="auto"/>
                      <w:szCs w:val="21"/>
                    </w:rPr>
                    <w:t>250吨</w:t>
                  </w:r>
                </w:p>
              </w:tc>
              <w:tc>
                <w:tcPr>
                  <w:tcW w:w="2156" w:type="dxa"/>
                </w:tcPr>
                <w:p>
                  <w:pPr>
                    <w:pStyle w:val="142"/>
                    <w:spacing w:line="360" w:lineRule="auto"/>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1369" w:type="dxa"/>
                  <w:vMerge w:val="restart"/>
                  <w:shd w:val="clear" w:color="auto" w:fill="auto"/>
                  <w:vAlign w:val="center"/>
                </w:tcPr>
                <w:p>
                  <w:pPr>
                    <w:pStyle w:val="34"/>
                    <w:spacing w:line="360" w:lineRule="auto"/>
                    <w:ind w:firstLine="0"/>
                    <w:jc w:val="center"/>
                    <w:rPr>
                      <w:color w:val="auto"/>
                      <w:sz w:val="21"/>
                      <w:szCs w:val="21"/>
                    </w:rPr>
                  </w:pPr>
                  <w:r>
                    <w:rPr>
                      <w:rFonts w:hint="eastAsia"/>
                      <w:color w:val="auto"/>
                      <w:sz w:val="21"/>
                      <w:szCs w:val="21"/>
                    </w:rPr>
                    <w:t>2</w:t>
                  </w:r>
                </w:p>
              </w:tc>
              <w:tc>
                <w:tcPr>
                  <w:tcW w:w="1065" w:type="dxa"/>
                  <w:vMerge w:val="restart"/>
                  <w:shd w:val="clear" w:color="auto" w:fill="auto"/>
                  <w:vAlign w:val="center"/>
                </w:tcPr>
                <w:p>
                  <w:pPr>
                    <w:spacing w:line="360" w:lineRule="auto"/>
                    <w:jc w:val="center"/>
                    <w:rPr>
                      <w:color w:val="auto"/>
                      <w:szCs w:val="21"/>
                    </w:rPr>
                  </w:pPr>
                  <w:r>
                    <w:rPr>
                      <w:rFonts w:hint="eastAsia"/>
                      <w:color w:val="auto"/>
                      <w:szCs w:val="21"/>
                    </w:rPr>
                    <w:t>增塑剂</w:t>
                  </w:r>
                </w:p>
              </w:tc>
              <w:tc>
                <w:tcPr>
                  <w:tcW w:w="2214" w:type="dxa"/>
                  <w:shd w:val="clear" w:color="auto" w:fill="auto"/>
                </w:tcPr>
                <w:p>
                  <w:pPr>
                    <w:spacing w:line="360" w:lineRule="auto"/>
                    <w:jc w:val="center"/>
                    <w:rPr>
                      <w:color w:val="auto"/>
                      <w:szCs w:val="21"/>
                    </w:rPr>
                  </w:pPr>
                  <w:r>
                    <w:rPr>
                      <w:rFonts w:hint="eastAsia"/>
                      <w:color w:val="auto"/>
                      <w:szCs w:val="21"/>
                    </w:rPr>
                    <w:t>邻苯二甲酸二丁酯</w:t>
                  </w:r>
                </w:p>
              </w:tc>
              <w:tc>
                <w:tcPr>
                  <w:tcW w:w="2156" w:type="dxa"/>
                  <w:shd w:val="clear" w:color="auto" w:fill="auto"/>
                  <w:vAlign w:val="center"/>
                </w:tcPr>
                <w:p>
                  <w:pPr>
                    <w:pStyle w:val="142"/>
                    <w:spacing w:line="360" w:lineRule="auto"/>
                    <w:rPr>
                      <w:color w:val="auto"/>
                      <w:szCs w:val="21"/>
                    </w:rPr>
                  </w:pPr>
                  <w:r>
                    <w:rPr>
                      <w:rFonts w:hint="eastAsia"/>
                      <w:color w:val="auto"/>
                      <w:szCs w:val="21"/>
                    </w:rPr>
                    <w:t>90吨</w:t>
                  </w:r>
                </w:p>
              </w:tc>
              <w:tc>
                <w:tcPr>
                  <w:tcW w:w="2156" w:type="dxa"/>
                </w:tcPr>
                <w:p>
                  <w:pPr>
                    <w:pStyle w:val="142"/>
                    <w:spacing w:line="360" w:lineRule="auto"/>
                    <w:rPr>
                      <w:color w:val="auto"/>
                      <w:szCs w:val="21"/>
                    </w:rPr>
                  </w:pPr>
                  <w:r>
                    <w:rPr>
                      <w:rFonts w:hint="eastAsia"/>
                      <w:color w:val="auto"/>
                      <w:szCs w:val="21"/>
                    </w:rPr>
                    <w:t>最大储存量为3吨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69" w:type="dxa"/>
                  <w:vMerge w:val="continue"/>
                  <w:shd w:val="clear" w:color="auto" w:fill="auto"/>
                  <w:vAlign w:val="center"/>
                </w:tcPr>
                <w:p>
                  <w:pPr>
                    <w:pStyle w:val="34"/>
                    <w:spacing w:line="360" w:lineRule="auto"/>
                    <w:ind w:firstLine="0"/>
                    <w:jc w:val="center"/>
                    <w:rPr>
                      <w:color w:val="auto"/>
                      <w:sz w:val="21"/>
                      <w:szCs w:val="21"/>
                    </w:rPr>
                  </w:pPr>
                </w:p>
              </w:tc>
              <w:tc>
                <w:tcPr>
                  <w:tcW w:w="1065" w:type="dxa"/>
                  <w:vMerge w:val="continue"/>
                  <w:shd w:val="clear" w:color="auto" w:fill="auto"/>
                </w:tcPr>
                <w:p>
                  <w:pPr>
                    <w:spacing w:line="360" w:lineRule="auto"/>
                    <w:jc w:val="center"/>
                    <w:rPr>
                      <w:color w:val="auto"/>
                      <w:szCs w:val="21"/>
                    </w:rPr>
                  </w:pPr>
                </w:p>
              </w:tc>
              <w:tc>
                <w:tcPr>
                  <w:tcW w:w="2214" w:type="dxa"/>
                  <w:shd w:val="clear" w:color="auto" w:fill="auto"/>
                </w:tcPr>
                <w:p>
                  <w:pPr>
                    <w:spacing w:line="360" w:lineRule="auto"/>
                    <w:jc w:val="center"/>
                    <w:rPr>
                      <w:color w:val="auto"/>
                      <w:szCs w:val="21"/>
                    </w:rPr>
                  </w:pPr>
                  <w:r>
                    <w:rPr>
                      <w:rFonts w:hint="eastAsia"/>
                      <w:color w:val="auto"/>
                      <w:szCs w:val="21"/>
                    </w:rPr>
                    <w:t>己二酸二辛酯</w:t>
                  </w:r>
                </w:p>
              </w:tc>
              <w:tc>
                <w:tcPr>
                  <w:tcW w:w="2156" w:type="dxa"/>
                  <w:shd w:val="clear" w:color="auto" w:fill="auto"/>
                  <w:vAlign w:val="center"/>
                </w:tcPr>
                <w:p>
                  <w:pPr>
                    <w:pStyle w:val="142"/>
                    <w:spacing w:line="360" w:lineRule="auto"/>
                    <w:rPr>
                      <w:color w:val="auto"/>
                      <w:szCs w:val="21"/>
                    </w:rPr>
                  </w:pPr>
                  <w:r>
                    <w:rPr>
                      <w:rFonts w:hint="eastAsia"/>
                      <w:color w:val="auto"/>
                      <w:szCs w:val="21"/>
                    </w:rPr>
                    <w:t>60吨</w:t>
                  </w:r>
                </w:p>
              </w:tc>
              <w:tc>
                <w:tcPr>
                  <w:tcW w:w="2156" w:type="dxa"/>
                </w:tcPr>
                <w:p>
                  <w:pPr>
                    <w:pStyle w:val="142"/>
                    <w:spacing w:line="360" w:lineRule="auto"/>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69" w:type="dxa"/>
                  <w:shd w:val="clear" w:color="auto" w:fill="auto"/>
                  <w:vAlign w:val="center"/>
                </w:tcPr>
                <w:p>
                  <w:pPr>
                    <w:pStyle w:val="34"/>
                    <w:spacing w:line="360" w:lineRule="auto"/>
                    <w:ind w:firstLine="0"/>
                    <w:jc w:val="center"/>
                    <w:rPr>
                      <w:color w:val="auto"/>
                      <w:sz w:val="21"/>
                      <w:szCs w:val="21"/>
                    </w:rPr>
                  </w:pPr>
                  <w:r>
                    <w:rPr>
                      <w:rFonts w:hint="eastAsia"/>
                      <w:color w:val="auto"/>
                      <w:sz w:val="21"/>
                      <w:szCs w:val="21"/>
                    </w:rPr>
                    <w:t>3</w:t>
                  </w:r>
                </w:p>
              </w:tc>
              <w:tc>
                <w:tcPr>
                  <w:tcW w:w="3279" w:type="dxa"/>
                  <w:gridSpan w:val="2"/>
                  <w:shd w:val="clear" w:color="auto" w:fill="auto"/>
                  <w:vAlign w:val="center"/>
                </w:tcPr>
                <w:p>
                  <w:pPr>
                    <w:spacing w:line="360" w:lineRule="auto"/>
                    <w:jc w:val="center"/>
                    <w:rPr>
                      <w:color w:val="auto"/>
                      <w:szCs w:val="21"/>
                    </w:rPr>
                  </w:pPr>
                  <w:r>
                    <w:rPr>
                      <w:rFonts w:hint="eastAsia"/>
                      <w:color w:val="auto"/>
                      <w:szCs w:val="21"/>
                    </w:rPr>
                    <w:t>碳酸钙粉</w:t>
                  </w:r>
                </w:p>
              </w:tc>
              <w:tc>
                <w:tcPr>
                  <w:tcW w:w="2156" w:type="dxa"/>
                  <w:shd w:val="clear" w:color="auto" w:fill="auto"/>
                  <w:vAlign w:val="center"/>
                </w:tcPr>
                <w:p>
                  <w:pPr>
                    <w:pStyle w:val="142"/>
                    <w:spacing w:line="360" w:lineRule="auto"/>
                    <w:rPr>
                      <w:color w:val="auto"/>
                      <w:szCs w:val="21"/>
                    </w:rPr>
                  </w:pPr>
                  <w:r>
                    <w:rPr>
                      <w:rFonts w:hint="eastAsia"/>
                      <w:color w:val="auto"/>
                      <w:szCs w:val="21"/>
                    </w:rPr>
                    <w:t>74吨</w:t>
                  </w:r>
                </w:p>
              </w:tc>
              <w:tc>
                <w:tcPr>
                  <w:tcW w:w="2156" w:type="dxa"/>
                </w:tcPr>
                <w:p>
                  <w:pPr>
                    <w:pStyle w:val="142"/>
                    <w:spacing w:line="360" w:lineRule="auto"/>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369" w:type="dxa"/>
                  <w:shd w:val="clear" w:color="auto" w:fill="auto"/>
                  <w:vAlign w:val="center"/>
                </w:tcPr>
                <w:p>
                  <w:pPr>
                    <w:pStyle w:val="34"/>
                    <w:spacing w:line="360" w:lineRule="auto"/>
                    <w:ind w:firstLine="0"/>
                    <w:jc w:val="center"/>
                    <w:rPr>
                      <w:color w:val="auto"/>
                      <w:sz w:val="21"/>
                      <w:szCs w:val="21"/>
                    </w:rPr>
                  </w:pPr>
                  <w:r>
                    <w:rPr>
                      <w:rFonts w:hint="eastAsia"/>
                      <w:color w:val="auto"/>
                      <w:sz w:val="21"/>
                      <w:szCs w:val="21"/>
                    </w:rPr>
                    <w:t>4</w:t>
                  </w:r>
                </w:p>
              </w:tc>
              <w:tc>
                <w:tcPr>
                  <w:tcW w:w="3279" w:type="dxa"/>
                  <w:gridSpan w:val="2"/>
                  <w:shd w:val="clear" w:color="auto" w:fill="auto"/>
                  <w:vAlign w:val="center"/>
                </w:tcPr>
                <w:p>
                  <w:pPr>
                    <w:spacing w:line="360" w:lineRule="auto"/>
                    <w:jc w:val="center"/>
                    <w:rPr>
                      <w:color w:val="auto"/>
                      <w:szCs w:val="21"/>
                    </w:rPr>
                  </w:pPr>
                  <w:r>
                    <w:rPr>
                      <w:rFonts w:hint="eastAsia"/>
                      <w:color w:val="auto"/>
                      <w:szCs w:val="21"/>
                    </w:rPr>
                    <w:t>色粉</w:t>
                  </w:r>
                </w:p>
              </w:tc>
              <w:tc>
                <w:tcPr>
                  <w:tcW w:w="2156" w:type="dxa"/>
                  <w:shd w:val="clear" w:color="auto" w:fill="auto"/>
                  <w:vAlign w:val="center"/>
                </w:tcPr>
                <w:p>
                  <w:pPr>
                    <w:pStyle w:val="142"/>
                    <w:spacing w:line="360" w:lineRule="auto"/>
                    <w:rPr>
                      <w:color w:val="auto"/>
                      <w:szCs w:val="21"/>
                    </w:rPr>
                  </w:pPr>
                  <w:r>
                    <w:rPr>
                      <w:rFonts w:hint="eastAsia"/>
                      <w:color w:val="auto"/>
                      <w:szCs w:val="21"/>
                    </w:rPr>
                    <w:t>1吨</w:t>
                  </w:r>
                </w:p>
              </w:tc>
              <w:tc>
                <w:tcPr>
                  <w:tcW w:w="2156" w:type="dxa"/>
                </w:tcPr>
                <w:p>
                  <w:pPr>
                    <w:pStyle w:val="142"/>
                    <w:spacing w:line="360" w:lineRule="auto"/>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369" w:type="dxa"/>
                  <w:shd w:val="clear" w:color="auto" w:fill="auto"/>
                  <w:vAlign w:val="center"/>
                </w:tcPr>
                <w:p>
                  <w:pPr>
                    <w:pStyle w:val="34"/>
                    <w:spacing w:line="360" w:lineRule="auto"/>
                    <w:ind w:firstLine="0"/>
                    <w:jc w:val="center"/>
                    <w:rPr>
                      <w:color w:val="auto"/>
                      <w:sz w:val="21"/>
                      <w:szCs w:val="21"/>
                    </w:rPr>
                  </w:pPr>
                  <w:r>
                    <w:rPr>
                      <w:rFonts w:hint="eastAsia"/>
                      <w:color w:val="auto"/>
                      <w:sz w:val="21"/>
                      <w:szCs w:val="21"/>
                    </w:rPr>
                    <w:t>5</w:t>
                  </w:r>
                </w:p>
              </w:tc>
              <w:tc>
                <w:tcPr>
                  <w:tcW w:w="3279" w:type="dxa"/>
                  <w:gridSpan w:val="2"/>
                  <w:shd w:val="clear" w:color="auto" w:fill="auto"/>
                  <w:vAlign w:val="center"/>
                </w:tcPr>
                <w:p>
                  <w:pPr>
                    <w:spacing w:line="360" w:lineRule="auto"/>
                    <w:jc w:val="center"/>
                    <w:rPr>
                      <w:color w:val="auto"/>
                      <w:szCs w:val="21"/>
                    </w:rPr>
                  </w:pPr>
                  <w:r>
                    <w:rPr>
                      <w:rFonts w:hint="eastAsia"/>
                      <w:color w:val="auto"/>
                      <w:szCs w:val="21"/>
                    </w:rPr>
                    <w:t>涤纶线</w:t>
                  </w:r>
                </w:p>
              </w:tc>
              <w:tc>
                <w:tcPr>
                  <w:tcW w:w="2156" w:type="dxa"/>
                  <w:shd w:val="clear" w:color="auto" w:fill="auto"/>
                  <w:vAlign w:val="center"/>
                </w:tcPr>
                <w:p>
                  <w:pPr>
                    <w:pStyle w:val="142"/>
                    <w:spacing w:line="360" w:lineRule="auto"/>
                    <w:rPr>
                      <w:color w:val="auto"/>
                      <w:szCs w:val="21"/>
                    </w:rPr>
                  </w:pPr>
                  <w:r>
                    <w:rPr>
                      <w:rFonts w:hint="eastAsia"/>
                      <w:color w:val="auto"/>
                      <w:szCs w:val="21"/>
                    </w:rPr>
                    <w:t>30吨</w:t>
                  </w:r>
                </w:p>
              </w:tc>
              <w:tc>
                <w:tcPr>
                  <w:tcW w:w="2156" w:type="dxa"/>
                </w:tcPr>
                <w:p>
                  <w:pPr>
                    <w:pStyle w:val="142"/>
                    <w:spacing w:line="360" w:lineRule="auto"/>
                    <w:rPr>
                      <w:color w:val="auto"/>
                      <w:szCs w:val="21"/>
                    </w:rPr>
                  </w:pPr>
                  <w:r>
                    <w:rPr>
                      <w:rFonts w:hint="eastAsia"/>
                      <w:color w:val="auto"/>
                      <w:szCs w:val="21"/>
                    </w:rPr>
                    <w:t>——</w:t>
                  </w:r>
                </w:p>
              </w:tc>
            </w:tr>
          </w:tbl>
          <w:p>
            <w:pPr>
              <w:spacing w:line="360" w:lineRule="auto"/>
              <w:ind w:left="454"/>
              <w:rPr>
                <w:b/>
                <w:color w:val="auto"/>
                <w:szCs w:val="21"/>
              </w:rPr>
            </w:pPr>
            <w:r>
              <w:rPr>
                <w:rFonts w:hint="eastAsia"/>
                <w:b/>
                <w:color w:val="auto"/>
                <w:szCs w:val="21"/>
              </w:rPr>
              <w:t>说明：</w:t>
            </w:r>
          </w:p>
          <w:p>
            <w:pPr>
              <w:spacing w:line="360" w:lineRule="auto"/>
              <w:ind w:firstLine="422" w:firstLineChars="200"/>
              <w:rPr>
                <w:color w:val="auto"/>
                <w:szCs w:val="21"/>
              </w:rPr>
            </w:pPr>
            <w:r>
              <w:rPr>
                <w:b/>
                <w:color w:val="auto"/>
                <w:szCs w:val="21"/>
              </w:rPr>
              <w:t>PVC</w:t>
            </w:r>
            <w:r>
              <w:rPr>
                <w:rFonts w:hint="eastAsia"/>
                <w:b/>
                <w:color w:val="auto"/>
                <w:szCs w:val="21"/>
              </w:rPr>
              <w:t>塑胶粉：</w:t>
            </w:r>
            <w:r>
              <w:rPr>
                <w:color w:val="auto"/>
                <w:szCs w:val="21"/>
              </w:rPr>
              <w:t xml:space="preserve"> PVC</w:t>
            </w:r>
            <w:r>
              <w:rPr>
                <w:rFonts w:hint="eastAsia"/>
                <w:color w:val="auto"/>
                <w:szCs w:val="21"/>
              </w:rPr>
              <w:t>材料是一种非结晶性材料。</w:t>
            </w:r>
            <w:r>
              <w:rPr>
                <w:color w:val="auto"/>
                <w:szCs w:val="21"/>
              </w:rPr>
              <w:t>PVC</w:t>
            </w:r>
            <w:r>
              <w:rPr>
                <w:rFonts w:hint="eastAsia"/>
                <w:color w:val="auto"/>
                <w:szCs w:val="21"/>
              </w:rPr>
              <w:t>材料在实际使用中经常加入稳定剂、润滑剂、辅助加工剂、色料、抗冲击剂及其它添加剂。具有不易燃性、高强度、耐气侯变化性以及优良的几何稳定性。</w:t>
            </w:r>
          </w:p>
          <w:p>
            <w:pPr>
              <w:spacing w:line="360" w:lineRule="auto"/>
              <w:ind w:firstLine="422" w:firstLineChars="200"/>
              <w:rPr>
                <w:color w:val="auto"/>
                <w:szCs w:val="21"/>
              </w:rPr>
            </w:pPr>
            <w:r>
              <w:rPr>
                <w:rFonts w:hint="eastAsia"/>
                <w:b/>
                <w:bCs/>
                <w:color w:val="auto"/>
                <w:szCs w:val="21"/>
              </w:rPr>
              <w:t>邻苯二甲酸二丁酯：</w:t>
            </w:r>
            <w:r>
              <w:rPr>
                <w:rFonts w:hint="eastAsia"/>
                <w:color w:val="auto"/>
                <w:szCs w:val="21"/>
              </w:rPr>
              <w:t>本品是一种具有强烈溶解能力的增塑剂，无毒。无色</w:t>
            </w:r>
            <w:r>
              <w:rPr>
                <w:rFonts w:hint="eastAsia"/>
                <w:color w:val="auto"/>
                <w:szCs w:val="21"/>
                <w:lang w:eastAsia="zh-CN"/>
              </w:rPr>
              <w:t>至淡黄</w:t>
            </w:r>
            <w:r>
              <w:rPr>
                <w:rFonts w:hint="eastAsia"/>
                <w:color w:val="auto"/>
                <w:szCs w:val="21"/>
              </w:rPr>
              <w:t>液体，沸点340℃，熔点-35℃，蒸汽压</w:t>
            </w:r>
            <w:r>
              <w:rPr>
                <w:rFonts w:hint="eastAsia"/>
                <w:color w:val="auto"/>
                <w:szCs w:val="21"/>
                <w:lang w:val="en-US" w:eastAsia="zh-CN"/>
              </w:rPr>
              <w:t>1.42mmHg</w:t>
            </w:r>
            <w:r>
              <w:rPr>
                <w:rFonts w:hint="eastAsia"/>
                <w:color w:val="auto"/>
                <w:szCs w:val="21"/>
              </w:rPr>
              <w:t>（1</w:t>
            </w:r>
            <w:r>
              <w:rPr>
                <w:rFonts w:hint="eastAsia"/>
                <w:color w:val="auto"/>
                <w:szCs w:val="21"/>
                <w:lang w:val="en-US" w:eastAsia="zh-CN"/>
              </w:rPr>
              <w:t>15</w:t>
            </w:r>
            <w:r>
              <w:rPr>
                <w:rFonts w:hint="eastAsia"/>
                <w:color w:val="auto"/>
                <w:szCs w:val="21"/>
              </w:rPr>
              <w:t>℃），</w:t>
            </w:r>
            <w:r>
              <w:rPr>
                <w:rFonts w:hint="eastAsia"/>
                <w:color w:val="auto"/>
                <w:szCs w:val="21"/>
                <w:lang w:eastAsia="zh-CN"/>
              </w:rPr>
              <w:t>蒸气密度</w:t>
            </w:r>
            <w:r>
              <w:rPr>
                <w:rFonts w:hint="eastAsia"/>
                <w:color w:val="auto"/>
                <w:szCs w:val="21"/>
                <w:lang w:val="en-US" w:eastAsia="zh-CN"/>
              </w:rPr>
              <w:t>9.6</w:t>
            </w:r>
            <w:r>
              <w:rPr>
                <w:rFonts w:hint="eastAsia"/>
                <w:color w:val="auto"/>
                <w:szCs w:val="21"/>
                <w:lang w:eastAsia="zh-CN"/>
              </w:rPr>
              <w:t>（空气</w:t>
            </w:r>
            <w:r>
              <w:rPr>
                <w:rFonts w:hint="eastAsia"/>
                <w:color w:val="auto"/>
                <w:szCs w:val="21"/>
                <w:lang w:val="en-US" w:eastAsia="zh-CN"/>
              </w:rPr>
              <w:t>=1</w:t>
            </w:r>
            <w:r>
              <w:rPr>
                <w:rFonts w:hint="eastAsia"/>
                <w:color w:val="auto"/>
                <w:szCs w:val="21"/>
                <w:lang w:eastAsia="zh-CN"/>
              </w:rPr>
              <w:t>）</w:t>
            </w:r>
            <w:r>
              <w:rPr>
                <w:rFonts w:hint="eastAsia"/>
                <w:color w:val="auto"/>
                <w:szCs w:val="21"/>
                <w:lang w:val="en-US" w:eastAsia="zh-CN"/>
              </w:rPr>
              <w:t>，比重1.05（水=1），</w:t>
            </w:r>
            <w:r>
              <w:rPr>
                <w:rFonts w:hint="eastAsia"/>
                <w:color w:val="auto"/>
                <w:szCs w:val="21"/>
              </w:rPr>
              <w:t>水中溶解度</w:t>
            </w:r>
            <w:r>
              <w:rPr>
                <w:rFonts w:hint="eastAsia"/>
                <w:color w:val="auto"/>
                <w:szCs w:val="21"/>
                <w:lang w:val="en-US" w:eastAsia="zh-CN"/>
              </w:rPr>
              <w:t>0.46</w:t>
            </w:r>
            <w:r>
              <w:rPr>
                <w:rFonts w:hint="eastAsia"/>
                <w:color w:val="auto"/>
                <w:szCs w:val="21"/>
              </w:rPr>
              <w:t>%（2</w:t>
            </w:r>
            <w:r>
              <w:rPr>
                <w:rFonts w:hint="eastAsia"/>
                <w:color w:val="auto"/>
                <w:szCs w:val="21"/>
                <w:lang w:val="en-US" w:eastAsia="zh-CN"/>
              </w:rPr>
              <w:t>0</w:t>
            </w:r>
            <w:r>
              <w:rPr>
                <w:rFonts w:hint="eastAsia"/>
                <w:color w:val="auto"/>
                <w:szCs w:val="21"/>
              </w:rPr>
              <w:t>℃），闪</w:t>
            </w:r>
            <w:r>
              <w:rPr>
                <w:rFonts w:hint="eastAsia"/>
                <w:color w:val="auto"/>
                <w:szCs w:val="21"/>
                <w:lang w:eastAsia="zh-CN"/>
              </w:rPr>
              <w:t>火</w:t>
            </w:r>
            <w:r>
              <w:rPr>
                <w:rFonts w:hint="eastAsia"/>
                <w:color w:val="auto"/>
                <w:szCs w:val="21"/>
              </w:rPr>
              <w:t>点</w:t>
            </w:r>
            <w:r>
              <w:rPr>
                <w:rFonts w:hint="eastAsia"/>
                <w:color w:val="auto"/>
                <w:szCs w:val="21"/>
                <w:lang w:val="en-US" w:eastAsia="zh-CN"/>
              </w:rPr>
              <w:t>157</w:t>
            </w:r>
            <w:r>
              <w:rPr>
                <w:rFonts w:hint="eastAsia"/>
                <w:color w:val="auto"/>
                <w:szCs w:val="21"/>
              </w:rPr>
              <w:t>℃，溶于大多数有机溶剂和烃类。</w:t>
            </w:r>
          </w:p>
          <w:p>
            <w:pPr>
              <w:pStyle w:val="2"/>
              <w:spacing w:line="360" w:lineRule="auto"/>
              <w:ind w:firstLine="422" w:firstLineChars="200"/>
              <w:rPr>
                <w:rFonts w:ascii="Times New Roman" w:cs="Times New Roman"/>
                <w:b/>
                <w:bCs/>
                <w:color w:val="auto"/>
                <w:sz w:val="21"/>
                <w:szCs w:val="21"/>
              </w:rPr>
            </w:pPr>
            <w:r>
              <w:rPr>
                <w:rFonts w:ascii="Times New Roman" w:cs="Times New Roman"/>
                <w:b/>
                <w:bCs/>
                <w:color w:val="auto"/>
                <w:sz w:val="21"/>
                <w:szCs w:val="21"/>
              </w:rPr>
              <w:t>己二酸二辛酯：</w:t>
            </w:r>
            <w:r>
              <w:rPr>
                <w:rFonts w:ascii="Times New Roman" w:cs="Times New Roman"/>
                <w:color w:val="auto"/>
                <w:sz w:val="21"/>
                <w:szCs w:val="21"/>
              </w:rPr>
              <w:t>本品是聚氯乙烯的优良耐寒增塑剂，赋予制品优良的低温柔软性，并具有一定的光热稳定性和耐水性，无毒。</w:t>
            </w:r>
            <w:r>
              <w:rPr>
                <w:rFonts w:hint="eastAsia" w:ascii="Times New Roman" w:cs="Times New Roman"/>
                <w:color w:val="auto"/>
                <w:sz w:val="21"/>
                <w:szCs w:val="21"/>
                <w:lang w:eastAsia="zh-CN"/>
              </w:rPr>
              <w:t>无色无味</w:t>
            </w:r>
            <w:r>
              <w:rPr>
                <w:rFonts w:ascii="Times New Roman" w:cs="Times New Roman"/>
                <w:color w:val="auto"/>
                <w:sz w:val="21"/>
                <w:szCs w:val="21"/>
              </w:rPr>
              <w:t>液体，</w:t>
            </w:r>
            <w:r>
              <w:rPr>
                <w:rFonts w:hint="eastAsia" w:ascii="Times New Roman" w:cs="Times New Roman"/>
                <w:color w:val="auto"/>
                <w:sz w:val="21"/>
                <w:szCs w:val="21"/>
              </w:rPr>
              <w:t>沸点</w:t>
            </w:r>
            <w:r>
              <w:rPr>
                <w:rFonts w:hint="eastAsia" w:ascii="Times New Roman" w:cs="Times New Roman"/>
                <w:color w:val="auto"/>
                <w:sz w:val="21"/>
                <w:szCs w:val="21"/>
                <w:lang w:val="en-US" w:eastAsia="zh-CN"/>
              </w:rPr>
              <w:t>224</w:t>
            </w:r>
            <w:r>
              <w:rPr>
                <w:rFonts w:hint="eastAsia" w:ascii="Times New Roman" w:cs="Times New Roman"/>
                <w:color w:val="auto"/>
                <w:sz w:val="21"/>
                <w:szCs w:val="21"/>
              </w:rPr>
              <w:t>℃，熔点-</w:t>
            </w:r>
            <w:r>
              <w:rPr>
                <w:rFonts w:hint="eastAsia" w:ascii="Times New Roman" w:cs="Times New Roman"/>
                <w:color w:val="auto"/>
                <w:sz w:val="21"/>
                <w:szCs w:val="21"/>
                <w:lang w:val="en-US" w:eastAsia="zh-CN"/>
              </w:rPr>
              <w:t>6</w:t>
            </w:r>
            <w:r>
              <w:rPr>
                <w:rFonts w:hint="eastAsia" w:ascii="Times New Roman" w:cs="Times New Roman"/>
                <w:color w:val="auto"/>
                <w:sz w:val="21"/>
                <w:szCs w:val="21"/>
              </w:rPr>
              <w:t>5℃，蒸汽压</w:t>
            </w:r>
            <w:r>
              <w:rPr>
                <w:rFonts w:hint="eastAsia" w:ascii="Times New Roman" w:cs="Times New Roman"/>
                <w:color w:val="auto"/>
                <w:sz w:val="21"/>
                <w:szCs w:val="21"/>
                <w:lang w:val="en-US" w:eastAsia="zh-CN"/>
              </w:rPr>
              <w:t>2.3</w:t>
            </w:r>
            <w:r>
              <w:rPr>
                <w:rFonts w:hint="eastAsia" w:ascii="Times New Roman" w:cs="Times New Roman"/>
                <w:color w:val="auto"/>
                <w:sz w:val="21"/>
                <w:szCs w:val="21"/>
              </w:rPr>
              <w:t>mmHg（115℃），蒸气密度9.6（空气=1），比重</w:t>
            </w:r>
            <w:r>
              <w:rPr>
                <w:rFonts w:hint="eastAsia" w:ascii="Times New Roman" w:cs="Times New Roman"/>
                <w:color w:val="auto"/>
                <w:sz w:val="21"/>
                <w:szCs w:val="21"/>
                <w:lang w:val="en-US" w:eastAsia="zh-CN"/>
              </w:rPr>
              <w:t>0.9</w:t>
            </w:r>
            <w:r>
              <w:rPr>
                <w:rFonts w:hint="eastAsia" w:ascii="Times New Roman" w:cs="Times New Roman"/>
                <w:color w:val="auto"/>
                <w:sz w:val="21"/>
                <w:szCs w:val="21"/>
              </w:rPr>
              <w:t>（水=1），水中溶解度0.46%（20℃），闪火点</w:t>
            </w:r>
            <w:r>
              <w:rPr>
                <w:rFonts w:hint="eastAsia" w:ascii="Times New Roman" w:cs="Times New Roman"/>
                <w:color w:val="auto"/>
                <w:sz w:val="21"/>
                <w:szCs w:val="21"/>
                <w:lang w:val="en-US" w:eastAsia="zh-CN"/>
              </w:rPr>
              <w:t>232</w:t>
            </w:r>
            <w:r>
              <w:rPr>
                <w:rFonts w:hint="eastAsia" w:ascii="Times New Roman" w:cs="Times New Roman"/>
                <w:color w:val="auto"/>
                <w:sz w:val="21"/>
                <w:szCs w:val="21"/>
              </w:rPr>
              <w:t>℃，</w:t>
            </w:r>
            <w:r>
              <w:rPr>
                <w:rFonts w:ascii="Times New Roman" w:cs="Times New Roman"/>
                <w:color w:val="auto"/>
                <w:sz w:val="21"/>
                <w:szCs w:val="21"/>
              </w:rPr>
              <w:t>溶于大多数有机溶剂，微溶于乙二醇类，不溶于水。</w:t>
            </w:r>
          </w:p>
          <w:p>
            <w:pPr>
              <w:spacing w:line="360" w:lineRule="auto"/>
              <w:ind w:firstLine="422" w:firstLineChars="200"/>
              <w:rPr>
                <w:color w:val="auto"/>
                <w:szCs w:val="21"/>
              </w:rPr>
            </w:pPr>
            <w:r>
              <w:rPr>
                <w:rFonts w:hint="eastAsia"/>
                <w:b/>
                <w:bCs/>
                <w:color w:val="auto"/>
                <w:szCs w:val="21"/>
              </w:rPr>
              <w:t>碳酸钙粉：</w:t>
            </w:r>
            <w:r>
              <w:rPr>
                <w:rFonts w:hint="eastAsia"/>
                <w:color w:val="auto"/>
                <w:szCs w:val="21"/>
              </w:rPr>
              <w:t>无毒、无臭、无刺激性的白色粉末，相对密度为2.7~2.9，在空气中稳定，几乎不溶于水，不溶于醇。遇稀醋酸、稀盐酸、稀硝酸发生泡沸，并溶解。加热到898℃开始分解为氧化钙和二氧化碳。</w:t>
            </w:r>
          </w:p>
          <w:p>
            <w:pPr>
              <w:pStyle w:val="2"/>
              <w:spacing w:line="360" w:lineRule="auto"/>
              <w:ind w:firstLine="422" w:firstLineChars="200"/>
              <w:rPr>
                <w:rFonts w:ascii="Times New Roman" w:cs="Times New Roman"/>
                <w:b/>
                <w:bCs/>
                <w:color w:val="auto"/>
                <w:sz w:val="21"/>
                <w:szCs w:val="21"/>
              </w:rPr>
            </w:pPr>
            <w:r>
              <w:rPr>
                <w:rFonts w:hint="eastAsia" w:ascii="Times New Roman" w:cs="Times New Roman"/>
                <w:b/>
                <w:bCs/>
                <w:color w:val="auto"/>
                <w:sz w:val="21"/>
                <w:szCs w:val="21"/>
              </w:rPr>
              <w:t>色粉：</w:t>
            </w:r>
            <w:r>
              <w:rPr>
                <w:rFonts w:ascii="Arial" w:hAnsi="Arial" w:cs="Arial"/>
                <w:color w:val="auto"/>
                <w:sz w:val="21"/>
                <w:szCs w:val="21"/>
                <w:shd w:val="clear" w:color="auto" w:fill="FFFFFF"/>
              </w:rPr>
              <w:t>塑胶色粉是一种工业用品，赋于塑料各种颜色，以制成特定色泽的塑料制品。</w:t>
            </w:r>
          </w:p>
          <w:p>
            <w:pPr>
              <w:spacing w:line="360" w:lineRule="auto"/>
              <w:ind w:firstLine="422" w:firstLineChars="200"/>
              <w:rPr>
                <w:bCs/>
                <w:color w:val="auto"/>
                <w:szCs w:val="21"/>
              </w:rPr>
            </w:pPr>
            <w:r>
              <w:rPr>
                <w:rFonts w:hint="eastAsia"/>
                <w:b/>
                <w:color w:val="auto"/>
                <w:szCs w:val="21"/>
              </w:rPr>
              <w:t>涤纶线：</w:t>
            </w:r>
            <w:r>
              <w:rPr>
                <w:rFonts w:hint="eastAsia"/>
                <w:bCs/>
                <w:color w:val="auto"/>
                <w:szCs w:val="21"/>
              </w:rPr>
              <w:t>涤纶是合成纤维中的一个重要品种，是我国聚酯纤维的商品名称。它是以精对苯二甲酸（PTA）或对苯二甲酸二甲酯（DMT）和乙二醇（EG）为原料经酯化或酯交换和缩聚反应而制得的成纤高聚物——聚对苯二甲酸乙二醇酯（PET），经纺丝和后处理制成的纤维。</w:t>
            </w:r>
          </w:p>
          <w:p>
            <w:pPr>
              <w:spacing w:line="360" w:lineRule="auto"/>
              <w:ind w:firstLine="482" w:firstLineChars="200"/>
              <w:rPr>
                <w:b/>
                <w:color w:val="auto"/>
                <w:sz w:val="24"/>
              </w:rPr>
            </w:pPr>
            <w:r>
              <w:rPr>
                <w:rFonts w:hint="eastAsia"/>
                <w:b/>
                <w:color w:val="auto"/>
                <w:sz w:val="24"/>
              </w:rPr>
              <w:t>三、主要生产设备及数量：</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主要设备</w:t>
            </w:r>
          </w:p>
          <w:tbl>
            <w:tblPr>
              <w:tblStyle w:val="44"/>
              <w:tblW w:w="91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2625"/>
              <w:gridCol w:w="1876"/>
              <w:gridCol w:w="992"/>
              <w:gridCol w:w="1584"/>
              <w:gridCol w:w="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291" w:type="dxa"/>
                  <w:shd w:val="clear" w:color="auto" w:fill="auto"/>
                  <w:vAlign w:val="center"/>
                </w:tcPr>
                <w:p>
                  <w:pPr>
                    <w:spacing w:line="360" w:lineRule="auto"/>
                    <w:jc w:val="center"/>
                    <w:rPr>
                      <w:b/>
                      <w:color w:val="auto"/>
                      <w:szCs w:val="21"/>
                    </w:rPr>
                  </w:pPr>
                  <w:r>
                    <w:rPr>
                      <w:b/>
                      <w:color w:val="auto"/>
                      <w:szCs w:val="21"/>
                    </w:rPr>
                    <w:t>序号</w:t>
                  </w:r>
                </w:p>
              </w:tc>
              <w:tc>
                <w:tcPr>
                  <w:tcW w:w="2625" w:type="dxa"/>
                  <w:vAlign w:val="center"/>
                </w:tcPr>
                <w:p>
                  <w:pPr>
                    <w:spacing w:line="360" w:lineRule="auto"/>
                    <w:jc w:val="center"/>
                    <w:rPr>
                      <w:b/>
                      <w:color w:val="auto"/>
                      <w:szCs w:val="21"/>
                    </w:rPr>
                  </w:pPr>
                  <w:r>
                    <w:rPr>
                      <w:b/>
                      <w:color w:val="auto"/>
                      <w:szCs w:val="21"/>
                    </w:rPr>
                    <w:t>设备名称</w:t>
                  </w:r>
                </w:p>
              </w:tc>
              <w:tc>
                <w:tcPr>
                  <w:tcW w:w="1876" w:type="dxa"/>
                  <w:vAlign w:val="center"/>
                </w:tcPr>
                <w:p>
                  <w:pPr>
                    <w:spacing w:line="360" w:lineRule="auto"/>
                    <w:jc w:val="center"/>
                    <w:rPr>
                      <w:b/>
                      <w:color w:val="auto"/>
                      <w:szCs w:val="21"/>
                    </w:rPr>
                  </w:pPr>
                  <w:r>
                    <w:rPr>
                      <w:b/>
                      <w:color w:val="auto"/>
                      <w:szCs w:val="21"/>
                    </w:rPr>
                    <w:t>规格型号</w:t>
                  </w:r>
                </w:p>
              </w:tc>
              <w:tc>
                <w:tcPr>
                  <w:tcW w:w="992" w:type="dxa"/>
                  <w:vAlign w:val="center"/>
                </w:tcPr>
                <w:p>
                  <w:pPr>
                    <w:spacing w:line="360" w:lineRule="auto"/>
                    <w:jc w:val="center"/>
                    <w:rPr>
                      <w:b/>
                      <w:color w:val="auto"/>
                      <w:szCs w:val="21"/>
                    </w:rPr>
                  </w:pPr>
                  <w:r>
                    <w:rPr>
                      <w:b/>
                      <w:color w:val="auto"/>
                      <w:szCs w:val="21"/>
                    </w:rPr>
                    <w:t>数量</w:t>
                  </w:r>
                </w:p>
              </w:tc>
              <w:tc>
                <w:tcPr>
                  <w:tcW w:w="1584" w:type="dxa"/>
                  <w:vAlign w:val="center"/>
                </w:tcPr>
                <w:p>
                  <w:pPr>
                    <w:spacing w:line="360" w:lineRule="auto"/>
                    <w:jc w:val="center"/>
                    <w:rPr>
                      <w:b/>
                      <w:color w:val="auto"/>
                      <w:szCs w:val="21"/>
                    </w:rPr>
                  </w:pPr>
                  <w:r>
                    <w:rPr>
                      <w:b/>
                      <w:color w:val="auto"/>
                      <w:szCs w:val="21"/>
                    </w:rPr>
                    <w:t>工序/用途</w:t>
                  </w:r>
                </w:p>
              </w:tc>
              <w:tc>
                <w:tcPr>
                  <w:tcW w:w="750" w:type="dxa"/>
                  <w:shd w:val="clear" w:color="auto" w:fill="auto"/>
                  <w:vAlign w:val="center"/>
                </w:tcPr>
                <w:p>
                  <w:pPr>
                    <w:spacing w:line="360" w:lineRule="auto"/>
                    <w:jc w:val="center"/>
                    <w:rPr>
                      <w:b/>
                      <w:color w:val="auto"/>
                      <w:szCs w:val="21"/>
                    </w:rPr>
                  </w:pPr>
                  <w:r>
                    <w:rPr>
                      <w:b/>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291" w:type="dxa"/>
                  <w:shd w:val="clear" w:color="auto" w:fill="auto"/>
                  <w:vAlign w:val="center"/>
                </w:tcPr>
                <w:p>
                  <w:pPr>
                    <w:spacing w:line="360" w:lineRule="auto"/>
                    <w:jc w:val="center"/>
                    <w:rPr>
                      <w:color w:val="auto"/>
                      <w:szCs w:val="21"/>
                    </w:rPr>
                  </w:pPr>
                  <w:r>
                    <w:rPr>
                      <w:color w:val="auto"/>
                      <w:szCs w:val="21"/>
                    </w:rPr>
                    <w:t>1</w:t>
                  </w:r>
                </w:p>
              </w:tc>
              <w:tc>
                <w:tcPr>
                  <w:tcW w:w="2625" w:type="dxa"/>
                  <w:vAlign w:val="center"/>
                </w:tcPr>
                <w:p>
                  <w:pPr>
                    <w:widowControl/>
                    <w:spacing w:line="360" w:lineRule="auto"/>
                    <w:jc w:val="center"/>
                    <w:textAlignment w:val="center"/>
                    <w:rPr>
                      <w:color w:val="auto"/>
                      <w:szCs w:val="21"/>
                    </w:rPr>
                  </w:pPr>
                  <w:r>
                    <w:rPr>
                      <w:rFonts w:hint="eastAsia"/>
                      <w:color w:val="auto"/>
                      <w:kern w:val="0"/>
                      <w:szCs w:val="21"/>
                      <w:lang w:bidi="ar"/>
                    </w:rPr>
                    <w:t>搅拌机</w:t>
                  </w:r>
                </w:p>
              </w:tc>
              <w:tc>
                <w:tcPr>
                  <w:tcW w:w="1876" w:type="dxa"/>
                  <w:vAlign w:val="center"/>
                </w:tcPr>
                <w:p>
                  <w:pPr>
                    <w:spacing w:line="360" w:lineRule="auto"/>
                    <w:jc w:val="center"/>
                    <w:rPr>
                      <w:color w:val="auto"/>
                      <w:szCs w:val="21"/>
                    </w:rPr>
                  </w:pPr>
                  <w:r>
                    <w:rPr>
                      <w:color w:val="auto"/>
                      <w:szCs w:val="21"/>
                    </w:rPr>
                    <w:t>——</w:t>
                  </w:r>
                </w:p>
              </w:tc>
              <w:tc>
                <w:tcPr>
                  <w:tcW w:w="992" w:type="dxa"/>
                  <w:vAlign w:val="center"/>
                </w:tcPr>
                <w:p>
                  <w:pPr>
                    <w:widowControl/>
                    <w:spacing w:line="360" w:lineRule="auto"/>
                    <w:jc w:val="center"/>
                    <w:textAlignment w:val="center"/>
                    <w:rPr>
                      <w:color w:val="auto"/>
                      <w:szCs w:val="21"/>
                    </w:rPr>
                  </w:pPr>
                  <w:r>
                    <w:rPr>
                      <w:rFonts w:hint="eastAsia"/>
                      <w:color w:val="auto"/>
                      <w:kern w:val="0"/>
                      <w:szCs w:val="21"/>
                      <w:lang w:bidi="ar"/>
                    </w:rPr>
                    <w:t>1</w:t>
                  </w:r>
                  <w:r>
                    <w:rPr>
                      <w:color w:val="auto"/>
                      <w:kern w:val="0"/>
                      <w:szCs w:val="21"/>
                      <w:lang w:bidi="ar"/>
                    </w:rPr>
                    <w:t>台</w:t>
                  </w:r>
                </w:p>
              </w:tc>
              <w:tc>
                <w:tcPr>
                  <w:tcW w:w="1584" w:type="dxa"/>
                  <w:vAlign w:val="center"/>
                </w:tcPr>
                <w:p>
                  <w:pPr>
                    <w:spacing w:line="360" w:lineRule="auto"/>
                    <w:jc w:val="center"/>
                    <w:rPr>
                      <w:color w:val="auto"/>
                      <w:szCs w:val="21"/>
                    </w:rPr>
                  </w:pPr>
                  <w:r>
                    <w:rPr>
                      <w:rFonts w:hint="eastAsia"/>
                      <w:color w:val="auto"/>
                      <w:szCs w:val="21"/>
                    </w:rPr>
                    <w:t>混料</w:t>
                  </w:r>
                </w:p>
              </w:tc>
              <w:tc>
                <w:tcPr>
                  <w:tcW w:w="750" w:type="dxa"/>
                  <w:shd w:val="clear" w:color="auto" w:fill="auto"/>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291" w:type="dxa"/>
                  <w:shd w:val="clear" w:color="auto" w:fill="auto"/>
                  <w:vAlign w:val="center"/>
                </w:tcPr>
                <w:p>
                  <w:pPr>
                    <w:spacing w:line="360" w:lineRule="auto"/>
                    <w:jc w:val="center"/>
                    <w:rPr>
                      <w:color w:val="auto"/>
                      <w:szCs w:val="21"/>
                    </w:rPr>
                  </w:pPr>
                  <w:r>
                    <w:rPr>
                      <w:color w:val="auto"/>
                      <w:szCs w:val="21"/>
                    </w:rPr>
                    <w:t>2</w:t>
                  </w:r>
                </w:p>
              </w:tc>
              <w:tc>
                <w:tcPr>
                  <w:tcW w:w="2625" w:type="dxa"/>
                  <w:vAlign w:val="center"/>
                </w:tcPr>
                <w:p>
                  <w:pPr>
                    <w:widowControl/>
                    <w:spacing w:line="360" w:lineRule="auto"/>
                    <w:jc w:val="center"/>
                    <w:textAlignment w:val="center"/>
                    <w:rPr>
                      <w:color w:val="auto"/>
                      <w:szCs w:val="21"/>
                    </w:rPr>
                  </w:pPr>
                  <w:r>
                    <w:rPr>
                      <w:rFonts w:hint="eastAsia"/>
                      <w:color w:val="auto"/>
                      <w:szCs w:val="21"/>
                    </w:rPr>
                    <w:t>造粒机</w:t>
                  </w:r>
                </w:p>
              </w:tc>
              <w:tc>
                <w:tcPr>
                  <w:tcW w:w="1876" w:type="dxa"/>
                  <w:vAlign w:val="center"/>
                </w:tcPr>
                <w:p>
                  <w:pPr>
                    <w:spacing w:line="360" w:lineRule="auto"/>
                    <w:jc w:val="center"/>
                    <w:rPr>
                      <w:color w:val="auto"/>
                      <w:szCs w:val="21"/>
                    </w:rPr>
                  </w:pPr>
                  <w:r>
                    <w:rPr>
                      <w:color w:val="auto"/>
                      <w:szCs w:val="21"/>
                    </w:rPr>
                    <w:t>——</w:t>
                  </w:r>
                </w:p>
              </w:tc>
              <w:tc>
                <w:tcPr>
                  <w:tcW w:w="992" w:type="dxa"/>
                  <w:vAlign w:val="center"/>
                </w:tcPr>
                <w:p>
                  <w:pPr>
                    <w:widowControl/>
                    <w:spacing w:line="360" w:lineRule="auto"/>
                    <w:jc w:val="center"/>
                    <w:textAlignment w:val="center"/>
                    <w:rPr>
                      <w:color w:val="auto"/>
                      <w:szCs w:val="21"/>
                    </w:rPr>
                  </w:pPr>
                  <w:r>
                    <w:rPr>
                      <w:rFonts w:hint="eastAsia"/>
                      <w:color w:val="auto"/>
                      <w:kern w:val="0"/>
                      <w:szCs w:val="21"/>
                      <w:lang w:bidi="ar"/>
                    </w:rPr>
                    <w:t>1</w:t>
                  </w:r>
                  <w:r>
                    <w:rPr>
                      <w:color w:val="auto"/>
                      <w:kern w:val="0"/>
                      <w:szCs w:val="21"/>
                      <w:lang w:bidi="ar"/>
                    </w:rPr>
                    <w:t>台</w:t>
                  </w:r>
                </w:p>
              </w:tc>
              <w:tc>
                <w:tcPr>
                  <w:tcW w:w="1584" w:type="dxa"/>
                  <w:vAlign w:val="center"/>
                </w:tcPr>
                <w:p>
                  <w:pPr>
                    <w:spacing w:line="360" w:lineRule="auto"/>
                    <w:jc w:val="center"/>
                    <w:rPr>
                      <w:color w:val="auto"/>
                      <w:szCs w:val="21"/>
                    </w:rPr>
                  </w:pPr>
                  <w:r>
                    <w:rPr>
                      <w:rFonts w:hint="eastAsia"/>
                      <w:color w:val="auto"/>
                      <w:szCs w:val="21"/>
                    </w:rPr>
                    <w:t>造粒</w:t>
                  </w:r>
                </w:p>
              </w:tc>
              <w:tc>
                <w:tcPr>
                  <w:tcW w:w="750" w:type="dxa"/>
                  <w:shd w:val="clear" w:color="auto" w:fill="auto"/>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291" w:type="dxa"/>
                  <w:shd w:val="clear" w:color="auto" w:fill="auto"/>
                  <w:vAlign w:val="center"/>
                </w:tcPr>
                <w:p>
                  <w:pPr>
                    <w:spacing w:line="360" w:lineRule="auto"/>
                    <w:jc w:val="center"/>
                    <w:rPr>
                      <w:color w:val="auto"/>
                      <w:szCs w:val="21"/>
                    </w:rPr>
                  </w:pPr>
                  <w:r>
                    <w:rPr>
                      <w:rFonts w:hint="eastAsia"/>
                      <w:color w:val="auto"/>
                      <w:szCs w:val="21"/>
                    </w:rPr>
                    <w:t>3</w:t>
                  </w:r>
                </w:p>
              </w:tc>
              <w:tc>
                <w:tcPr>
                  <w:tcW w:w="2625" w:type="dxa"/>
                  <w:vAlign w:val="center"/>
                </w:tcPr>
                <w:p>
                  <w:pPr>
                    <w:widowControl/>
                    <w:spacing w:line="360" w:lineRule="auto"/>
                    <w:jc w:val="center"/>
                    <w:textAlignment w:val="center"/>
                    <w:rPr>
                      <w:color w:val="auto"/>
                      <w:szCs w:val="21"/>
                    </w:rPr>
                  </w:pPr>
                  <w:r>
                    <w:rPr>
                      <w:rFonts w:hint="eastAsia"/>
                      <w:color w:val="auto"/>
                      <w:szCs w:val="21"/>
                    </w:rPr>
                    <w:t>挤出机</w:t>
                  </w:r>
                </w:p>
              </w:tc>
              <w:tc>
                <w:tcPr>
                  <w:tcW w:w="1876" w:type="dxa"/>
                  <w:vAlign w:val="center"/>
                </w:tcPr>
                <w:p>
                  <w:pPr>
                    <w:spacing w:line="360" w:lineRule="auto"/>
                    <w:jc w:val="center"/>
                    <w:rPr>
                      <w:color w:val="auto"/>
                      <w:szCs w:val="21"/>
                    </w:rPr>
                  </w:pPr>
                  <w:r>
                    <w:rPr>
                      <w:color w:val="auto"/>
                      <w:szCs w:val="21"/>
                    </w:rPr>
                    <w:t>——</w:t>
                  </w:r>
                </w:p>
              </w:tc>
              <w:tc>
                <w:tcPr>
                  <w:tcW w:w="992" w:type="dxa"/>
                  <w:vAlign w:val="center"/>
                </w:tcPr>
                <w:p>
                  <w:pPr>
                    <w:widowControl/>
                    <w:spacing w:line="360" w:lineRule="auto"/>
                    <w:jc w:val="center"/>
                    <w:textAlignment w:val="center"/>
                    <w:rPr>
                      <w:color w:val="auto"/>
                      <w:kern w:val="0"/>
                      <w:szCs w:val="21"/>
                      <w:lang w:bidi="ar"/>
                    </w:rPr>
                  </w:pPr>
                  <w:r>
                    <w:rPr>
                      <w:rFonts w:hint="eastAsia"/>
                      <w:color w:val="auto"/>
                      <w:szCs w:val="21"/>
                    </w:rPr>
                    <w:t>4</w:t>
                  </w:r>
                  <w:r>
                    <w:rPr>
                      <w:color w:val="auto"/>
                      <w:szCs w:val="21"/>
                    </w:rPr>
                    <w:t>台</w:t>
                  </w:r>
                </w:p>
              </w:tc>
              <w:tc>
                <w:tcPr>
                  <w:tcW w:w="1584" w:type="dxa"/>
                  <w:vAlign w:val="center"/>
                </w:tcPr>
                <w:p>
                  <w:pPr>
                    <w:spacing w:line="360" w:lineRule="auto"/>
                    <w:jc w:val="center"/>
                    <w:rPr>
                      <w:color w:val="auto"/>
                      <w:szCs w:val="21"/>
                    </w:rPr>
                  </w:pPr>
                  <w:r>
                    <w:rPr>
                      <w:rFonts w:hint="eastAsia"/>
                      <w:color w:val="auto"/>
                      <w:szCs w:val="21"/>
                    </w:rPr>
                    <w:t>挤出成型、冷却</w:t>
                  </w:r>
                </w:p>
              </w:tc>
              <w:tc>
                <w:tcPr>
                  <w:tcW w:w="750" w:type="dxa"/>
                  <w:shd w:val="clear" w:color="auto" w:fill="auto"/>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291" w:type="dxa"/>
                  <w:shd w:val="clear" w:color="auto" w:fill="auto"/>
                  <w:vAlign w:val="center"/>
                </w:tcPr>
                <w:p>
                  <w:pPr>
                    <w:spacing w:line="360" w:lineRule="auto"/>
                    <w:jc w:val="center"/>
                    <w:rPr>
                      <w:color w:val="auto"/>
                      <w:szCs w:val="21"/>
                    </w:rPr>
                  </w:pPr>
                  <w:r>
                    <w:rPr>
                      <w:rFonts w:hint="eastAsia"/>
                      <w:color w:val="auto"/>
                      <w:szCs w:val="21"/>
                    </w:rPr>
                    <w:t>4</w:t>
                  </w:r>
                </w:p>
              </w:tc>
              <w:tc>
                <w:tcPr>
                  <w:tcW w:w="2625" w:type="dxa"/>
                  <w:vAlign w:val="center"/>
                </w:tcPr>
                <w:p>
                  <w:pPr>
                    <w:widowControl/>
                    <w:spacing w:line="360" w:lineRule="auto"/>
                    <w:jc w:val="center"/>
                    <w:textAlignment w:val="center"/>
                    <w:rPr>
                      <w:color w:val="auto"/>
                      <w:szCs w:val="21"/>
                    </w:rPr>
                  </w:pPr>
                  <w:r>
                    <w:rPr>
                      <w:rFonts w:hint="eastAsia"/>
                      <w:color w:val="auto"/>
                      <w:szCs w:val="21"/>
                    </w:rPr>
                    <w:t>收卷机</w:t>
                  </w:r>
                </w:p>
              </w:tc>
              <w:tc>
                <w:tcPr>
                  <w:tcW w:w="1876" w:type="dxa"/>
                  <w:vAlign w:val="center"/>
                </w:tcPr>
                <w:p>
                  <w:pPr>
                    <w:spacing w:line="360" w:lineRule="auto"/>
                    <w:jc w:val="center"/>
                    <w:rPr>
                      <w:color w:val="auto"/>
                      <w:szCs w:val="21"/>
                    </w:rPr>
                  </w:pPr>
                  <w:r>
                    <w:rPr>
                      <w:color w:val="auto"/>
                      <w:szCs w:val="21"/>
                    </w:rPr>
                    <w:t>——</w:t>
                  </w:r>
                </w:p>
              </w:tc>
              <w:tc>
                <w:tcPr>
                  <w:tcW w:w="992" w:type="dxa"/>
                  <w:vAlign w:val="center"/>
                </w:tcPr>
                <w:p>
                  <w:pPr>
                    <w:widowControl/>
                    <w:spacing w:line="360" w:lineRule="auto"/>
                    <w:jc w:val="center"/>
                    <w:textAlignment w:val="center"/>
                    <w:rPr>
                      <w:color w:val="auto"/>
                      <w:kern w:val="0"/>
                      <w:szCs w:val="21"/>
                      <w:lang w:bidi="ar"/>
                    </w:rPr>
                  </w:pPr>
                  <w:r>
                    <w:rPr>
                      <w:rFonts w:hint="eastAsia"/>
                      <w:color w:val="auto"/>
                      <w:szCs w:val="21"/>
                    </w:rPr>
                    <w:t>35台</w:t>
                  </w:r>
                </w:p>
              </w:tc>
              <w:tc>
                <w:tcPr>
                  <w:tcW w:w="1584" w:type="dxa"/>
                  <w:vAlign w:val="center"/>
                </w:tcPr>
                <w:p>
                  <w:pPr>
                    <w:spacing w:line="360" w:lineRule="auto"/>
                    <w:jc w:val="center"/>
                    <w:rPr>
                      <w:color w:val="auto"/>
                      <w:szCs w:val="21"/>
                    </w:rPr>
                  </w:pPr>
                  <w:r>
                    <w:rPr>
                      <w:rFonts w:hint="eastAsia"/>
                      <w:color w:val="auto"/>
                      <w:szCs w:val="21"/>
                    </w:rPr>
                    <w:t>收卷</w:t>
                  </w:r>
                </w:p>
              </w:tc>
              <w:tc>
                <w:tcPr>
                  <w:tcW w:w="750" w:type="dxa"/>
                  <w:shd w:val="clear" w:color="auto" w:fill="auto"/>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291" w:type="dxa"/>
                  <w:shd w:val="clear" w:color="auto" w:fill="auto"/>
                  <w:vAlign w:val="center"/>
                </w:tcPr>
                <w:p>
                  <w:pPr>
                    <w:spacing w:line="360" w:lineRule="auto"/>
                    <w:jc w:val="center"/>
                    <w:rPr>
                      <w:color w:val="auto"/>
                      <w:szCs w:val="21"/>
                    </w:rPr>
                  </w:pPr>
                  <w:r>
                    <w:rPr>
                      <w:rFonts w:hint="eastAsia"/>
                      <w:color w:val="auto"/>
                      <w:szCs w:val="21"/>
                    </w:rPr>
                    <w:t>5</w:t>
                  </w:r>
                </w:p>
              </w:tc>
              <w:tc>
                <w:tcPr>
                  <w:tcW w:w="2625" w:type="dxa"/>
                  <w:vAlign w:val="center"/>
                </w:tcPr>
                <w:p>
                  <w:pPr>
                    <w:widowControl/>
                    <w:spacing w:line="360" w:lineRule="auto"/>
                    <w:jc w:val="center"/>
                    <w:textAlignment w:val="center"/>
                    <w:rPr>
                      <w:color w:val="auto"/>
                      <w:szCs w:val="21"/>
                    </w:rPr>
                  </w:pPr>
                  <w:r>
                    <w:rPr>
                      <w:rFonts w:hint="eastAsia"/>
                      <w:color w:val="auto"/>
                      <w:szCs w:val="21"/>
                    </w:rPr>
                    <w:t>编织机</w:t>
                  </w:r>
                </w:p>
              </w:tc>
              <w:tc>
                <w:tcPr>
                  <w:tcW w:w="1876" w:type="dxa"/>
                  <w:vAlign w:val="center"/>
                </w:tcPr>
                <w:p>
                  <w:pPr>
                    <w:spacing w:line="360" w:lineRule="auto"/>
                    <w:jc w:val="center"/>
                    <w:rPr>
                      <w:color w:val="auto"/>
                      <w:szCs w:val="21"/>
                    </w:rPr>
                  </w:pPr>
                  <w:r>
                    <w:rPr>
                      <w:color w:val="auto"/>
                      <w:szCs w:val="21"/>
                    </w:rPr>
                    <w:t>——</w:t>
                  </w:r>
                </w:p>
              </w:tc>
              <w:tc>
                <w:tcPr>
                  <w:tcW w:w="992" w:type="dxa"/>
                  <w:vAlign w:val="center"/>
                </w:tcPr>
                <w:p>
                  <w:pPr>
                    <w:widowControl/>
                    <w:spacing w:line="360" w:lineRule="auto"/>
                    <w:jc w:val="center"/>
                    <w:textAlignment w:val="center"/>
                    <w:rPr>
                      <w:color w:val="auto"/>
                      <w:kern w:val="0"/>
                      <w:szCs w:val="21"/>
                      <w:lang w:bidi="ar"/>
                    </w:rPr>
                  </w:pPr>
                  <w:r>
                    <w:rPr>
                      <w:rFonts w:hint="eastAsia"/>
                      <w:color w:val="auto"/>
                      <w:szCs w:val="21"/>
                    </w:rPr>
                    <w:t>20</w:t>
                  </w:r>
                  <w:r>
                    <w:rPr>
                      <w:color w:val="auto"/>
                      <w:szCs w:val="21"/>
                    </w:rPr>
                    <w:t>台</w:t>
                  </w:r>
                </w:p>
              </w:tc>
              <w:tc>
                <w:tcPr>
                  <w:tcW w:w="1584" w:type="dxa"/>
                  <w:vAlign w:val="center"/>
                </w:tcPr>
                <w:p>
                  <w:pPr>
                    <w:spacing w:line="360" w:lineRule="auto"/>
                    <w:jc w:val="center"/>
                    <w:rPr>
                      <w:color w:val="auto"/>
                      <w:szCs w:val="21"/>
                    </w:rPr>
                  </w:pPr>
                  <w:r>
                    <w:rPr>
                      <w:rFonts w:hint="eastAsia"/>
                      <w:color w:val="auto"/>
                      <w:szCs w:val="21"/>
                    </w:rPr>
                    <w:t>编织</w:t>
                  </w:r>
                </w:p>
              </w:tc>
              <w:tc>
                <w:tcPr>
                  <w:tcW w:w="750" w:type="dxa"/>
                  <w:shd w:val="clear" w:color="auto" w:fill="auto"/>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291" w:type="dxa"/>
                  <w:shd w:val="clear" w:color="auto" w:fill="auto"/>
                  <w:vAlign w:val="center"/>
                </w:tcPr>
                <w:p>
                  <w:pPr>
                    <w:spacing w:line="360" w:lineRule="auto"/>
                    <w:jc w:val="center"/>
                    <w:rPr>
                      <w:color w:val="auto"/>
                      <w:szCs w:val="21"/>
                    </w:rPr>
                  </w:pPr>
                  <w:r>
                    <w:rPr>
                      <w:rFonts w:hint="eastAsia"/>
                      <w:color w:val="auto"/>
                      <w:szCs w:val="21"/>
                    </w:rPr>
                    <w:t>6</w:t>
                  </w:r>
                </w:p>
              </w:tc>
              <w:tc>
                <w:tcPr>
                  <w:tcW w:w="2625" w:type="dxa"/>
                  <w:vAlign w:val="center"/>
                </w:tcPr>
                <w:p>
                  <w:pPr>
                    <w:spacing w:line="360" w:lineRule="auto"/>
                    <w:jc w:val="center"/>
                    <w:rPr>
                      <w:color w:val="auto"/>
                      <w:szCs w:val="21"/>
                    </w:rPr>
                  </w:pPr>
                  <w:r>
                    <w:rPr>
                      <w:rFonts w:hint="eastAsia"/>
                      <w:color w:val="auto"/>
                      <w:szCs w:val="21"/>
                    </w:rPr>
                    <w:t>空压机</w:t>
                  </w:r>
                </w:p>
              </w:tc>
              <w:tc>
                <w:tcPr>
                  <w:tcW w:w="1876" w:type="dxa"/>
                  <w:vAlign w:val="center"/>
                </w:tcPr>
                <w:p>
                  <w:pPr>
                    <w:spacing w:line="360" w:lineRule="auto"/>
                    <w:jc w:val="center"/>
                    <w:rPr>
                      <w:color w:val="auto"/>
                      <w:szCs w:val="21"/>
                    </w:rPr>
                  </w:pPr>
                  <w:r>
                    <w:rPr>
                      <w:color w:val="auto"/>
                      <w:szCs w:val="21"/>
                    </w:rPr>
                    <w:t>——</w:t>
                  </w:r>
                </w:p>
              </w:tc>
              <w:tc>
                <w:tcPr>
                  <w:tcW w:w="992" w:type="dxa"/>
                  <w:vAlign w:val="center"/>
                </w:tcPr>
                <w:p>
                  <w:pPr>
                    <w:spacing w:line="360" w:lineRule="auto"/>
                    <w:jc w:val="center"/>
                    <w:rPr>
                      <w:color w:val="auto"/>
                      <w:szCs w:val="21"/>
                    </w:rPr>
                  </w:pPr>
                  <w:r>
                    <w:rPr>
                      <w:rFonts w:hint="eastAsia"/>
                      <w:color w:val="auto"/>
                      <w:szCs w:val="21"/>
                    </w:rPr>
                    <w:t>1</w:t>
                  </w:r>
                  <w:r>
                    <w:rPr>
                      <w:color w:val="auto"/>
                      <w:szCs w:val="21"/>
                    </w:rPr>
                    <w:t>台</w:t>
                  </w:r>
                </w:p>
              </w:tc>
              <w:tc>
                <w:tcPr>
                  <w:tcW w:w="1584" w:type="dxa"/>
                  <w:vMerge w:val="restart"/>
                  <w:vAlign w:val="center"/>
                </w:tcPr>
                <w:p>
                  <w:pPr>
                    <w:spacing w:line="360" w:lineRule="auto"/>
                    <w:jc w:val="center"/>
                    <w:rPr>
                      <w:color w:val="auto"/>
                      <w:szCs w:val="21"/>
                    </w:rPr>
                  </w:pPr>
                  <w:r>
                    <w:rPr>
                      <w:color w:val="auto"/>
                      <w:szCs w:val="21"/>
                    </w:rPr>
                    <w:t>辅助</w:t>
                  </w:r>
                </w:p>
              </w:tc>
              <w:tc>
                <w:tcPr>
                  <w:tcW w:w="750" w:type="dxa"/>
                  <w:vMerge w:val="restart"/>
                  <w:shd w:val="clear" w:color="auto" w:fill="auto"/>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291" w:type="dxa"/>
                  <w:shd w:val="clear" w:color="auto" w:fill="auto"/>
                  <w:vAlign w:val="center"/>
                </w:tcPr>
                <w:p>
                  <w:pPr>
                    <w:spacing w:line="360" w:lineRule="auto"/>
                    <w:jc w:val="center"/>
                    <w:rPr>
                      <w:color w:val="auto"/>
                      <w:szCs w:val="21"/>
                    </w:rPr>
                  </w:pPr>
                  <w:r>
                    <w:rPr>
                      <w:rFonts w:hint="eastAsia"/>
                      <w:color w:val="auto"/>
                      <w:szCs w:val="21"/>
                    </w:rPr>
                    <w:t>7</w:t>
                  </w:r>
                </w:p>
              </w:tc>
              <w:tc>
                <w:tcPr>
                  <w:tcW w:w="2625" w:type="dxa"/>
                  <w:vAlign w:val="center"/>
                </w:tcPr>
                <w:p>
                  <w:pPr>
                    <w:spacing w:line="360" w:lineRule="auto"/>
                    <w:jc w:val="center"/>
                    <w:rPr>
                      <w:color w:val="auto"/>
                      <w:szCs w:val="21"/>
                    </w:rPr>
                  </w:pPr>
                  <w:r>
                    <w:rPr>
                      <w:rFonts w:hint="eastAsia"/>
                      <w:color w:val="auto"/>
                      <w:szCs w:val="21"/>
                    </w:rPr>
                    <w:t>冷却塔</w:t>
                  </w:r>
                </w:p>
              </w:tc>
              <w:tc>
                <w:tcPr>
                  <w:tcW w:w="1876" w:type="dxa"/>
                  <w:vAlign w:val="center"/>
                </w:tcPr>
                <w:p>
                  <w:pPr>
                    <w:spacing w:line="360" w:lineRule="auto"/>
                    <w:jc w:val="center"/>
                    <w:rPr>
                      <w:color w:val="auto"/>
                      <w:szCs w:val="21"/>
                    </w:rPr>
                  </w:pPr>
                  <w:r>
                    <w:rPr>
                      <w:color w:val="auto"/>
                      <w:szCs w:val="21"/>
                    </w:rPr>
                    <w:t>——</w:t>
                  </w:r>
                </w:p>
              </w:tc>
              <w:tc>
                <w:tcPr>
                  <w:tcW w:w="992" w:type="dxa"/>
                  <w:vAlign w:val="center"/>
                </w:tcPr>
                <w:p>
                  <w:pPr>
                    <w:spacing w:line="360" w:lineRule="auto"/>
                    <w:jc w:val="center"/>
                    <w:rPr>
                      <w:color w:val="auto"/>
                      <w:szCs w:val="21"/>
                    </w:rPr>
                  </w:pPr>
                  <w:r>
                    <w:rPr>
                      <w:rFonts w:hint="eastAsia"/>
                      <w:color w:val="auto"/>
                      <w:szCs w:val="21"/>
                    </w:rPr>
                    <w:t>1</w:t>
                  </w:r>
                  <w:r>
                    <w:rPr>
                      <w:color w:val="auto"/>
                      <w:szCs w:val="21"/>
                    </w:rPr>
                    <w:t>台</w:t>
                  </w:r>
                </w:p>
              </w:tc>
              <w:tc>
                <w:tcPr>
                  <w:tcW w:w="1584" w:type="dxa"/>
                  <w:vMerge w:val="continue"/>
                  <w:vAlign w:val="center"/>
                </w:tcPr>
                <w:p>
                  <w:pPr>
                    <w:spacing w:line="360" w:lineRule="auto"/>
                    <w:jc w:val="center"/>
                    <w:rPr>
                      <w:color w:val="auto"/>
                      <w:szCs w:val="21"/>
                    </w:rPr>
                  </w:pPr>
                </w:p>
              </w:tc>
              <w:tc>
                <w:tcPr>
                  <w:tcW w:w="750" w:type="dxa"/>
                  <w:vMerge w:val="continue"/>
                  <w:shd w:val="clear" w:color="auto" w:fill="auto"/>
                  <w:vAlign w:val="center"/>
                </w:tcPr>
                <w:p>
                  <w:pPr>
                    <w:spacing w:line="360" w:lineRule="auto"/>
                    <w:jc w:val="center"/>
                    <w:rPr>
                      <w:color w:val="auto"/>
                      <w:szCs w:val="21"/>
                    </w:rPr>
                  </w:pPr>
                </w:p>
              </w:tc>
            </w:tr>
          </w:tbl>
          <w:p>
            <w:pPr>
              <w:spacing w:line="360" w:lineRule="auto"/>
              <w:ind w:firstLine="422" w:firstLineChars="200"/>
              <w:rPr>
                <w:b/>
                <w:color w:val="auto"/>
                <w:szCs w:val="21"/>
              </w:rPr>
            </w:pPr>
            <w:r>
              <w:rPr>
                <w:rFonts w:hint="eastAsia"/>
                <w:b/>
                <w:color w:val="auto"/>
                <w:szCs w:val="21"/>
              </w:rPr>
              <w:t>说明：项目所有设备均使用电能。</w:t>
            </w:r>
          </w:p>
          <w:p>
            <w:pPr>
              <w:spacing w:line="360" w:lineRule="auto"/>
              <w:ind w:firstLine="482"/>
              <w:rPr>
                <w:b/>
                <w:color w:val="auto"/>
                <w:sz w:val="24"/>
              </w:rPr>
            </w:pPr>
            <w:r>
              <w:rPr>
                <w:b/>
                <w:color w:val="auto"/>
                <w:sz w:val="24"/>
              </w:rPr>
              <w:t>四、建设项目工程组成</w:t>
            </w:r>
          </w:p>
          <w:p>
            <w:pPr>
              <w:spacing w:line="360" w:lineRule="auto"/>
              <w:ind w:firstLine="480"/>
              <w:rPr>
                <w:color w:val="auto"/>
                <w:sz w:val="24"/>
              </w:rPr>
            </w:pPr>
            <w:r>
              <w:rPr>
                <w:color w:val="auto"/>
                <w:sz w:val="24"/>
              </w:rPr>
              <w:t>项目工程内容如下表所示：</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工程内容一览表</w:t>
            </w:r>
          </w:p>
          <w:tbl>
            <w:tblPr>
              <w:tblStyle w:val="44"/>
              <w:tblW w:w="8640" w:type="dxa"/>
              <w:jc w:val="center"/>
              <w:tblLayout w:type="fixed"/>
              <w:tblCellMar>
                <w:top w:w="0" w:type="dxa"/>
                <w:left w:w="0" w:type="dxa"/>
                <w:bottom w:w="0" w:type="dxa"/>
                <w:right w:w="0" w:type="dxa"/>
              </w:tblCellMar>
            </w:tblPr>
            <w:tblGrid>
              <w:gridCol w:w="699"/>
              <w:gridCol w:w="780"/>
              <w:gridCol w:w="1755"/>
              <w:gridCol w:w="5406"/>
            </w:tblGrid>
            <w:tr>
              <w:tblPrEx>
                <w:tblCellMar>
                  <w:top w:w="0" w:type="dxa"/>
                  <w:left w:w="0" w:type="dxa"/>
                  <w:bottom w:w="0" w:type="dxa"/>
                  <w:right w:w="0" w:type="dxa"/>
                </w:tblCellMar>
              </w:tblPrEx>
              <w:trPr>
                <w:trHeight w:val="23" w:hRule="atLeast"/>
                <w:jc w:val="center"/>
              </w:trPr>
              <w:tc>
                <w:tcPr>
                  <w:tcW w:w="699"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b/>
                      <w:color w:val="auto"/>
                    </w:rPr>
                  </w:pPr>
                  <w:r>
                    <w:rPr>
                      <w:b/>
                      <w:color w:val="auto"/>
                    </w:rPr>
                    <w:t>序号</w:t>
                  </w:r>
                </w:p>
              </w:tc>
              <w:tc>
                <w:tcPr>
                  <w:tcW w:w="2535" w:type="dxa"/>
                  <w:gridSpan w:val="2"/>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b/>
                      <w:color w:val="auto"/>
                    </w:rPr>
                  </w:pPr>
                  <w:r>
                    <w:rPr>
                      <w:b/>
                      <w:color w:val="auto"/>
                    </w:rPr>
                    <w:t>建设项目</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b/>
                      <w:color w:val="auto"/>
                    </w:rPr>
                  </w:pPr>
                  <w:r>
                    <w:rPr>
                      <w:b/>
                      <w:color w:val="auto"/>
                    </w:rPr>
                    <w:t>备注</w:t>
                  </w:r>
                </w:p>
              </w:tc>
            </w:tr>
            <w:tr>
              <w:tblPrEx>
                <w:tblCellMar>
                  <w:top w:w="0" w:type="dxa"/>
                  <w:left w:w="0" w:type="dxa"/>
                  <w:bottom w:w="0" w:type="dxa"/>
                  <w:right w:w="0" w:type="dxa"/>
                </w:tblCellMar>
              </w:tblPrEx>
              <w:trPr>
                <w:trHeight w:val="772" w:hRule="atLeast"/>
                <w:jc w:val="center"/>
              </w:trPr>
              <w:tc>
                <w:tcPr>
                  <w:tcW w:w="699" w:type="dxa"/>
                  <w:vMerge w:val="restart"/>
                  <w:tcBorders>
                    <w:top w:val="single" w:color="000000" w:sz="4" w:space="0"/>
                    <w:left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1</w:t>
                  </w:r>
                </w:p>
              </w:tc>
              <w:tc>
                <w:tcPr>
                  <w:tcW w:w="780" w:type="dxa"/>
                  <w:vMerge w:val="restart"/>
                  <w:tcBorders>
                    <w:top w:val="single" w:color="000000" w:sz="4" w:space="0"/>
                    <w:left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主体工程</w:t>
                  </w:r>
                </w:p>
              </w:tc>
              <w:tc>
                <w:tcPr>
                  <w:tcW w:w="1755" w:type="dxa"/>
                  <w:tcBorders>
                    <w:top w:val="single" w:color="000000" w:sz="4" w:space="0"/>
                    <w:left w:val="single" w:color="000000" w:sz="4" w:space="0"/>
                    <w:bottom w:val="single" w:color="auto" w:sz="4" w:space="0"/>
                    <w:right w:val="single" w:color="000000" w:sz="4" w:space="0"/>
                  </w:tcBorders>
                  <w:tcMar>
                    <w:top w:w="0" w:type="dxa"/>
                    <w:left w:w="108" w:type="dxa"/>
                    <w:bottom w:w="0" w:type="dxa"/>
                    <w:right w:w="108" w:type="dxa"/>
                  </w:tcMar>
                  <w:vAlign w:val="center"/>
                </w:tcPr>
                <w:p>
                  <w:pPr>
                    <w:widowControl/>
                    <w:jc w:val="center"/>
                    <w:rPr>
                      <w:color w:val="auto"/>
                    </w:rPr>
                  </w:pPr>
                  <w:r>
                    <w:rPr>
                      <w:rFonts w:hint="eastAsia"/>
                      <w:color w:val="auto"/>
                    </w:rPr>
                    <w:t>车间</w:t>
                  </w:r>
                </w:p>
              </w:tc>
              <w:tc>
                <w:tcPr>
                  <w:tcW w:w="5406" w:type="dxa"/>
                  <w:tcBorders>
                    <w:top w:val="single" w:color="000000" w:sz="4" w:space="0"/>
                    <w:left w:val="single" w:color="000000" w:sz="4" w:space="0"/>
                    <w:bottom w:val="single" w:color="auto" w:sz="4" w:space="0"/>
                    <w:right w:val="single" w:color="000000" w:sz="4" w:space="0"/>
                  </w:tcBorders>
                  <w:tcMar>
                    <w:top w:w="0" w:type="dxa"/>
                    <w:left w:w="108" w:type="dxa"/>
                    <w:bottom w:w="0" w:type="dxa"/>
                    <w:right w:w="108" w:type="dxa"/>
                  </w:tcMar>
                  <w:vAlign w:val="center"/>
                </w:tcPr>
                <w:p>
                  <w:pPr>
                    <w:jc w:val="center"/>
                    <w:rPr>
                      <w:color w:val="auto"/>
                    </w:rPr>
                  </w:pPr>
                  <w:r>
                    <w:rPr>
                      <w:color w:val="auto"/>
                    </w:rPr>
                    <w:t>一栋</w:t>
                  </w:r>
                  <w:r>
                    <w:rPr>
                      <w:rFonts w:hint="eastAsia"/>
                      <w:color w:val="auto"/>
                    </w:rPr>
                    <w:t>1</w:t>
                  </w:r>
                  <w:r>
                    <w:rPr>
                      <w:color w:val="auto"/>
                    </w:rPr>
                    <w:t>层</w:t>
                  </w:r>
                  <w:r>
                    <w:rPr>
                      <w:rFonts w:hint="eastAsia"/>
                      <w:color w:val="auto"/>
                    </w:rPr>
                    <w:t>车间</w:t>
                  </w:r>
                  <w:r>
                    <w:rPr>
                      <w:color w:val="auto"/>
                    </w:rPr>
                    <w:t>，</w:t>
                  </w:r>
                  <w:r>
                    <w:rPr>
                      <w:rFonts w:hint="eastAsia"/>
                      <w:color w:val="auto"/>
                    </w:rPr>
                    <w:t>占地面积为885</w:t>
                  </w:r>
                  <w:r>
                    <w:rPr>
                      <w:color w:val="auto"/>
                      <w:szCs w:val="21"/>
                    </w:rPr>
                    <w:t>m</w:t>
                  </w:r>
                  <w:r>
                    <w:rPr>
                      <w:color w:val="auto"/>
                      <w:szCs w:val="21"/>
                      <w:vertAlign w:val="superscript"/>
                    </w:rPr>
                    <w:t>2</w:t>
                  </w:r>
                  <w:r>
                    <w:rPr>
                      <w:rFonts w:hint="eastAsia"/>
                      <w:color w:val="auto"/>
                    </w:rPr>
                    <w:t>，建筑面积为885</w:t>
                  </w:r>
                  <w:r>
                    <w:rPr>
                      <w:color w:val="auto"/>
                      <w:szCs w:val="21"/>
                    </w:rPr>
                    <w:t>m</w:t>
                  </w:r>
                  <w:r>
                    <w:rPr>
                      <w:color w:val="auto"/>
                      <w:szCs w:val="21"/>
                      <w:vertAlign w:val="superscript"/>
                    </w:rPr>
                    <w:t>2</w:t>
                  </w:r>
                  <w:r>
                    <w:rPr>
                      <w:rFonts w:hint="eastAsia"/>
                      <w:color w:val="auto"/>
                    </w:rPr>
                    <w:t>，主要用于高压软管的加工生产</w:t>
                  </w:r>
                </w:p>
              </w:tc>
            </w:tr>
            <w:tr>
              <w:tblPrEx>
                <w:tblCellMar>
                  <w:top w:w="0" w:type="dxa"/>
                  <w:left w:w="0" w:type="dxa"/>
                  <w:bottom w:w="0" w:type="dxa"/>
                  <w:right w:w="0" w:type="dxa"/>
                </w:tblCellMar>
              </w:tblPrEx>
              <w:trPr>
                <w:trHeight w:val="659" w:hRule="atLeast"/>
                <w:jc w:val="center"/>
              </w:trPr>
              <w:tc>
                <w:tcPr>
                  <w:tcW w:w="699" w:type="dxa"/>
                  <w:vMerge w:val="continue"/>
                  <w:tcBorders>
                    <w:left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780" w:type="dxa"/>
                  <w:vMerge w:val="continue"/>
                  <w:tcBorders>
                    <w:left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1755" w:type="dxa"/>
                  <w:tcBorders>
                    <w:top w:val="single" w:color="auto" w:sz="4" w:space="0"/>
                    <w:left w:val="single" w:color="000000" w:sz="4" w:space="0"/>
                    <w:bottom w:val="single" w:color="auto" w:sz="4" w:space="0"/>
                    <w:right w:val="single" w:color="000000" w:sz="4" w:space="0"/>
                  </w:tcBorders>
                  <w:tcMar>
                    <w:top w:w="0" w:type="dxa"/>
                    <w:left w:w="108" w:type="dxa"/>
                    <w:bottom w:w="0" w:type="dxa"/>
                    <w:right w:w="108" w:type="dxa"/>
                  </w:tcMar>
                  <w:vAlign w:val="center"/>
                </w:tcPr>
                <w:p>
                  <w:pPr>
                    <w:widowControl/>
                    <w:jc w:val="center"/>
                    <w:rPr>
                      <w:color w:val="auto"/>
                    </w:rPr>
                  </w:pPr>
                  <w:r>
                    <w:rPr>
                      <w:rFonts w:hint="eastAsia"/>
                      <w:color w:val="auto"/>
                    </w:rPr>
                    <w:t>办公楼</w:t>
                  </w:r>
                </w:p>
              </w:tc>
              <w:tc>
                <w:tcPr>
                  <w:tcW w:w="5406" w:type="dxa"/>
                  <w:tcBorders>
                    <w:top w:val="single" w:color="auto" w:sz="4" w:space="0"/>
                    <w:left w:val="single" w:color="000000" w:sz="4" w:space="0"/>
                    <w:bottom w:val="single" w:color="auto" w:sz="4" w:space="0"/>
                    <w:right w:val="single" w:color="000000" w:sz="4" w:space="0"/>
                  </w:tcBorders>
                  <w:tcMar>
                    <w:top w:w="0" w:type="dxa"/>
                    <w:left w:w="108" w:type="dxa"/>
                    <w:bottom w:w="0" w:type="dxa"/>
                    <w:right w:w="108" w:type="dxa"/>
                  </w:tcMar>
                  <w:vAlign w:val="center"/>
                </w:tcPr>
                <w:p>
                  <w:pPr>
                    <w:jc w:val="center"/>
                    <w:rPr>
                      <w:color w:val="auto"/>
                    </w:rPr>
                  </w:pPr>
                  <w:r>
                    <w:rPr>
                      <w:color w:val="auto"/>
                    </w:rPr>
                    <w:t>一栋</w:t>
                  </w:r>
                  <w:r>
                    <w:rPr>
                      <w:rFonts w:hint="eastAsia"/>
                      <w:color w:val="auto"/>
                    </w:rPr>
                    <w:t>1</w:t>
                  </w:r>
                  <w:r>
                    <w:rPr>
                      <w:color w:val="auto"/>
                    </w:rPr>
                    <w:t>层</w:t>
                  </w:r>
                  <w:r>
                    <w:rPr>
                      <w:rFonts w:hint="eastAsia"/>
                      <w:color w:val="auto"/>
                    </w:rPr>
                    <w:t>办公楼</w:t>
                  </w:r>
                  <w:r>
                    <w:rPr>
                      <w:color w:val="auto"/>
                    </w:rPr>
                    <w:t>，</w:t>
                  </w:r>
                  <w:r>
                    <w:rPr>
                      <w:rFonts w:hint="eastAsia"/>
                      <w:color w:val="auto"/>
                    </w:rPr>
                    <w:t>占地面积为40</w:t>
                  </w:r>
                  <w:r>
                    <w:rPr>
                      <w:color w:val="auto"/>
                      <w:szCs w:val="21"/>
                    </w:rPr>
                    <w:t>m</w:t>
                  </w:r>
                  <w:r>
                    <w:rPr>
                      <w:color w:val="auto"/>
                      <w:szCs w:val="21"/>
                      <w:vertAlign w:val="superscript"/>
                    </w:rPr>
                    <w:t>2</w:t>
                  </w:r>
                  <w:r>
                    <w:rPr>
                      <w:rFonts w:hint="eastAsia"/>
                      <w:color w:val="auto"/>
                    </w:rPr>
                    <w:t>，建筑面积为40</w:t>
                  </w:r>
                  <w:r>
                    <w:rPr>
                      <w:color w:val="auto"/>
                      <w:szCs w:val="21"/>
                    </w:rPr>
                    <w:t>m</w:t>
                  </w:r>
                  <w:r>
                    <w:rPr>
                      <w:color w:val="auto"/>
                      <w:szCs w:val="21"/>
                      <w:vertAlign w:val="superscript"/>
                    </w:rPr>
                    <w:t>2</w:t>
                  </w:r>
                  <w:r>
                    <w:rPr>
                      <w:rFonts w:hint="eastAsia"/>
                      <w:color w:val="auto"/>
                    </w:rPr>
                    <w:t>，主要用于办公、生活</w:t>
                  </w:r>
                </w:p>
              </w:tc>
            </w:tr>
            <w:tr>
              <w:tblPrEx>
                <w:tblCellMar>
                  <w:top w:w="0" w:type="dxa"/>
                  <w:left w:w="0" w:type="dxa"/>
                  <w:bottom w:w="0" w:type="dxa"/>
                  <w:right w:w="0" w:type="dxa"/>
                </w:tblCellMar>
              </w:tblPrEx>
              <w:trPr>
                <w:trHeight w:val="352" w:hRule="atLeast"/>
                <w:jc w:val="center"/>
              </w:trPr>
              <w:tc>
                <w:tcPr>
                  <w:tcW w:w="699"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2</w:t>
                  </w:r>
                </w:p>
              </w:tc>
              <w:tc>
                <w:tcPr>
                  <w:tcW w:w="780"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公共配套设施</w:t>
                  </w:r>
                </w:p>
              </w:tc>
              <w:tc>
                <w:tcPr>
                  <w:tcW w:w="17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供配电</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用电由市政电网供给，年用电量约为</w:t>
                  </w:r>
                  <w:r>
                    <w:rPr>
                      <w:rFonts w:hint="eastAsia"/>
                      <w:color w:val="auto"/>
                    </w:rPr>
                    <w:t>10</w:t>
                  </w:r>
                  <w:r>
                    <w:rPr>
                      <w:color w:val="auto"/>
                    </w:rPr>
                    <w:t>万度</w:t>
                  </w:r>
                </w:p>
              </w:tc>
            </w:tr>
            <w:tr>
              <w:tblPrEx>
                <w:tblCellMar>
                  <w:top w:w="0" w:type="dxa"/>
                  <w:left w:w="0" w:type="dxa"/>
                  <w:bottom w:w="0" w:type="dxa"/>
                  <w:right w:w="0" w:type="dxa"/>
                </w:tblCellMar>
              </w:tblPrEx>
              <w:trPr>
                <w:trHeight w:val="960"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17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供排水</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给水：由市政管网提供</w:t>
                  </w:r>
                  <w:r>
                    <w:rPr>
                      <w:rFonts w:hint="eastAsia"/>
                      <w:color w:val="auto"/>
                    </w:rPr>
                    <w:t>；</w:t>
                  </w:r>
                  <w:r>
                    <w:rPr>
                      <w:color w:val="auto"/>
                    </w:rPr>
                    <w:t>排水：</w:t>
                  </w:r>
                  <w:r>
                    <w:rPr>
                      <w:rFonts w:hint="eastAsia"/>
                      <w:color w:val="auto"/>
                      <w:lang w:eastAsia="zh-CN"/>
                    </w:rPr>
                    <w:t>冷却废水和</w:t>
                  </w:r>
                  <w:r>
                    <w:rPr>
                      <w:color w:val="auto"/>
                    </w:rPr>
                    <w:t>生活污水经三级化粪池处理后排放到市政污水管网，引至</w:t>
                  </w:r>
                  <w:r>
                    <w:rPr>
                      <w:rFonts w:hint="eastAsia"/>
                      <w:color w:val="auto"/>
                    </w:rPr>
                    <w:t>开平市水口</w:t>
                  </w:r>
                  <w:r>
                    <w:rPr>
                      <w:color w:val="auto"/>
                    </w:rPr>
                    <w:t>污水处理厂处理</w:t>
                  </w:r>
                </w:p>
              </w:tc>
            </w:tr>
            <w:tr>
              <w:tblPrEx>
                <w:tblCellMar>
                  <w:top w:w="0" w:type="dxa"/>
                  <w:left w:w="0" w:type="dxa"/>
                  <w:bottom w:w="0" w:type="dxa"/>
                  <w:right w:w="0" w:type="dxa"/>
                </w:tblCellMar>
              </w:tblPrEx>
              <w:trPr>
                <w:trHeight w:val="307"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17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厂房通排风</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通风设备</w:t>
                  </w:r>
                </w:p>
              </w:tc>
            </w:tr>
            <w:tr>
              <w:tblPrEx>
                <w:tblCellMar>
                  <w:top w:w="0" w:type="dxa"/>
                  <w:left w:w="0" w:type="dxa"/>
                  <w:bottom w:w="0" w:type="dxa"/>
                  <w:right w:w="0" w:type="dxa"/>
                </w:tblCellMar>
              </w:tblPrEx>
              <w:trPr>
                <w:trHeight w:val="337"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17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其他</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固废垃圾收集、储存</w:t>
                  </w:r>
                </w:p>
              </w:tc>
            </w:tr>
            <w:tr>
              <w:tblPrEx>
                <w:tblCellMar>
                  <w:top w:w="0" w:type="dxa"/>
                  <w:left w:w="0" w:type="dxa"/>
                  <w:bottom w:w="0" w:type="dxa"/>
                  <w:right w:w="0" w:type="dxa"/>
                </w:tblCellMar>
              </w:tblPrEx>
              <w:trPr>
                <w:trHeight w:val="911" w:hRule="atLeast"/>
                <w:jc w:val="center"/>
              </w:trPr>
              <w:tc>
                <w:tcPr>
                  <w:tcW w:w="699"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3</w:t>
                  </w:r>
                </w:p>
                <w:p>
                  <w:pPr>
                    <w:jc w:val="center"/>
                    <w:rPr>
                      <w:color w:val="auto"/>
                    </w:rPr>
                  </w:pPr>
                </w:p>
              </w:tc>
              <w:tc>
                <w:tcPr>
                  <w:tcW w:w="780" w:type="dxa"/>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环保设施</w:t>
                  </w:r>
                </w:p>
              </w:tc>
              <w:tc>
                <w:tcPr>
                  <w:tcW w:w="17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szCs w:val="21"/>
                    </w:rPr>
                  </w:pPr>
                  <w:r>
                    <w:rPr>
                      <w:color w:val="auto"/>
                      <w:szCs w:val="21"/>
                    </w:rPr>
                    <w:t>废气治理</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szCs w:val="21"/>
                    </w:rPr>
                  </w:pPr>
                  <w:r>
                    <w:rPr>
                      <w:rFonts w:hint="eastAsia"/>
                      <w:color w:val="auto"/>
                    </w:rPr>
                    <w:t>混料工序</w:t>
                  </w:r>
                  <w:r>
                    <w:rPr>
                      <w:rFonts w:hint="eastAsia"/>
                      <w:color w:val="auto"/>
                      <w:szCs w:val="21"/>
                    </w:rPr>
                    <w:t>：加强车间机械通风措施；</w:t>
                  </w:r>
                  <w:r>
                    <w:rPr>
                      <w:rFonts w:hint="eastAsia"/>
                      <w:color w:val="auto"/>
                    </w:rPr>
                    <w:t>造粒、挤出成型</w:t>
                  </w:r>
                  <w:r>
                    <w:rPr>
                      <w:color w:val="auto"/>
                    </w:rPr>
                    <w:t>工序</w:t>
                  </w:r>
                  <w:r>
                    <w:rPr>
                      <w:color w:val="auto"/>
                      <w:szCs w:val="21"/>
                    </w:rPr>
                    <w:t>：</w:t>
                  </w:r>
                  <w:r>
                    <w:rPr>
                      <w:rFonts w:hint="eastAsia"/>
                      <w:color w:val="auto"/>
                      <w:szCs w:val="21"/>
                    </w:rPr>
                    <w:t>设置集气装置将废气进行收集后引至UV光解+活性炭吸附装置进行处理后</w:t>
                  </w:r>
                  <w:r>
                    <w:rPr>
                      <w:rFonts w:hint="eastAsia"/>
                      <w:color w:val="auto"/>
                      <w:szCs w:val="21"/>
                      <w:lang w:eastAsia="zh-CN"/>
                    </w:rPr>
                    <w:t>经</w:t>
                  </w:r>
                  <w:r>
                    <w:rPr>
                      <w:rFonts w:hint="eastAsia"/>
                      <w:color w:val="auto"/>
                      <w:szCs w:val="21"/>
                    </w:rPr>
                    <w:t>15m排气筒高空排放</w:t>
                  </w:r>
                </w:p>
              </w:tc>
            </w:tr>
            <w:tr>
              <w:tblPrEx>
                <w:tblCellMar>
                  <w:top w:w="0" w:type="dxa"/>
                  <w:left w:w="0" w:type="dxa"/>
                  <w:bottom w:w="0" w:type="dxa"/>
                  <w:right w:w="0" w:type="dxa"/>
                </w:tblCellMar>
              </w:tblPrEx>
              <w:trPr>
                <w:trHeight w:val="867"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17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废水治理</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rFonts w:hint="eastAsia"/>
                      <w:color w:val="auto"/>
                      <w:lang w:eastAsia="zh-CN"/>
                    </w:rPr>
                    <w:t>冷却废水和</w:t>
                  </w:r>
                  <w:r>
                    <w:rPr>
                      <w:color w:val="auto"/>
                    </w:rPr>
                    <w:t>生活污水经三级化粪池处理后排放到市政污水管网，引至</w:t>
                  </w:r>
                  <w:r>
                    <w:rPr>
                      <w:rFonts w:hint="eastAsia"/>
                      <w:color w:val="auto"/>
                    </w:rPr>
                    <w:t>开平市水口</w:t>
                  </w:r>
                  <w:r>
                    <w:rPr>
                      <w:color w:val="auto"/>
                    </w:rPr>
                    <w:t>污水处理厂处理</w:t>
                  </w:r>
                </w:p>
              </w:tc>
            </w:tr>
            <w:tr>
              <w:tblPrEx>
                <w:tblCellMar>
                  <w:top w:w="0" w:type="dxa"/>
                  <w:left w:w="0" w:type="dxa"/>
                  <w:bottom w:w="0" w:type="dxa"/>
                  <w:right w:w="0" w:type="dxa"/>
                </w:tblCellMar>
              </w:tblPrEx>
              <w:trPr>
                <w:trHeight w:val="322"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17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噪声治理</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减震、隔声、降噪</w:t>
                  </w:r>
                </w:p>
              </w:tc>
            </w:tr>
            <w:tr>
              <w:tblPrEx>
                <w:tblCellMar>
                  <w:top w:w="0" w:type="dxa"/>
                  <w:left w:w="0" w:type="dxa"/>
                  <w:bottom w:w="0" w:type="dxa"/>
                  <w:right w:w="0" w:type="dxa"/>
                </w:tblCellMar>
              </w:tblPrEx>
              <w:trPr>
                <w:trHeight w:val="877"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780" w:type="dxa"/>
                  <w:vMerge w:val="continue"/>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p>
              </w:tc>
              <w:tc>
                <w:tcPr>
                  <w:tcW w:w="175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固废处置</w:t>
                  </w:r>
                </w:p>
              </w:tc>
              <w:tc>
                <w:tcPr>
                  <w:tcW w:w="540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jc w:val="center"/>
                    <w:rPr>
                      <w:color w:val="auto"/>
                    </w:rPr>
                  </w:pPr>
                  <w:r>
                    <w:rPr>
                      <w:color w:val="auto"/>
                    </w:rPr>
                    <w:t>生活垃圾</w:t>
                  </w:r>
                  <w:r>
                    <w:rPr>
                      <w:color w:val="auto"/>
                      <w:kern w:val="0"/>
                      <w:szCs w:val="21"/>
                    </w:rPr>
                    <w:t>交环卫部门处理</w:t>
                  </w:r>
                  <w:r>
                    <w:rPr>
                      <w:color w:val="auto"/>
                    </w:rPr>
                    <w:t>；一般固废收集后</w:t>
                  </w:r>
                  <w:r>
                    <w:rPr>
                      <w:color w:val="auto"/>
                      <w:szCs w:val="21"/>
                    </w:rPr>
                    <w:t>交专业公司回收处理；中转物交给供应商回用</w:t>
                  </w:r>
                  <w:r>
                    <w:rPr>
                      <w:rFonts w:hint="eastAsia"/>
                      <w:color w:val="auto"/>
                      <w:szCs w:val="21"/>
                    </w:rPr>
                    <w:t>；</w:t>
                  </w:r>
                  <w:r>
                    <w:rPr>
                      <w:color w:val="auto"/>
                      <w:szCs w:val="21"/>
                    </w:rPr>
                    <w:t>危险废物经收集后交给</w:t>
                  </w:r>
                  <w:r>
                    <w:rPr>
                      <w:rFonts w:hint="eastAsia"/>
                      <w:color w:val="auto"/>
                      <w:szCs w:val="21"/>
                    </w:rPr>
                    <w:t>有危险废物处置资质单位处置</w:t>
                  </w:r>
                </w:p>
              </w:tc>
            </w:tr>
          </w:tbl>
          <w:p>
            <w:pPr>
              <w:pStyle w:val="30"/>
              <w:tabs>
                <w:tab w:val="left" w:pos="2226"/>
              </w:tabs>
              <w:adjustRightInd w:val="0"/>
              <w:snapToGrid w:val="0"/>
              <w:spacing w:line="360" w:lineRule="auto"/>
              <w:ind w:firstLine="482" w:firstLineChars="200"/>
              <w:rPr>
                <w:b/>
                <w:color w:val="auto"/>
              </w:rPr>
            </w:pPr>
            <w:r>
              <w:rPr>
                <w:rFonts w:hint="eastAsia"/>
                <w:b/>
                <w:color w:val="auto"/>
              </w:rPr>
              <w:t>五</w:t>
            </w:r>
            <w:r>
              <w:rPr>
                <w:b/>
                <w:color w:val="auto"/>
              </w:rPr>
              <w:t>、</w:t>
            </w:r>
            <w:r>
              <w:rPr>
                <w:b/>
                <w:bCs/>
                <w:color w:val="auto"/>
              </w:rPr>
              <w:t>公用工程</w:t>
            </w:r>
          </w:p>
          <w:p>
            <w:pPr>
              <w:widowControl/>
              <w:adjustRightInd w:val="0"/>
              <w:snapToGrid w:val="0"/>
              <w:spacing w:line="360" w:lineRule="auto"/>
              <w:ind w:firstLine="480" w:firstLineChars="200"/>
              <w:rPr>
                <w:color w:val="auto"/>
                <w:kern w:val="0"/>
                <w:sz w:val="24"/>
              </w:rPr>
            </w:pPr>
            <w:r>
              <w:rPr>
                <w:color w:val="auto"/>
                <w:kern w:val="0"/>
                <w:sz w:val="24"/>
              </w:rPr>
              <w:t>（1）给水</w:t>
            </w:r>
            <w:r>
              <w:rPr>
                <w:rFonts w:hint="eastAsia"/>
                <w:color w:val="auto"/>
                <w:kern w:val="0"/>
                <w:sz w:val="24"/>
              </w:rPr>
              <w:t>系统</w:t>
            </w:r>
          </w:p>
          <w:p>
            <w:pPr>
              <w:adjustRightInd w:val="0"/>
              <w:spacing w:line="360" w:lineRule="auto"/>
              <w:ind w:firstLine="480" w:firstLineChars="200"/>
              <w:rPr>
                <w:color w:val="auto"/>
                <w:sz w:val="24"/>
              </w:rPr>
            </w:pPr>
            <w:r>
              <w:rPr>
                <w:rFonts w:hint="eastAsia"/>
                <w:color w:val="auto"/>
                <w:sz w:val="24"/>
              </w:rPr>
              <w:t>本</w:t>
            </w:r>
            <w:r>
              <w:rPr>
                <w:color w:val="auto"/>
                <w:sz w:val="24"/>
              </w:rPr>
              <w:t>项目</w:t>
            </w:r>
            <w:r>
              <w:rPr>
                <w:rFonts w:hint="eastAsia"/>
                <w:color w:val="auto"/>
                <w:sz w:val="24"/>
              </w:rPr>
              <w:t>给水系统主要包括</w:t>
            </w:r>
            <w:r>
              <w:rPr>
                <w:rFonts w:hint="eastAsia"/>
                <w:color w:val="auto"/>
                <w:sz w:val="24"/>
                <w:lang w:eastAsia="zh-CN"/>
              </w:rPr>
              <w:t>冷却用水</w:t>
            </w:r>
            <w:r>
              <w:rPr>
                <w:rFonts w:hint="eastAsia"/>
                <w:color w:val="auto"/>
                <w:sz w:val="24"/>
              </w:rPr>
              <w:t>和生活污水，均</w:t>
            </w:r>
            <w:r>
              <w:rPr>
                <w:color w:val="auto"/>
                <w:sz w:val="24"/>
              </w:rPr>
              <w:t>由市政管道供给</w:t>
            </w:r>
            <w:r>
              <w:rPr>
                <w:rFonts w:hint="eastAsia"/>
                <w:color w:val="auto"/>
                <w:sz w:val="24"/>
              </w:rPr>
              <w:t>。</w:t>
            </w:r>
          </w:p>
          <w:p>
            <w:pPr>
              <w:spacing w:line="360" w:lineRule="auto"/>
              <w:ind w:firstLine="480" w:firstLineChars="200"/>
              <w:rPr>
                <w:rFonts w:hAnsi="宋体"/>
                <w:color w:val="auto"/>
                <w:sz w:val="24"/>
              </w:rPr>
            </w:pPr>
            <w:r>
              <w:rPr>
                <w:rFonts w:hint="eastAsia" w:hAnsi="宋体"/>
                <w:bCs/>
                <w:color w:val="auto"/>
                <w:sz w:val="24"/>
                <w:lang w:eastAsia="zh-CN"/>
              </w:rPr>
              <w:t>冷却用水</w:t>
            </w:r>
            <w:r>
              <w:rPr>
                <w:rFonts w:hAnsi="宋体"/>
                <w:bCs/>
                <w:color w:val="auto"/>
                <w:sz w:val="24"/>
              </w:rPr>
              <w:t>：</w:t>
            </w:r>
            <w:r>
              <w:rPr>
                <w:rFonts w:hint="eastAsia" w:hAnsi="宋体"/>
                <w:bCs/>
                <w:color w:val="auto"/>
                <w:sz w:val="24"/>
              </w:rPr>
              <w:t>项目</w:t>
            </w:r>
            <w:r>
              <w:rPr>
                <w:rFonts w:hint="eastAsia"/>
                <w:color w:val="auto"/>
                <w:sz w:val="24"/>
              </w:rPr>
              <w:t>冷却工序的冷却水由冷却塔提供，根据</w:t>
            </w:r>
            <w:r>
              <w:rPr>
                <w:rFonts w:hint="eastAsia" w:hAnsi="宋体"/>
                <w:color w:val="auto"/>
                <w:sz w:val="24"/>
              </w:rPr>
              <w:t>建设单位</w:t>
            </w:r>
            <w:r>
              <w:rPr>
                <w:rFonts w:hint="eastAsia"/>
                <w:color w:val="auto"/>
                <w:sz w:val="24"/>
              </w:rPr>
              <w:t>提供的资料，</w:t>
            </w:r>
            <w:r>
              <w:rPr>
                <w:rFonts w:hint="eastAsia" w:hAnsi="宋体"/>
                <w:color w:val="auto"/>
                <w:sz w:val="24"/>
                <w:lang w:eastAsia="zh-CN"/>
              </w:rPr>
              <w:t>冷却废水</w:t>
            </w:r>
            <w:r>
              <w:rPr>
                <w:rFonts w:hAnsi="宋体"/>
                <w:color w:val="auto"/>
                <w:sz w:val="24"/>
              </w:rPr>
              <w:t>为普通的自来水，其中无需添加矿物油、乳化液等冷却剂，</w:t>
            </w:r>
            <w:r>
              <w:rPr>
                <w:rFonts w:hint="eastAsia"/>
                <w:color w:val="auto"/>
                <w:sz w:val="24"/>
                <w:lang w:eastAsia="zh-CN"/>
              </w:rPr>
              <w:t>该冷却水循环使用，循环水量为10t/h</w:t>
            </w:r>
            <w:r>
              <w:rPr>
                <w:rFonts w:hint="eastAsia"/>
                <w:color w:val="auto"/>
                <w:sz w:val="24"/>
              </w:rPr>
              <w:t>，因受热等因素损失，需定期补充新鲜水，</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0.2t</w:t>
            </w:r>
            <w:r>
              <w:rPr>
                <w:rFonts w:hint="eastAsia"/>
                <w:color w:val="auto"/>
                <w:sz w:val="24"/>
                <w:highlight w:val="none"/>
              </w:rPr>
              <w:t>/d（</w:t>
            </w:r>
            <w:r>
              <w:rPr>
                <w:rFonts w:hint="eastAsia"/>
                <w:color w:val="auto"/>
                <w:sz w:val="24"/>
                <w:highlight w:val="none"/>
                <w:lang w:val="en-US" w:eastAsia="zh-CN"/>
              </w:rPr>
              <w:t>60t</w:t>
            </w:r>
            <w:r>
              <w:rPr>
                <w:rFonts w:hint="eastAsia"/>
                <w:color w:val="auto"/>
                <w:sz w:val="24"/>
                <w:highlight w:val="none"/>
              </w:rPr>
              <w:t>/a）</w:t>
            </w:r>
            <w:r>
              <w:rPr>
                <w:rFonts w:hint="eastAsia" w:cs="宋体"/>
                <w:color w:val="auto"/>
                <w:sz w:val="24"/>
                <w:szCs w:val="24"/>
                <w:highlight w:val="none"/>
                <w:lang w:bidi="ar"/>
              </w:rPr>
              <w:t>。</w:t>
            </w:r>
          </w:p>
          <w:p>
            <w:pPr>
              <w:widowControl/>
              <w:adjustRightInd w:val="0"/>
              <w:snapToGrid w:val="0"/>
              <w:spacing w:line="360" w:lineRule="auto"/>
              <w:ind w:firstLine="480" w:firstLineChars="200"/>
              <w:rPr>
                <w:color w:val="auto"/>
                <w:sz w:val="24"/>
              </w:rPr>
            </w:pPr>
            <w:r>
              <w:rPr>
                <w:rFonts w:hint="eastAsia"/>
                <w:bCs/>
                <w:color w:val="auto"/>
                <w:sz w:val="24"/>
              </w:rPr>
              <w:t>生活污水：</w:t>
            </w:r>
            <w:r>
              <w:rPr>
                <w:color w:val="auto"/>
                <w:sz w:val="24"/>
              </w:rPr>
              <w:t>项目设有员工及管理人员总数为</w:t>
            </w:r>
            <w:r>
              <w:rPr>
                <w:rFonts w:hint="eastAsia"/>
                <w:color w:val="auto"/>
                <w:sz w:val="24"/>
              </w:rPr>
              <w:t>15</w:t>
            </w:r>
            <w:r>
              <w:rPr>
                <w:color w:val="auto"/>
                <w:sz w:val="24"/>
              </w:rPr>
              <w:t>人，</w:t>
            </w:r>
            <w:r>
              <w:rPr>
                <w:rFonts w:hint="eastAsia"/>
                <w:color w:val="auto"/>
                <w:sz w:val="24"/>
              </w:rPr>
              <w:t>均不在项目内食宿</w:t>
            </w:r>
            <w:r>
              <w:rPr>
                <w:rFonts w:hint="eastAsia"/>
                <w:bCs/>
                <w:color w:val="auto"/>
                <w:sz w:val="24"/>
              </w:rPr>
              <w:t>，</w:t>
            </w:r>
            <w:r>
              <w:rPr>
                <w:color w:val="auto"/>
                <w:sz w:val="24"/>
              </w:rPr>
              <w:t>根据《广东省用水定额》（DB44/1461-2014），</w:t>
            </w:r>
            <w:r>
              <w:rPr>
                <w:rFonts w:hint="eastAsia"/>
                <w:color w:val="auto"/>
                <w:sz w:val="24"/>
              </w:rPr>
              <w:t>则项目一天用水量=0.04t</w:t>
            </w:r>
            <w:r>
              <w:rPr>
                <w:color w:val="auto"/>
                <w:sz w:val="24"/>
              </w:rPr>
              <w:t>/d</w:t>
            </w:r>
            <w:r>
              <w:rPr>
                <w:rFonts w:hint="eastAsia"/>
                <w:color w:val="auto"/>
                <w:sz w:val="24"/>
              </w:rPr>
              <w:t>×15=0.6t</w:t>
            </w:r>
            <w:r>
              <w:rPr>
                <w:color w:val="auto"/>
                <w:sz w:val="24"/>
              </w:rPr>
              <w:t>/d</w:t>
            </w:r>
            <w:r>
              <w:rPr>
                <w:rFonts w:hint="eastAsia"/>
                <w:color w:val="auto"/>
                <w:sz w:val="24"/>
              </w:rPr>
              <w:t>，</w:t>
            </w:r>
            <w:r>
              <w:rPr>
                <w:color w:val="auto"/>
                <w:sz w:val="24"/>
              </w:rPr>
              <w:t>一年</w:t>
            </w:r>
            <w:r>
              <w:rPr>
                <w:rFonts w:hint="eastAsia"/>
                <w:color w:val="auto"/>
                <w:sz w:val="24"/>
              </w:rPr>
              <w:t>300</w:t>
            </w:r>
            <w:r>
              <w:rPr>
                <w:color w:val="auto"/>
                <w:sz w:val="24"/>
              </w:rPr>
              <w:t>天计算，生活用水</w:t>
            </w:r>
            <w:r>
              <w:rPr>
                <w:rFonts w:hint="eastAsia"/>
                <w:color w:val="auto"/>
                <w:sz w:val="24"/>
              </w:rPr>
              <w:t>量</w:t>
            </w:r>
            <w:r>
              <w:rPr>
                <w:color w:val="auto"/>
                <w:sz w:val="24"/>
              </w:rPr>
              <w:t>为</w:t>
            </w:r>
            <w:r>
              <w:rPr>
                <w:rFonts w:hint="eastAsia"/>
                <w:color w:val="auto"/>
                <w:sz w:val="24"/>
              </w:rPr>
              <w:t>180</w:t>
            </w:r>
            <w:r>
              <w:rPr>
                <w:color w:val="auto"/>
                <w:sz w:val="24"/>
              </w:rPr>
              <w:t>t/a。</w:t>
            </w:r>
          </w:p>
          <w:p>
            <w:pPr>
              <w:widowControl/>
              <w:adjustRightInd w:val="0"/>
              <w:snapToGrid w:val="0"/>
              <w:spacing w:line="360" w:lineRule="auto"/>
              <w:ind w:firstLine="480" w:firstLineChars="200"/>
              <w:rPr>
                <w:color w:val="auto"/>
                <w:sz w:val="24"/>
              </w:rPr>
            </w:pPr>
            <w:r>
              <w:rPr>
                <w:rFonts w:hint="eastAsia"/>
                <w:color w:val="auto"/>
                <w:sz w:val="24"/>
              </w:rPr>
              <w:t>（2）排水系统</w:t>
            </w:r>
          </w:p>
          <w:p>
            <w:pPr>
              <w:widowControl/>
              <w:adjustRightInd w:val="0"/>
              <w:snapToGrid w:val="0"/>
              <w:spacing w:line="360" w:lineRule="auto"/>
              <w:ind w:firstLine="480" w:firstLineChars="200"/>
              <w:rPr>
                <w:color w:val="auto"/>
                <w:sz w:val="24"/>
              </w:rPr>
            </w:pPr>
            <w:r>
              <w:rPr>
                <w:rFonts w:hint="eastAsia"/>
                <w:color w:val="auto"/>
                <w:sz w:val="24"/>
              </w:rPr>
              <w:t>项目</w:t>
            </w:r>
            <w:r>
              <w:rPr>
                <w:rFonts w:hint="eastAsia"/>
                <w:color w:val="auto"/>
                <w:sz w:val="24"/>
                <w:lang w:eastAsia="zh-CN"/>
              </w:rPr>
              <w:t>冷却废水和</w:t>
            </w:r>
            <w:r>
              <w:rPr>
                <w:color w:val="auto"/>
                <w:sz w:val="24"/>
              </w:rPr>
              <w:t>生活污水排放量约为</w:t>
            </w:r>
            <w:r>
              <w:rPr>
                <w:rFonts w:hint="eastAsia"/>
                <w:color w:val="auto"/>
                <w:sz w:val="24"/>
                <w:lang w:val="en-US" w:eastAsia="zh-CN"/>
              </w:rPr>
              <w:t>170</w:t>
            </w:r>
            <w:r>
              <w:rPr>
                <w:rFonts w:hint="eastAsia"/>
                <w:color w:val="auto"/>
                <w:sz w:val="24"/>
              </w:rPr>
              <w:t>t</w:t>
            </w:r>
            <w:r>
              <w:rPr>
                <w:color w:val="auto"/>
                <w:sz w:val="24"/>
              </w:rPr>
              <w:t>/a，</w:t>
            </w:r>
            <w:r>
              <w:rPr>
                <w:rFonts w:hint="eastAsia"/>
                <w:bCs/>
                <w:color w:val="auto"/>
                <w:sz w:val="24"/>
              </w:rPr>
              <w:t>经三级化粪池预处理后，达到广东省地方标准《水污染物排放限值》（DB44/26-2001）第二时段三级标准</w:t>
            </w:r>
            <w:r>
              <w:rPr>
                <w:rFonts w:hint="eastAsia"/>
                <w:color w:val="auto"/>
                <w:sz w:val="24"/>
              </w:rPr>
              <w:t>和《污水排入城镇下水道水质标准》（CJ343-2010）较严者</w:t>
            </w:r>
            <w:r>
              <w:rPr>
                <w:rFonts w:hint="eastAsia"/>
                <w:bCs/>
                <w:color w:val="auto"/>
                <w:sz w:val="24"/>
              </w:rPr>
              <w:t>排放至市政污水管网，</w:t>
            </w:r>
            <w:r>
              <w:rPr>
                <w:rFonts w:hint="eastAsia"/>
                <w:color w:val="auto"/>
                <w:sz w:val="24"/>
              </w:rPr>
              <w:t>然后</w:t>
            </w:r>
            <w:r>
              <w:rPr>
                <w:rFonts w:hint="eastAsia"/>
                <w:bCs/>
                <w:color w:val="auto"/>
                <w:sz w:val="24"/>
              </w:rPr>
              <w:t>引</w:t>
            </w:r>
            <w:r>
              <w:rPr>
                <w:rFonts w:hint="eastAsia"/>
                <w:color w:val="auto"/>
                <w:sz w:val="24"/>
              </w:rPr>
              <w:t>至开平市水口污水处理厂处</w:t>
            </w:r>
            <w:r>
              <w:rPr>
                <w:rFonts w:hint="eastAsia"/>
                <w:bCs/>
                <w:color w:val="auto"/>
                <w:sz w:val="24"/>
              </w:rPr>
              <w:t>理后达</w:t>
            </w:r>
            <w:r>
              <w:rPr>
                <w:rFonts w:hint="eastAsia"/>
                <w:color w:val="auto"/>
                <w:sz w:val="24"/>
              </w:rPr>
              <w:t>到《城镇污水处理厂污染物排放标准》（GB18918-2002）中一级A 标准及广东省地方标准《水污染物排放限值》（DB44/26-2001）第二时段一级标准的较严值</w:t>
            </w:r>
            <w:r>
              <w:rPr>
                <w:bCs/>
                <w:color w:val="auto"/>
                <w:sz w:val="24"/>
              </w:rPr>
              <w:t>后排放</w:t>
            </w:r>
            <w:r>
              <w:rPr>
                <w:rFonts w:hint="eastAsia"/>
                <w:color w:val="auto"/>
                <w:sz w:val="24"/>
              </w:rPr>
              <w:t>。</w:t>
            </w:r>
          </w:p>
          <w:p>
            <w:pPr>
              <w:widowControl/>
              <w:adjustRightInd w:val="0"/>
              <w:snapToGrid w:val="0"/>
              <w:spacing w:line="360" w:lineRule="auto"/>
              <w:ind w:firstLine="480" w:firstLineChars="200"/>
              <w:rPr>
                <w:color w:val="auto"/>
                <w:kern w:val="0"/>
                <w:sz w:val="24"/>
              </w:rPr>
            </w:pPr>
            <w:r>
              <w:rPr>
                <w:rFonts w:hint="eastAsia"/>
                <w:color w:val="auto"/>
                <w:kern w:val="0"/>
                <w:sz w:val="24"/>
              </w:rPr>
              <w:t>项目水平衡图如下图所示：</w:t>
            </w:r>
          </w:p>
          <w:p>
            <w:pPr>
              <w:pStyle w:val="2"/>
              <w:rPr>
                <w:color w:val="auto"/>
              </w:rPr>
            </w:pPr>
            <w:r>
              <w:rPr>
                <w:color w:val="auto"/>
              </w:rPr>
              <w:pict>
                <v:group id="_x0000_s2062" o:spid="_x0000_s2062" o:spt="203" style="height:162.85pt;width:461.95pt;" coordsize="58667,20681" editas="canvas">
                  <o:lock v:ext="edit"/>
                  <v:shape id="_x0000_s1027" o:spid="_x0000_s1027" o:spt="75" type="#_x0000_t75" style="position:absolute;left:0;top:0;height:20681;width:58667;" filled="f" stroked="f" coordsize="21600,21600">
                    <v:path/>
                    <v:fill on="f" focussize="0,0"/>
                    <v:stroke on="f" joinstyle="miter"/>
                    <v:imagedata o:title=""/>
                    <o:lock v:ext="edit" aspectratio="f"/>
                  </v:shape>
                  <v:shape id="_x0000_s2063" o:spid="_x0000_s2063" o:spt="202" type="#_x0000_t202" style="position:absolute;left:762;top:9702;height:3175;width:8153;" filled="f" stroked="f" coordsize="21600,21600">
                    <v:path/>
                    <v:fill on="f" focussize="0,0"/>
                    <v:stroke on="f"/>
                    <v:imagedata o:title=""/>
                    <o:lock v:ext="edit" aspectratio="f"/>
                    <v:textbox>
                      <w:txbxContent>
                        <w:p>
                          <w:pPr>
                            <w:rPr>
                              <w:rFonts w:eastAsia="等线"/>
                            </w:rPr>
                          </w:pPr>
                          <w:r>
                            <w:rPr>
                              <w:rFonts w:hint="eastAsia"/>
                            </w:rPr>
                            <w:t>市政供水</w:t>
                          </w:r>
                        </w:p>
                      </w:txbxContent>
                    </v:textbox>
                  </v:shape>
                  <v:shape id="_x0000_s2064" o:spid="_x0000_s2064" o:spt="202" type="#_x0000_t202" style="position:absolute;left:14370;top:6178;height:2794;width:8128;" filled="f" stroked="t" coordsize="21600,21600">
                    <v:path/>
                    <v:fill on="f" focussize="0,0"/>
                    <v:stroke color="#000000" joinstyle="miter"/>
                    <v:imagedata o:title=""/>
                    <o:lock v:ext="edit" aspectratio="f"/>
                    <v:textbox>
                      <w:txbxContent>
                        <w:p>
                          <w:pPr>
                            <w:jc w:val="center"/>
                            <w:rPr>
                              <w:rFonts w:ascii="宋体" w:hAnsi="宋体"/>
                            </w:rPr>
                          </w:pPr>
                          <w:r>
                            <w:rPr>
                              <w:rFonts w:hint="eastAsia" w:ascii="宋体" w:hAnsi="宋体"/>
                            </w:rPr>
                            <w:t>生活用水</w:t>
                          </w:r>
                        </w:p>
                      </w:txbxContent>
                    </v:textbox>
                  </v:shape>
                  <v:shape id="_x0000_s2065" o:spid="_x0000_s2065" o:spt="32" type="#_x0000_t32" style="position:absolute;left:23895;top:11893;height:6;width:3207;" filled="f" stroked="t" coordsize="21600,21600">
                    <v:path arrowok="t"/>
                    <v:fill on="f" focussize="0,0"/>
                    <v:stroke color="#000000" endarrow="block"/>
                    <v:imagedata o:title=""/>
                    <o:lock v:ext="edit" aspectratio="f"/>
                  </v:shape>
                  <v:shape id="_x0000_s2066" o:spid="_x0000_s2066" o:spt="202" type="#_x0000_t202" style="position:absolute;left:27133;top:10280;height:2927;width:8922;" filled="f" stroked="t" coordsize="21600,21600">
                    <v:path/>
                    <v:fill on="f" focussize="0,0"/>
                    <v:stroke color="#000000" joinstyle="miter"/>
                    <v:imagedata o:title=""/>
                    <o:lock v:ext="edit" aspectratio="f"/>
                    <v:textbox>
                      <w:txbxContent>
                        <w:p>
                          <w:pPr>
                            <w:jc w:val="center"/>
                            <w:rPr>
                              <w:rFonts w:ascii="宋体" w:hAnsi="宋体"/>
                            </w:rPr>
                          </w:pPr>
                          <w:r>
                            <w:rPr>
                              <w:rFonts w:hint="eastAsia" w:ascii="宋体" w:hAnsi="宋体"/>
                            </w:rPr>
                            <w:t>三级化粪池</w:t>
                          </w:r>
                        </w:p>
                      </w:txbxContent>
                    </v:textbox>
                  </v:shape>
                  <v:shape id="_x0000_s2067" o:spid="_x0000_s2067" o:spt="32" type="#_x0000_t32" style="position:absolute;left:36087;top:11703;height:0;width:3175;" filled="f" stroked="t" coordsize="21600,21600">
                    <v:path arrowok="t"/>
                    <v:fill on="f" focussize="0,0"/>
                    <v:stroke color="#000000" endarrow="block"/>
                    <v:imagedata o:title=""/>
                    <o:lock v:ext="edit" aspectratio="f"/>
                  </v:shape>
                  <v:shape id="_x0000_s2068" o:spid="_x0000_s2068" o:spt="202" type="#_x0000_t202" style="position:absolute;left:39230;top:10173;height:2908;width:15913;" filled="f" stroked="t" coordsize="21600,21600">
                    <v:path/>
                    <v:fill on="f" focussize="0,0"/>
                    <v:stroke color="#000000" joinstyle="miter"/>
                    <v:imagedata o:title=""/>
                    <o:lock v:ext="edit" aspectratio="f"/>
                    <v:textbox>
                      <w:txbxContent>
                        <w:p>
                          <w:pPr>
                            <w:rPr>
                              <w:szCs w:val="21"/>
                            </w:rPr>
                          </w:pPr>
                          <w:r>
                            <w:rPr>
                              <w:rFonts w:hint="eastAsia"/>
                              <w:szCs w:val="21"/>
                            </w:rPr>
                            <w:t>开平市水口</w:t>
                          </w:r>
                          <w:r>
                            <w:rPr>
                              <w:szCs w:val="21"/>
                            </w:rPr>
                            <w:t>污水处理厂</w:t>
                          </w:r>
                        </w:p>
                      </w:txbxContent>
                    </v:textbox>
                  </v:shape>
                  <v:group id="组合 237" o:spid="_x0000_s2069" o:spt="203" style="position:absolute;left:17894;top:4464;height:1524;width:1778;" coordorigin="2851,3304" coordsize="630,624">
                    <o:lock v:ext="edit" aspectratio="f"/>
                    <v:line id="直线 238" o:spid="_x0000_s2070" o:spt="20" style="position:absolute;left:2851;top:3616;flip:y;height:312;width:210;" filled="f" stroked="t" coordsize="21600,21600">
                      <v:path arrowok="t"/>
                      <v:fill on="f" focussize="0,0"/>
                      <v:stroke color="#000000" endarrowwidth="narrow"/>
                      <v:imagedata o:title=""/>
                      <o:lock v:ext="edit" aspectratio="f"/>
                    </v:line>
                    <v:line id="直线 239" o:spid="_x0000_s2071" o:spt="20" style="position:absolute;left:3061;top:3616;height:156;width:105;" filled="f" stroked="t" coordsize="21600,21600">
                      <v:path arrowok="t"/>
                      <v:fill on="f" focussize="0,0"/>
                      <v:stroke color="#000000" endarrowwidth="narrow"/>
                      <v:imagedata o:title=""/>
                      <o:lock v:ext="edit" aspectratio="f"/>
                    </v:line>
                    <v:line id="直线 240" o:spid="_x0000_s2072" o:spt="20" style="position:absolute;left:3166;top:3304;flip:y;height:468;width:315;" filled="f" stroked="t" coordsize="21600,21600">
                      <v:path arrowok="t"/>
                      <v:fill on="f" focussize="0,0"/>
                      <v:stroke color="#000000" endarrow="block" endarrowwidth="narrow"/>
                      <v:imagedata o:title=""/>
                      <o:lock v:ext="edit" aspectratio="f"/>
                    </v:line>
                  </v:group>
                  <v:shape id="_x0000_s2073" o:spid="_x0000_s2073" o:spt="202" type="#_x0000_t202" style="position:absolute;left:18846;top:2940;height:3175;width:5969;" filled="f" stroked="f" coordsize="21600,21600">
                    <v:path/>
                    <v:fill on="f" focussize="0,0"/>
                    <v:stroke on="f"/>
                    <v:imagedata o:title=""/>
                    <o:lock v:ext="edit" aspectratio="f"/>
                    <v:textbox>
                      <w:txbxContent>
                        <w:p>
                          <w:pPr>
                            <w:rPr>
                              <w:rFonts w:eastAsia="等线"/>
                            </w:rPr>
                          </w:pPr>
                          <w:r>
                            <w:rPr>
                              <w:rFonts w:hint="eastAsia"/>
                            </w:rPr>
                            <w:t>18</w:t>
                          </w:r>
                        </w:p>
                      </w:txbxContent>
                    </v:textbox>
                  </v:shape>
                  <v:shape id="_x0000_s2074" o:spid="_x0000_s2074" o:spt="202" type="#_x0000_t202" style="position:absolute;left:23133;top:9417;height:3175;width:4826;" filled="f" stroked="f" coordsize="21600,21600">
                    <v:path/>
                    <v:fill on="f" focussize="0,0"/>
                    <v:stroke on="f"/>
                    <v:imagedata o:title=""/>
                    <o:lock v:ext="edit" aspectratio="f"/>
                    <v:textbox>
                      <w:txbxContent>
                        <w:p>
                          <w:pPr>
                            <w:rPr>
                              <w:rFonts w:hint="default" w:eastAsia="等线"/>
                              <w:lang w:val="en-US" w:eastAsia="zh-CN"/>
                            </w:rPr>
                          </w:pPr>
                          <w:r>
                            <w:rPr>
                              <w:rFonts w:hint="eastAsia" w:eastAsia="等线"/>
                              <w:lang w:val="en-US" w:eastAsia="zh-CN"/>
                            </w:rPr>
                            <w:t>170</w:t>
                          </w:r>
                        </w:p>
                      </w:txbxContent>
                    </v:textbox>
                  </v:shape>
                  <v:shape id="_x0000_s2075" o:spid="_x0000_s2075" o:spt="202" type="#_x0000_t202" style="position:absolute;left:35325;top:9322;height:3175;width:5969;" filled="f" stroked="f" coordsize="21600,21600">
                    <v:path/>
                    <v:fill on="f" focussize="0,0"/>
                    <v:stroke on="f"/>
                    <v:imagedata o:title=""/>
                    <o:lock v:ext="edit" aspectratio="f"/>
                    <v:textbox>
                      <w:txbxContent>
                        <w:p>
                          <w:pPr>
                            <w:rPr>
                              <w:rFonts w:hint="default" w:eastAsia="等线"/>
                              <w:lang w:val="en-US" w:eastAsia="zh-CN"/>
                            </w:rPr>
                          </w:pPr>
                          <w:r>
                            <w:rPr>
                              <w:rFonts w:hint="eastAsia" w:eastAsia="等线"/>
                              <w:lang w:val="en-US" w:eastAsia="zh-CN"/>
                            </w:rPr>
                            <w:t>170</w:t>
                          </w:r>
                        </w:p>
                      </w:txbxContent>
                    </v:textbox>
                  </v:shape>
                  <v:shape id="_x0000_s2076" o:spid="_x0000_s2076" o:spt="202" type="#_x0000_t202" style="position:absolute;left:10750;top:5035;height:3175;width:5969;" filled="f" stroked="f" coordsize="21600,21600">
                    <v:path/>
                    <v:fill on="f" focussize="0,0"/>
                    <v:stroke on="f"/>
                    <v:imagedata o:title=""/>
                    <o:lock v:ext="edit" aspectratio="f"/>
                    <v:textbox>
                      <w:txbxContent>
                        <w:p>
                          <w:pPr>
                            <w:rPr>
                              <w:rFonts w:eastAsia="等线"/>
                            </w:rPr>
                          </w:pPr>
                          <w:r>
                            <w:rPr>
                              <w:rFonts w:hint="eastAsia"/>
                            </w:rPr>
                            <w:t>180</w:t>
                          </w:r>
                        </w:p>
                      </w:txbxContent>
                    </v:textbox>
                  </v:shape>
                  <v:shape id="_x0000_s2077" o:spid="_x0000_s2077" o:spt="202" type="#_x0000_t202" style="position:absolute;left:18751;top:17875;height:3175;width:19742;" filled="f" stroked="f" coordsize="21600,21600">
                    <v:path/>
                    <v:fill on="f" focussize="0,0"/>
                    <v:stroke on="f"/>
                    <v:imagedata o:title=""/>
                    <o:lock v:ext="edit" aspectratio="f"/>
                    <v:textbox>
                      <w:txbxContent>
                        <w:p>
                          <w:pPr>
                            <w:rPr>
                              <w:rFonts w:eastAsia="等线"/>
                            </w:rPr>
                          </w:pPr>
                          <w:r>
                            <w:rPr>
                              <w:rFonts w:hint="eastAsia"/>
                              <w:b/>
                              <w:bCs/>
                            </w:rPr>
                            <w:t>项目水平衡图（单位：t/a）</w:t>
                          </w:r>
                        </w:p>
                      </w:txbxContent>
                    </v:textbox>
                  </v:shape>
                  <v:line id="直线 245" o:spid="_x0000_s2078" o:spt="20" style="position:absolute;left:7512;top:11417;flip:y;height:0;width:3810;" filled="f" stroked="t" coordsize="21600,21600">
                    <v:path arrowok="t"/>
                    <v:fill on="f" focussize="0,0"/>
                    <v:stroke color="#000000" endarrow="block"/>
                    <v:imagedata o:title=""/>
                    <o:lock v:ext="edit" aspectratio="f"/>
                  </v:line>
                  <v:shape id="_x0000_s2079" o:spid="_x0000_s2079" style="position:absolute;left:11226;top:7556;height:8179;width:3334;" filled="f" stroked="t" coordsize="525,1380" path="m495,0l0,0,0,1380,525,1380e">
                    <v:path arrowok="t"/>
                    <v:fill on="f" focussize="0,0"/>
                    <v:stroke color="#000000" startarrow="block" endarrow="block"/>
                    <v:imagedata o:title=""/>
                    <o:lock v:ext="edit" aspectratio="f"/>
                  </v:shape>
                  <v:shape id="_x0000_s2080" o:spid="_x0000_s2080" o:spt="202" type="#_x0000_t202" style="position:absolute;left:6845;top:8940;height:3175;width:3873;" filled="f" stroked="f" coordsize="21600,21600">
                    <v:path/>
                    <v:fill on="f" focussize="0,0"/>
                    <v:stroke on="f"/>
                    <v:imagedata o:title=""/>
                    <o:lock v:ext="edit" aspectratio="f"/>
                    <v:textbox>
                      <w:txbxContent>
                        <w:p>
                          <w:pPr>
                            <w:rPr>
                              <w:rFonts w:hint="default" w:eastAsia="等线"/>
                              <w:lang w:val="en-US" w:eastAsia="zh-CN"/>
                            </w:rPr>
                          </w:pPr>
                          <w:r>
                            <w:rPr>
                              <w:rFonts w:hint="eastAsia" w:eastAsia="等线"/>
                              <w:lang w:val="en-US" w:eastAsia="zh-CN"/>
                            </w:rPr>
                            <w:t>248</w:t>
                          </w:r>
                        </w:p>
                      </w:txbxContent>
                    </v:textbox>
                  </v:shape>
                  <v:shape id="_x0000_s2081" o:spid="_x0000_s2081" o:spt="202" type="#_x0000_t202" style="position:absolute;left:14465;top:14275;height:2794;width:8001;" filled="f" stroked="t" coordsize="21600,21600">
                    <v:path/>
                    <v:fill on="f" focussize="0,0"/>
                    <v:stroke color="#000000" joinstyle="miter"/>
                    <v:imagedata o:title=""/>
                    <o:lock v:ext="edit" aspectratio="f"/>
                    <v:textbox>
                      <w:txbxContent>
                        <w:p>
                          <w:pPr>
                            <w:jc w:val="center"/>
                            <w:rPr>
                              <w:rFonts w:hint="eastAsia" w:ascii="宋体" w:hAnsi="宋体" w:eastAsia="宋体"/>
                              <w:lang w:eastAsia="zh-CN"/>
                            </w:rPr>
                          </w:pPr>
                          <w:r>
                            <w:rPr>
                              <w:rFonts w:hint="eastAsia" w:ascii="宋体" w:hAnsi="宋体"/>
                              <w:lang w:eastAsia="zh-CN"/>
                            </w:rPr>
                            <w:t>冷却废水</w:t>
                          </w:r>
                        </w:p>
                      </w:txbxContent>
                    </v:textbox>
                  </v:shape>
                  <v:shape id="_x0000_s2082" o:spid="_x0000_s2082" o:spt="202" type="#_x0000_t202" style="position:absolute;left:18275;top:11036;height:3175;width:4166;" filled="f" stroked="f" coordsize="21600,21600">
                    <v:path/>
                    <v:fill on="f" focussize="0,0"/>
                    <v:stroke on="f"/>
                    <v:imagedata o:title=""/>
                    <o:lock v:ext="edit" aspectratio="f"/>
                    <v:textbox>
                      <w:txbxContent>
                        <w:p>
                          <w:pPr>
                            <w:rPr>
                              <w:rFonts w:hint="default" w:eastAsia="等线"/>
                              <w:lang w:val="en-US" w:eastAsia="zh-CN"/>
                            </w:rPr>
                          </w:pPr>
                          <w:r>
                            <w:rPr>
                              <w:rFonts w:hint="eastAsia" w:eastAsia="等线"/>
                              <w:lang w:val="en-US" w:eastAsia="zh-CN"/>
                            </w:rPr>
                            <w:t>60</w:t>
                          </w:r>
                        </w:p>
                      </w:txbxContent>
                    </v:textbox>
                  </v:shape>
                  <v:shape id="_x0000_s2083" o:spid="_x0000_s2083" o:spt="202" type="#_x0000_t202" style="position:absolute;left:10845;top:13417;height:3175;width:5969;" filled="f" stroked="f" coordsize="21600,21600">
                    <v:path/>
                    <v:fill on="f" focussize="0,0"/>
                    <v:stroke on="f"/>
                    <v:imagedata o:title=""/>
                    <o:lock v:ext="edit" aspectratio="f"/>
                    <v:textbox>
                      <w:txbxContent>
                        <w:p>
                          <w:pPr>
                            <w:rPr>
                              <w:rFonts w:hint="default" w:eastAsia="等线"/>
                              <w:lang w:val="en-US" w:eastAsia="zh-CN"/>
                            </w:rPr>
                          </w:pPr>
                          <w:r>
                            <w:rPr>
                              <w:rFonts w:hint="eastAsia" w:eastAsia="等线"/>
                              <w:lang w:val="en-US" w:eastAsia="zh-CN"/>
                            </w:rPr>
                            <w:t>68</w:t>
                          </w:r>
                        </w:p>
                      </w:txbxContent>
                    </v:textbox>
                  </v:shape>
                  <v:shape id="_x0000_s2084" o:spid="_x0000_s2084" style="position:absolute;left:22498;top:7817;height:7906;width:1238;" filled="f" stroked="t" coordsize="195,1245" path="m0,0hal195,0hal195,1245hal15,1245hae">
                    <v:path arrowok="t"/>
                    <v:fill on="f" focussize="0,0"/>
                    <v:stroke weight="0.5pt" color="#000000"/>
                    <v:imagedata o:title=""/>
                    <o:lock v:ext="edit" aspectratio="f"/>
                  </v:shape>
                  <v:group id="组合 237" o:spid="_x0000_s2085" o:spt="203" style="position:absolute;left:17227;top:12655;height:1524;width:1778;" coordorigin="2851,3304" coordsize="630,624">
                    <o:lock v:ext="edit" aspectratio="f"/>
                    <v:line id="直线 238" o:spid="_x0000_s2086" o:spt="20" style="position:absolute;left:2851;top:3616;flip:y;height:312;width:210;" filled="f" stroked="t" coordsize="21600,21600">
                      <v:path arrowok="t"/>
                      <v:fill on="f" focussize="0,0"/>
                      <v:stroke color="#000000" endarrowwidth="narrow"/>
                      <v:imagedata o:title=""/>
                      <o:lock v:ext="edit" aspectratio="f"/>
                    </v:line>
                    <v:line id="直线 239" o:spid="_x0000_s2087" o:spt="20" style="position:absolute;left:3061;top:3616;height:156;width:105;" filled="f" stroked="t" coordsize="21600,21600">
                      <v:path arrowok="t"/>
                      <v:fill on="f" focussize="0,0"/>
                      <v:stroke color="#000000" endarrowwidth="narrow"/>
                      <v:imagedata o:title=""/>
                      <o:lock v:ext="edit" aspectratio="f"/>
                    </v:line>
                    <v:line id="直线 240" o:spid="_x0000_s2088" o:spt="20" style="position:absolute;left:3166;top:3304;flip:y;height:468;width:315;" filled="f" stroked="t" coordsize="21600,21600">
                      <v:path arrowok="t"/>
                      <v:fill on="f" focussize="0,0"/>
                      <v:stroke color="#000000" endarrow="block" endarrowwidth="narrow"/>
                      <v:imagedata o:title=""/>
                      <o:lock v:ext="edit" aspectratio="f"/>
                    </v:line>
                  </v:group>
                  <w10:wrap type="none"/>
                  <w10:anchorlock/>
                </v:group>
              </w:pict>
            </w:r>
          </w:p>
          <w:p>
            <w:pPr>
              <w:widowControl/>
              <w:adjustRightInd w:val="0"/>
              <w:snapToGrid w:val="0"/>
              <w:spacing w:line="360" w:lineRule="auto"/>
              <w:ind w:firstLine="480" w:firstLineChars="200"/>
              <w:rPr>
                <w:color w:val="auto"/>
                <w:kern w:val="0"/>
                <w:sz w:val="24"/>
              </w:rPr>
            </w:pPr>
            <w:r>
              <w:rPr>
                <w:color w:val="auto"/>
                <w:kern w:val="0"/>
                <w:sz w:val="24"/>
              </w:rPr>
              <w:t>（</w:t>
            </w:r>
            <w:r>
              <w:rPr>
                <w:rFonts w:hint="eastAsia"/>
                <w:color w:val="auto"/>
                <w:kern w:val="0"/>
                <w:sz w:val="24"/>
              </w:rPr>
              <w:t>3</w:t>
            </w:r>
            <w:r>
              <w:rPr>
                <w:color w:val="auto"/>
                <w:kern w:val="0"/>
                <w:sz w:val="24"/>
              </w:rPr>
              <w:t>）供电</w:t>
            </w:r>
          </w:p>
          <w:p>
            <w:pPr>
              <w:widowControl/>
              <w:adjustRightInd w:val="0"/>
              <w:snapToGrid w:val="0"/>
              <w:spacing w:line="360" w:lineRule="auto"/>
              <w:ind w:firstLine="480" w:firstLineChars="200"/>
              <w:rPr>
                <w:color w:val="auto"/>
                <w:kern w:val="0"/>
                <w:sz w:val="24"/>
              </w:rPr>
            </w:pPr>
            <w:r>
              <w:rPr>
                <w:color w:val="auto"/>
                <w:kern w:val="0"/>
                <w:sz w:val="24"/>
              </w:rPr>
              <w:t>项目用电由市政电网供给，</w:t>
            </w:r>
            <w:r>
              <w:rPr>
                <w:rFonts w:hint="eastAsia"/>
                <w:color w:val="auto"/>
                <w:kern w:val="0"/>
                <w:sz w:val="24"/>
              </w:rPr>
              <w:t>年</w:t>
            </w:r>
            <w:r>
              <w:rPr>
                <w:color w:val="auto"/>
                <w:kern w:val="0"/>
                <w:sz w:val="24"/>
              </w:rPr>
              <w:t>用电量约为</w:t>
            </w:r>
            <w:r>
              <w:rPr>
                <w:rFonts w:hint="eastAsia"/>
                <w:color w:val="auto"/>
                <w:kern w:val="0"/>
                <w:sz w:val="24"/>
              </w:rPr>
              <w:t>10</w:t>
            </w:r>
            <w:r>
              <w:rPr>
                <w:color w:val="auto"/>
                <w:kern w:val="0"/>
                <w:sz w:val="24"/>
              </w:rPr>
              <w:t>万</w:t>
            </w:r>
            <w:r>
              <w:rPr>
                <w:rFonts w:hint="eastAsia"/>
                <w:color w:val="auto"/>
                <w:kern w:val="0"/>
                <w:sz w:val="24"/>
              </w:rPr>
              <w:t>度</w:t>
            </w:r>
            <w:r>
              <w:rPr>
                <w:color w:val="auto"/>
                <w:kern w:val="0"/>
                <w:sz w:val="24"/>
              </w:rPr>
              <w:t>。本项目不设置备用发电机。</w:t>
            </w:r>
          </w:p>
          <w:p>
            <w:pPr>
              <w:spacing w:line="360" w:lineRule="auto"/>
              <w:ind w:firstLine="482" w:firstLineChars="200"/>
              <w:rPr>
                <w:b/>
                <w:color w:val="auto"/>
                <w:sz w:val="24"/>
              </w:rPr>
            </w:pPr>
            <w:r>
              <w:rPr>
                <w:rFonts w:hint="eastAsia"/>
                <w:b/>
                <w:color w:val="auto"/>
                <w:sz w:val="24"/>
              </w:rPr>
              <w:t>六</w:t>
            </w:r>
            <w:r>
              <w:rPr>
                <w:b/>
                <w:color w:val="auto"/>
                <w:sz w:val="24"/>
              </w:rPr>
              <w:t>、工作制度及劳动定员</w:t>
            </w:r>
            <w:r>
              <w:rPr>
                <w:rFonts w:hint="eastAsia"/>
                <w:b/>
                <w:color w:val="auto"/>
                <w:sz w:val="24"/>
              </w:rPr>
              <w:t>：</w:t>
            </w:r>
          </w:p>
          <w:p>
            <w:pPr>
              <w:pStyle w:val="146"/>
              <w:ind w:firstLine="480" w:firstLineChars="200"/>
              <w:rPr>
                <w:b w:val="0"/>
                <w:bCs w:val="0"/>
                <w:color w:val="auto"/>
              </w:rPr>
            </w:pPr>
            <w:r>
              <w:rPr>
                <w:b w:val="0"/>
                <w:bCs w:val="0"/>
                <w:color w:val="auto"/>
              </w:rPr>
              <w:t>全年工作</w:t>
            </w:r>
            <w:r>
              <w:rPr>
                <w:rFonts w:hint="eastAsia"/>
                <w:b w:val="0"/>
                <w:bCs w:val="0"/>
                <w:color w:val="auto"/>
              </w:rPr>
              <w:t>300</w:t>
            </w:r>
            <w:r>
              <w:rPr>
                <w:b w:val="0"/>
                <w:bCs w:val="0"/>
                <w:color w:val="auto"/>
              </w:rPr>
              <w:t>天，每天</w:t>
            </w:r>
            <w:r>
              <w:rPr>
                <w:rFonts w:hint="eastAsia"/>
                <w:b w:val="0"/>
                <w:bCs w:val="0"/>
                <w:color w:val="auto"/>
              </w:rPr>
              <w:t>一</w:t>
            </w:r>
            <w:r>
              <w:rPr>
                <w:b w:val="0"/>
                <w:bCs w:val="0"/>
                <w:color w:val="auto"/>
              </w:rPr>
              <w:t>班，每班8小时。员工人数</w:t>
            </w:r>
            <w:r>
              <w:rPr>
                <w:rFonts w:hint="eastAsia"/>
                <w:b w:val="0"/>
                <w:bCs w:val="0"/>
                <w:color w:val="auto"/>
              </w:rPr>
              <w:t>15</w:t>
            </w:r>
            <w:r>
              <w:rPr>
                <w:b w:val="0"/>
                <w:bCs w:val="0"/>
                <w:color w:val="auto"/>
              </w:rPr>
              <w:t>人，</w:t>
            </w:r>
            <w:r>
              <w:rPr>
                <w:rFonts w:hint="eastAsia"/>
                <w:b w:val="0"/>
                <w:bCs w:val="0"/>
                <w:color w:val="auto"/>
              </w:rPr>
              <w:t>均不在项目内食宿。</w:t>
            </w:r>
          </w:p>
          <w:p>
            <w:pPr>
              <w:pStyle w:val="146"/>
              <w:ind w:firstLine="482" w:firstLineChars="200"/>
              <w:rPr>
                <w:color w:val="auto"/>
              </w:rPr>
            </w:pPr>
            <w:r>
              <w:rPr>
                <w:rFonts w:hint="eastAsia"/>
                <w:color w:val="auto"/>
              </w:rPr>
              <w:t>七、产业政策和用地相符性：</w:t>
            </w:r>
          </w:p>
          <w:p>
            <w:pPr>
              <w:pStyle w:val="147"/>
              <w:ind w:firstLine="480"/>
              <w:rPr>
                <w:b/>
                <w:bCs/>
                <w:color w:val="auto"/>
              </w:rPr>
            </w:pPr>
            <w:r>
              <w:rPr>
                <w:rFonts w:hint="eastAsia"/>
                <w:b/>
                <w:bCs/>
                <w:color w:val="auto"/>
              </w:rPr>
              <w:t>1）产业政策相符性</w:t>
            </w:r>
          </w:p>
          <w:p>
            <w:pPr>
              <w:pStyle w:val="147"/>
              <w:ind w:firstLine="480"/>
              <w:rPr>
                <w:color w:val="auto"/>
              </w:rPr>
            </w:pPr>
            <w:r>
              <w:rPr>
                <w:rFonts w:hint="eastAsia"/>
                <w:color w:val="auto"/>
              </w:rPr>
              <w:t>项目主要从事高压软管的加工生产：</w:t>
            </w:r>
          </w:p>
          <w:p>
            <w:pPr>
              <w:pStyle w:val="147"/>
              <w:ind w:firstLine="480"/>
              <w:rPr>
                <w:color w:val="auto"/>
              </w:rPr>
            </w:pPr>
            <w:r>
              <w:rPr>
                <w:rFonts w:hint="eastAsia"/>
                <w:color w:val="auto"/>
              </w:rPr>
              <w:t>（1）根据</w:t>
            </w:r>
            <w:r>
              <w:rPr>
                <w:color w:val="auto"/>
              </w:rPr>
              <w:t>《产业结构调整指导目录（2011年本）（修正）》（国家发改委令2013年21号）</w:t>
            </w:r>
            <w:r>
              <w:rPr>
                <w:rFonts w:hint="eastAsia"/>
                <w:color w:val="auto"/>
              </w:rPr>
              <w:t>，项目不属于限制和淘汰类。</w:t>
            </w:r>
          </w:p>
          <w:p>
            <w:pPr>
              <w:pStyle w:val="147"/>
              <w:ind w:firstLine="480"/>
              <w:rPr>
                <w:bCs/>
                <w:color w:val="auto"/>
              </w:rPr>
            </w:pPr>
            <w:r>
              <w:rPr>
                <w:rFonts w:hint="eastAsia"/>
                <w:color w:val="auto"/>
              </w:rPr>
              <w:t>（</w:t>
            </w:r>
            <w:r>
              <w:rPr>
                <w:rFonts w:hint="eastAsia"/>
                <w:color w:val="auto"/>
                <w:lang w:val="en-US" w:eastAsia="zh-CN"/>
              </w:rPr>
              <w:t>2</w:t>
            </w:r>
            <w:r>
              <w:rPr>
                <w:rFonts w:hint="eastAsia"/>
                <w:color w:val="auto"/>
              </w:rPr>
              <w:t>）项目</w:t>
            </w:r>
            <w:r>
              <w:rPr>
                <w:bCs/>
                <w:color w:val="auto"/>
              </w:rPr>
              <w:t>不在</w:t>
            </w:r>
            <w:r>
              <w:rPr>
                <w:rFonts w:hint="eastAsia" w:cs="Times New Roman"/>
                <w:bCs/>
                <w:color w:val="auto"/>
                <w:sz w:val="24"/>
                <w:shd w:val="clear" w:color="auto" w:fill="auto"/>
                <w:lang w:val="en-US" w:eastAsia="zh-CN"/>
              </w:rPr>
              <w:t>《市场准入负面清单（2019年版）》发改体改[2019]1685号</w:t>
            </w:r>
            <w:r>
              <w:rPr>
                <w:rFonts w:hint="default" w:ascii="Times New Roman" w:hAnsi="Times New Roman" w:cs="Times New Roman"/>
                <w:bCs/>
                <w:color w:val="auto"/>
                <w:sz w:val="24"/>
                <w:shd w:val="clear" w:color="auto" w:fill="auto"/>
                <w:lang w:val="en-US" w:eastAsia="zh-CN"/>
              </w:rPr>
              <w:t>类目</w:t>
            </w:r>
            <w:r>
              <w:rPr>
                <w:rFonts w:hint="eastAsia"/>
                <w:bCs/>
                <w:color w:val="auto"/>
              </w:rPr>
              <w:t>。</w:t>
            </w:r>
          </w:p>
          <w:p>
            <w:pPr>
              <w:spacing w:line="360" w:lineRule="auto"/>
              <w:ind w:firstLine="480" w:firstLineChars="200"/>
              <w:jc w:val="left"/>
              <w:rPr>
                <w:rFonts w:hint="eastAsia"/>
                <w:b w:val="0"/>
                <w:bCs w:val="0"/>
                <w:color w:val="auto"/>
                <w:sz w:val="24"/>
                <w:szCs w:val="24"/>
                <w:highlight w:val="none"/>
              </w:rPr>
            </w:pPr>
            <w:r>
              <w:rPr>
                <w:rFonts w:hint="eastAsia"/>
                <w:b w:val="0"/>
                <w:bCs w:val="0"/>
                <w:color w:val="auto"/>
                <w:sz w:val="24"/>
                <w:szCs w:val="24"/>
                <w:highlight w:val="none"/>
                <w:lang w:eastAsia="zh-CN"/>
              </w:rPr>
              <w:t>（</w:t>
            </w:r>
            <w:r>
              <w:rPr>
                <w:rFonts w:hint="eastAsia"/>
                <w:b w:val="0"/>
                <w:bCs w:val="0"/>
                <w:color w:val="auto"/>
                <w:sz w:val="24"/>
                <w:szCs w:val="24"/>
                <w:highlight w:val="none"/>
                <w:lang w:val="en-US" w:eastAsia="zh-CN"/>
              </w:rPr>
              <w:t>3</w:t>
            </w:r>
            <w:r>
              <w:rPr>
                <w:rFonts w:hint="eastAsia"/>
                <w:b w:val="0"/>
                <w:bCs w:val="0"/>
                <w:color w:val="auto"/>
                <w:sz w:val="24"/>
                <w:szCs w:val="24"/>
                <w:highlight w:val="none"/>
                <w:lang w:eastAsia="zh-CN"/>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w:t>
            </w:r>
          </w:p>
          <w:p>
            <w:pPr>
              <w:spacing w:line="360" w:lineRule="auto"/>
              <w:jc w:val="left"/>
              <w:rPr>
                <w:rFonts w:hint="eastAsia"/>
                <w:b w:val="0"/>
                <w:bCs w:val="0"/>
                <w:color w:val="auto"/>
                <w:sz w:val="24"/>
                <w:szCs w:val="24"/>
                <w:highlight w:val="none"/>
              </w:rPr>
            </w:pPr>
            <w:r>
              <w:rPr>
                <w:rFonts w:hint="eastAsia"/>
                <w:b w:val="0"/>
                <w:bCs w:val="0"/>
                <w:color w:val="auto"/>
                <w:sz w:val="24"/>
                <w:szCs w:val="24"/>
                <w:highlight w:val="none"/>
              </w:rPr>
              <w:t>年）》、《十三五挥发性有机物污染防治工作方案》相符，本项目主要是进行塑料制品生产，同时生产过程中产生的有机废气通过UV 光解+活性炭吸附治理设施治理，符合“全</w:t>
            </w:r>
          </w:p>
          <w:p>
            <w:pPr>
              <w:spacing w:line="360" w:lineRule="auto"/>
              <w:jc w:val="left"/>
              <w:rPr>
                <w:rFonts w:hint="eastAsia"/>
                <w:b w:val="0"/>
                <w:bCs w:val="0"/>
                <w:color w:val="auto"/>
                <w:sz w:val="24"/>
                <w:szCs w:val="24"/>
                <w:highlight w:val="none"/>
              </w:rPr>
            </w:pPr>
            <w:r>
              <w:rPr>
                <w:rFonts w:hint="eastAsia"/>
                <w:b w:val="0"/>
                <w:bCs w:val="0"/>
                <w:color w:val="auto"/>
                <w:sz w:val="24"/>
                <w:szCs w:val="24"/>
                <w:highlight w:val="none"/>
              </w:rPr>
              <w:t>面推进医药、合成树脂、橡胶和塑料制品制造、涂料/油墨/颜料制造等化工行业VOCs减排，通过源头预防、过程控制、末端治理等综合措施，确保实现达标排放”的要求。</w:t>
            </w:r>
          </w:p>
          <w:p>
            <w:pPr>
              <w:pStyle w:val="138"/>
              <w:numPr>
                <w:ilvl w:val="0"/>
                <w:numId w:val="5"/>
              </w:numPr>
              <w:tabs>
                <w:tab w:val="left" w:pos="420"/>
              </w:tabs>
              <w:spacing w:line="360" w:lineRule="auto"/>
              <w:ind w:left="0" w:firstLine="471"/>
              <w:rPr>
                <w:rFonts w:hint="eastAsia" w:eastAsia="宋体" w:cs="Times New Roman"/>
                <w:b/>
                <w:color w:val="auto"/>
                <w:sz w:val="21"/>
                <w:szCs w:val="21"/>
              </w:rPr>
            </w:pPr>
            <w:r>
              <w:rPr>
                <w:rFonts w:hint="eastAsia" w:eastAsia="宋体" w:cs="Times New Roman"/>
                <w:b/>
                <w:color w:val="auto"/>
                <w:sz w:val="21"/>
                <w:szCs w:val="21"/>
              </w:rPr>
              <w:t>项目与《工作方案》的相符性分析表</w:t>
            </w:r>
          </w:p>
          <w:tbl>
            <w:tblPr>
              <w:tblStyle w:val="45"/>
              <w:tblW w:w="92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9"/>
              <w:gridCol w:w="3480"/>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9" w:type="dxa"/>
                  <w:vAlign w:val="center"/>
                </w:tcPr>
                <w:p>
                  <w:pPr>
                    <w:jc w:val="center"/>
                    <w:rPr>
                      <w:rFonts w:hint="eastAsia"/>
                      <w:b/>
                      <w:bCs/>
                      <w:color w:val="auto"/>
                    </w:rPr>
                  </w:pPr>
                  <w:r>
                    <w:rPr>
                      <w:rFonts w:hint="eastAsia"/>
                      <w:b/>
                      <w:bCs/>
                      <w:color w:val="auto"/>
                    </w:rPr>
                    <w:t>规范要求</w:t>
                  </w:r>
                </w:p>
              </w:tc>
              <w:tc>
                <w:tcPr>
                  <w:tcW w:w="3480" w:type="dxa"/>
                  <w:vAlign w:val="center"/>
                </w:tcPr>
                <w:p>
                  <w:pPr>
                    <w:jc w:val="center"/>
                    <w:rPr>
                      <w:rFonts w:hint="eastAsia"/>
                      <w:b/>
                      <w:bCs/>
                      <w:color w:val="auto"/>
                      <w:lang w:eastAsia="zh-CN"/>
                    </w:rPr>
                  </w:pPr>
                  <w:r>
                    <w:rPr>
                      <w:rFonts w:hint="eastAsia"/>
                      <w:b/>
                      <w:bCs/>
                      <w:color w:val="auto"/>
                    </w:rPr>
                    <w:t>本项目情</w:t>
                  </w:r>
                  <w:r>
                    <w:rPr>
                      <w:rFonts w:hint="eastAsia"/>
                      <w:b/>
                      <w:bCs/>
                      <w:color w:val="auto"/>
                      <w:lang w:eastAsia="zh-CN"/>
                    </w:rPr>
                    <w:t>况</w:t>
                  </w:r>
                </w:p>
              </w:tc>
              <w:tc>
                <w:tcPr>
                  <w:tcW w:w="1470" w:type="dxa"/>
                  <w:vAlign w:val="center"/>
                </w:tcPr>
                <w:p>
                  <w:pPr>
                    <w:jc w:val="center"/>
                    <w:rPr>
                      <w:rFonts w:hint="eastAsia"/>
                      <w:b/>
                      <w:bCs/>
                      <w:color w:val="auto"/>
                    </w:rPr>
                  </w:pPr>
                  <w:r>
                    <w:rPr>
                      <w:rFonts w:hint="eastAsia"/>
                      <w:b/>
                      <w:bCs/>
                      <w:color w:val="auto"/>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6" w:hRule="atLeast"/>
                <w:jc w:val="center"/>
              </w:trPr>
              <w:tc>
                <w:tcPr>
                  <w:tcW w:w="4299" w:type="dxa"/>
                  <w:vAlign w:val="center"/>
                </w:tcPr>
                <w:p>
                  <w:pPr>
                    <w:jc w:val="center"/>
                    <w:rPr>
                      <w:rFonts w:hint="eastAsia"/>
                      <w:color w:val="auto"/>
                    </w:rPr>
                  </w:pPr>
                  <w:r>
                    <w:rPr>
                      <w:rFonts w:hint="eastAsia"/>
                      <w:color w:val="auto"/>
                    </w:rPr>
                    <w:t>严格控制新增污染物排放量。严格限制化工、包装印刷、工业涂装等高VOCs排放建设项目。</w:t>
                  </w:r>
                </w:p>
              </w:tc>
              <w:tc>
                <w:tcPr>
                  <w:tcW w:w="3480" w:type="dxa"/>
                  <w:vAlign w:val="center"/>
                </w:tcPr>
                <w:p>
                  <w:pPr>
                    <w:jc w:val="center"/>
                    <w:rPr>
                      <w:rFonts w:hint="eastAsia" w:eastAsia="宋体"/>
                      <w:color w:val="auto"/>
                      <w:lang w:eastAsia="zh-CN"/>
                    </w:rPr>
                  </w:pPr>
                  <w:r>
                    <w:rPr>
                      <w:rFonts w:hint="eastAsia"/>
                      <w:color w:val="auto"/>
                    </w:rPr>
                    <w:t>本项目不属于高VOCs排放建设项目</w:t>
                  </w:r>
                  <w:r>
                    <w:rPr>
                      <w:rFonts w:hint="eastAsia"/>
                      <w:color w:val="auto"/>
                      <w:lang w:eastAsia="zh-CN"/>
                    </w:rPr>
                    <w:t>，</w:t>
                  </w:r>
                  <w:r>
                    <w:rPr>
                      <w:rFonts w:hint="eastAsia"/>
                      <w:color w:val="auto"/>
                    </w:rPr>
                    <w:t>产生的VOCs符合政策要求经过处理设施处理后排放，排放量得到有效控制</w:t>
                  </w:r>
                  <w:r>
                    <w:rPr>
                      <w:rFonts w:hint="eastAsia"/>
                      <w:color w:val="auto"/>
                      <w:lang w:eastAsia="zh-CN"/>
                    </w:rPr>
                    <w:t>。</w:t>
                  </w:r>
                </w:p>
              </w:tc>
              <w:tc>
                <w:tcPr>
                  <w:tcW w:w="1470" w:type="dxa"/>
                  <w:vAlign w:val="center"/>
                </w:tcPr>
                <w:p>
                  <w:pPr>
                    <w:jc w:val="center"/>
                    <w:rPr>
                      <w:rFonts w:hint="eastAsia"/>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299" w:type="dxa"/>
                  <w:vAlign w:val="center"/>
                </w:tcPr>
                <w:p>
                  <w:pPr>
                    <w:jc w:val="center"/>
                    <w:rPr>
                      <w:rFonts w:hint="eastAsia"/>
                      <w:color w:val="auto"/>
                    </w:rPr>
                  </w:pPr>
                  <w:r>
                    <w:rPr>
                      <w:rFonts w:hint="eastAsia"/>
                      <w:color w:val="auto"/>
                    </w:rPr>
                    <w:t>落实源头控制措施。推广使用低毒、低（无）VOCs含量油墨、胶黏剂、清洗剂、润版剂、洗车水、涂布液等原辅材料。低（无）VOCs含量的原辅材料代替比例不低于60%。</w:t>
                  </w:r>
                </w:p>
              </w:tc>
              <w:tc>
                <w:tcPr>
                  <w:tcW w:w="3480" w:type="dxa"/>
                  <w:vAlign w:val="center"/>
                </w:tcPr>
                <w:p>
                  <w:pPr>
                    <w:jc w:val="center"/>
                    <w:rPr>
                      <w:rFonts w:hint="eastAsia"/>
                      <w:color w:val="auto"/>
                    </w:rPr>
                  </w:pPr>
                  <w:r>
                    <w:rPr>
                      <w:rFonts w:hint="eastAsia"/>
                      <w:color w:val="auto"/>
                    </w:rPr>
                    <w:t>本项目不涉及含有油墨、胶黏剂、清洗剂、洗车水、涂布液等原辅材料。</w:t>
                  </w:r>
                </w:p>
              </w:tc>
              <w:tc>
                <w:tcPr>
                  <w:tcW w:w="1470" w:type="dxa"/>
                  <w:vAlign w:val="center"/>
                </w:tcPr>
                <w:p>
                  <w:pPr>
                    <w:jc w:val="center"/>
                    <w:rPr>
                      <w:rFonts w:hint="eastAsia"/>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4" w:hRule="atLeast"/>
                <w:jc w:val="center"/>
              </w:trPr>
              <w:tc>
                <w:tcPr>
                  <w:tcW w:w="4299" w:type="dxa"/>
                  <w:vAlign w:val="center"/>
                </w:tcPr>
                <w:p>
                  <w:pPr>
                    <w:jc w:val="center"/>
                    <w:rPr>
                      <w:rFonts w:hint="eastAsia"/>
                      <w:color w:val="auto"/>
                    </w:rPr>
                  </w:pPr>
                  <w:r>
                    <w:rPr>
                      <w:rFonts w:hint="eastAsia"/>
                      <w:color w:val="auto"/>
                    </w:rPr>
                    <w:t>加强废气收集与处理。规范油墨、胶黏剂等有机原辅材料的调配和使用环节，采取车间环境负压改造，安装高集气装置的措施，提高VOCs产生环节的废气收集率。因地制宜采用回收、焚烧等有机废气末端治理技术，确保稳定达标排放</w:t>
                  </w:r>
                </w:p>
              </w:tc>
              <w:tc>
                <w:tcPr>
                  <w:tcW w:w="3480" w:type="dxa"/>
                  <w:vAlign w:val="center"/>
                </w:tcPr>
                <w:p>
                  <w:pPr>
                    <w:jc w:val="center"/>
                    <w:rPr>
                      <w:rFonts w:hint="eastAsia"/>
                      <w:color w:val="auto"/>
                    </w:rPr>
                  </w:pPr>
                  <w:r>
                    <w:rPr>
                      <w:rFonts w:hint="eastAsia"/>
                      <w:color w:val="auto"/>
                    </w:rPr>
                    <w:t>项目</w:t>
                  </w:r>
                  <w:r>
                    <w:rPr>
                      <w:rFonts w:hint="eastAsia" w:ascii="Times New Roman" w:hAnsi="Times New Roman"/>
                      <w:color w:val="auto"/>
                      <w:kern w:val="2"/>
                      <w:szCs w:val="24"/>
                    </w:rPr>
                    <w:t>造粒、挤出成型</w:t>
                  </w:r>
                  <w:r>
                    <w:rPr>
                      <w:rFonts w:ascii="Times New Roman" w:hAnsi="Times New Roman"/>
                      <w:color w:val="auto"/>
                      <w:kern w:val="2"/>
                      <w:szCs w:val="24"/>
                    </w:rPr>
                    <w:t>工序</w:t>
                  </w:r>
                  <w:r>
                    <w:rPr>
                      <w:rFonts w:hint="eastAsia"/>
                      <w:color w:val="auto"/>
                    </w:rPr>
                    <w:t>在车间内进行；</w:t>
                  </w:r>
                  <w:r>
                    <w:rPr>
                      <w:rFonts w:hint="eastAsia" w:ascii="Times New Roman" w:hAnsi="Times New Roman"/>
                      <w:color w:val="auto"/>
                      <w:kern w:val="2"/>
                      <w:szCs w:val="24"/>
                    </w:rPr>
                    <w:t>造粒</w:t>
                  </w:r>
                  <w:r>
                    <w:rPr>
                      <w:rFonts w:hint="eastAsia"/>
                      <w:color w:val="auto"/>
                      <w:kern w:val="2"/>
                      <w:szCs w:val="24"/>
                      <w:lang w:eastAsia="zh-CN"/>
                    </w:rPr>
                    <w:t>机</w:t>
                  </w:r>
                  <w:r>
                    <w:rPr>
                      <w:rFonts w:hint="eastAsia" w:ascii="Times New Roman" w:hAnsi="Times New Roman"/>
                      <w:color w:val="auto"/>
                      <w:kern w:val="2"/>
                      <w:szCs w:val="24"/>
                    </w:rPr>
                    <w:t>、挤出</w:t>
                  </w:r>
                  <w:r>
                    <w:rPr>
                      <w:rFonts w:hint="eastAsia"/>
                      <w:color w:val="auto"/>
                      <w:kern w:val="2"/>
                      <w:szCs w:val="24"/>
                      <w:lang w:eastAsia="zh-CN"/>
                    </w:rPr>
                    <w:t>机</w:t>
                  </w:r>
                  <w:r>
                    <w:rPr>
                      <w:rFonts w:hint="eastAsia"/>
                      <w:color w:val="auto"/>
                    </w:rPr>
                    <w:t>上方安装集气罩；收集的</w:t>
                  </w:r>
                  <w:r>
                    <w:rPr>
                      <w:rFonts w:hint="eastAsia"/>
                      <w:color w:val="auto"/>
                      <w:lang w:eastAsia="zh-CN"/>
                    </w:rPr>
                    <w:t>有机</w:t>
                  </w:r>
                  <w:r>
                    <w:rPr>
                      <w:rFonts w:hint="eastAsia"/>
                      <w:color w:val="auto"/>
                    </w:rPr>
                    <w:t>废气经UV光解+活性炭吸附</w:t>
                  </w:r>
                  <w:r>
                    <w:rPr>
                      <w:rFonts w:hint="eastAsia"/>
                      <w:color w:val="auto"/>
                      <w:lang w:eastAsia="zh-CN"/>
                    </w:rPr>
                    <w:t>装置</w:t>
                  </w:r>
                  <w:r>
                    <w:rPr>
                      <w:rFonts w:hint="eastAsia"/>
                      <w:color w:val="auto"/>
                    </w:rPr>
                    <w:t>处理后通过</w:t>
                  </w:r>
                  <w:r>
                    <w:rPr>
                      <w:rFonts w:hint="eastAsia"/>
                      <w:color w:val="auto"/>
                      <w:szCs w:val="21"/>
                    </w:rPr>
                    <w:t>15m排气筒</w:t>
                  </w:r>
                  <w:r>
                    <w:rPr>
                      <w:rFonts w:hint="eastAsia"/>
                      <w:color w:val="auto"/>
                    </w:rPr>
                    <w:t>高空排放。</w:t>
                  </w:r>
                </w:p>
              </w:tc>
              <w:tc>
                <w:tcPr>
                  <w:tcW w:w="1470" w:type="dxa"/>
                  <w:vAlign w:val="center"/>
                </w:tcPr>
                <w:p>
                  <w:pPr>
                    <w:jc w:val="center"/>
                    <w:rPr>
                      <w:rFonts w:hint="eastAsia"/>
                      <w:color w:val="auto"/>
                    </w:rPr>
                  </w:pPr>
                  <w:r>
                    <w:rPr>
                      <w:rFonts w:hint="eastAsia"/>
                      <w:color w:val="auto"/>
                    </w:rPr>
                    <w:t>符合</w:t>
                  </w:r>
                </w:p>
              </w:tc>
            </w:tr>
          </w:tbl>
          <w:p>
            <w:pPr>
              <w:spacing w:line="360" w:lineRule="auto"/>
              <w:ind w:firstLine="480" w:firstLineChars="200"/>
              <w:jc w:val="left"/>
              <w:rPr>
                <w:color w:val="auto"/>
                <w:sz w:val="24"/>
                <w:szCs w:val="24"/>
              </w:rPr>
            </w:pPr>
            <w:r>
              <w:rPr>
                <w:rFonts w:hint="eastAsia"/>
                <w:color w:val="auto"/>
                <w:sz w:val="24"/>
                <w:szCs w:val="24"/>
              </w:rPr>
              <w:t>综上所述，项目不属于国家《产业结构调整指导目录（2011 年本）（修正）》中的限制或淘汰类别，</w:t>
            </w:r>
            <w:r>
              <w:rPr>
                <w:bCs/>
                <w:color w:val="auto"/>
                <w:sz w:val="24"/>
                <w:szCs w:val="24"/>
              </w:rPr>
              <w:t>不在</w:t>
            </w:r>
            <w:r>
              <w:rPr>
                <w:rFonts w:hint="eastAsia" w:cs="Times New Roman"/>
                <w:bCs/>
                <w:color w:val="auto"/>
                <w:sz w:val="24"/>
                <w:szCs w:val="24"/>
                <w:shd w:val="clear" w:color="auto" w:fill="auto"/>
                <w:lang w:val="en-US" w:eastAsia="zh-CN"/>
              </w:rPr>
              <w:t>《市场准入负面清单（2019年版）》发改体改[2019]1685号</w:t>
            </w:r>
            <w:r>
              <w:rPr>
                <w:bCs/>
                <w:color w:val="auto"/>
                <w:sz w:val="24"/>
                <w:szCs w:val="24"/>
              </w:rPr>
              <w:t>类目</w:t>
            </w:r>
            <w:r>
              <w:rPr>
                <w:rFonts w:hint="eastAsia"/>
                <w:bCs/>
                <w:color w:val="auto"/>
                <w:sz w:val="24"/>
                <w:szCs w:val="24"/>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号）、《江门市挥发性有机物（VOCs）整治与减排工作方案（2018~2020年）》、《十三五挥发性有机物污染防治工作方案》相符</w:t>
            </w:r>
            <w:r>
              <w:rPr>
                <w:rFonts w:hint="eastAsia"/>
                <w:b w:val="0"/>
                <w:bCs w:val="0"/>
                <w:color w:val="auto"/>
                <w:sz w:val="24"/>
                <w:szCs w:val="24"/>
                <w:highlight w:val="none"/>
                <w:lang w:eastAsia="zh-CN"/>
              </w:rPr>
              <w:t>，</w:t>
            </w:r>
            <w:r>
              <w:rPr>
                <w:rFonts w:hint="eastAsia"/>
                <w:color w:val="auto"/>
                <w:sz w:val="24"/>
                <w:szCs w:val="24"/>
              </w:rPr>
              <w:t>因此项目符合国家、广东省的产业政策。</w:t>
            </w:r>
          </w:p>
          <w:p>
            <w:pPr>
              <w:pStyle w:val="147"/>
              <w:ind w:firstLine="480"/>
              <w:rPr>
                <w:b/>
                <w:bCs/>
                <w:color w:val="auto"/>
              </w:rPr>
            </w:pPr>
            <w:r>
              <w:rPr>
                <w:rFonts w:hint="eastAsia"/>
                <w:b/>
                <w:bCs/>
                <w:color w:val="auto"/>
              </w:rPr>
              <w:t>2）用地功能相符性</w:t>
            </w:r>
          </w:p>
          <w:p>
            <w:pPr>
              <w:pStyle w:val="147"/>
              <w:ind w:firstLine="480"/>
              <w:rPr>
                <w:color w:val="auto"/>
              </w:rPr>
            </w:pPr>
            <w:r>
              <w:rPr>
                <w:rFonts w:hint="eastAsia"/>
                <w:color w:val="auto"/>
              </w:rPr>
              <w:t>本项目位于</w:t>
            </w:r>
            <w:r>
              <w:rPr>
                <w:rFonts w:hint="eastAsia"/>
                <w:bCs/>
                <w:color w:val="auto"/>
              </w:rPr>
              <w:t>开平市水口镇太和路12号后座之6</w:t>
            </w:r>
            <w:r>
              <w:rPr>
                <w:rFonts w:hint="eastAsia"/>
                <w:color w:val="auto"/>
              </w:rPr>
              <w:t>，根据附件4，属于工业用地，土地功能符合规划要求。</w:t>
            </w:r>
          </w:p>
          <w:p>
            <w:pPr>
              <w:spacing w:line="360" w:lineRule="auto"/>
              <w:ind w:firstLine="482" w:firstLineChars="200"/>
              <w:rPr>
                <w:b/>
                <w:bCs/>
                <w:color w:val="auto"/>
                <w:sz w:val="24"/>
              </w:rPr>
            </w:pPr>
            <w:r>
              <w:rPr>
                <w:b/>
                <w:bCs/>
                <w:color w:val="auto"/>
                <w:sz w:val="24"/>
              </w:rPr>
              <w:t>以上全部资料由建设单位提供，如有变动请建设单位编写该项目环境影响报告并向环境保护行政主管部门申报，经环境保护行政主管部门同意后方可进行建设。</w:t>
            </w: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spacing w:line="360" w:lineRule="auto"/>
              <w:ind w:firstLine="482" w:firstLineChars="200"/>
              <w:rPr>
                <w:b/>
                <w:bCs/>
                <w:color w:val="auto"/>
                <w:sz w:val="24"/>
              </w:rPr>
            </w:pPr>
          </w:p>
          <w:p>
            <w:pPr>
              <w:pStyle w:val="2"/>
              <w:rPr>
                <w:b/>
                <w:bCs/>
                <w:color w:val="auto"/>
                <w:sz w:val="24"/>
              </w:rPr>
            </w:pPr>
          </w:p>
          <w:p>
            <w:pPr>
              <w:pStyle w:val="4"/>
              <w:rPr>
                <w:b/>
                <w:bCs/>
                <w:color w:val="auto"/>
                <w:sz w:val="24"/>
              </w:rPr>
            </w:pPr>
          </w:p>
          <w:p>
            <w:pPr>
              <w:pStyle w:val="5"/>
              <w:rPr>
                <w:b/>
                <w:bCs/>
                <w:color w:val="auto"/>
                <w:sz w:val="24"/>
              </w:rPr>
            </w:pPr>
          </w:p>
          <w:p>
            <w:pPr>
              <w:pStyle w:val="6"/>
              <w:rPr>
                <w:b/>
                <w:bCs/>
                <w:color w:val="auto"/>
                <w:sz w:val="24"/>
              </w:rPr>
            </w:pPr>
          </w:p>
          <w:p>
            <w:pPr>
              <w:pStyle w:val="7"/>
              <w:rPr>
                <w:color w:val="auto"/>
              </w:rPr>
            </w:pPr>
          </w:p>
          <w:p>
            <w:pPr>
              <w:spacing w:line="360" w:lineRule="auto"/>
              <w:ind w:firstLine="482" w:firstLineChars="200"/>
              <w:rPr>
                <w:b/>
                <w:bCs/>
                <w:color w:val="auto"/>
                <w:sz w:val="24"/>
              </w:rPr>
            </w:pPr>
          </w:p>
          <w:p>
            <w:pPr>
              <w:spacing w:line="360" w:lineRule="auto"/>
              <w:ind w:firstLine="482" w:firstLineChars="200"/>
              <w:rPr>
                <w:b/>
                <w:bCs/>
                <w:color w:val="auto"/>
                <w:sz w:val="24"/>
              </w:rPr>
            </w:pPr>
          </w:p>
        </w:tc>
      </w:tr>
    </w:tbl>
    <w:p>
      <w:pPr>
        <w:spacing w:line="360" w:lineRule="auto"/>
        <w:rPr>
          <w:b/>
          <w:bCs/>
          <w:color w:val="auto"/>
          <w:sz w:val="28"/>
          <w:szCs w:val="28"/>
        </w:rPr>
        <w:sectPr>
          <w:footerReference r:id="rId9" w:type="default"/>
          <w:pgSz w:w="11907" w:h="16840"/>
          <w:pgMar w:top="1531" w:right="1134" w:bottom="1134" w:left="1418" w:header="0" w:footer="1078" w:gutter="0"/>
          <w:pgNumType w:start="1"/>
          <w:cols w:space="720" w:num="1"/>
          <w:docGrid w:linePitch="326" w:charSpace="-4916"/>
        </w:sectPr>
      </w:pPr>
    </w:p>
    <w:tbl>
      <w:tblPr>
        <w:tblStyle w:val="44"/>
        <w:tblW w:w="100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1" w:hRule="atLeast"/>
          <w:jc w:val="center"/>
        </w:trPr>
        <w:tc>
          <w:tcPr>
            <w:tcW w:w="10032" w:type="dxa"/>
            <w:tcBorders>
              <w:bottom w:val="single" w:color="auto" w:sz="4" w:space="0"/>
            </w:tcBorders>
            <w:vAlign w:val="center"/>
          </w:tcPr>
          <w:p>
            <w:pPr>
              <w:spacing w:line="360" w:lineRule="auto"/>
              <w:rPr>
                <w:b/>
                <w:bCs/>
                <w:color w:val="auto"/>
                <w:sz w:val="28"/>
                <w:szCs w:val="28"/>
              </w:rPr>
            </w:pPr>
            <w:r>
              <w:rPr>
                <w:rFonts w:hint="eastAsia"/>
                <w:b/>
                <w:bCs/>
                <w:color w:val="auto"/>
                <w:sz w:val="28"/>
                <w:szCs w:val="28"/>
              </w:rPr>
              <w:t>与项目有关的原有污染情况及主要环境问题：</w:t>
            </w:r>
          </w:p>
          <w:p>
            <w:pPr>
              <w:spacing w:line="360" w:lineRule="auto"/>
              <w:ind w:firstLine="480" w:firstLineChars="200"/>
              <w:rPr>
                <w:bCs/>
                <w:color w:val="auto"/>
                <w:sz w:val="24"/>
              </w:rPr>
            </w:pPr>
            <w:r>
              <w:rPr>
                <w:rFonts w:hint="eastAsia"/>
                <w:bCs/>
                <w:color w:val="auto"/>
                <w:sz w:val="24"/>
              </w:rPr>
              <w:t>项目为新建项目，故不存在原有污染情况。</w:t>
            </w:r>
          </w:p>
          <w:p>
            <w:pPr>
              <w:spacing w:line="360" w:lineRule="auto"/>
              <w:ind w:firstLine="480" w:firstLineChars="200"/>
              <w:rPr>
                <w:color w:val="auto"/>
                <w:sz w:val="24"/>
              </w:rPr>
            </w:pPr>
            <w:r>
              <w:rPr>
                <w:rFonts w:hint="eastAsia"/>
                <w:bCs/>
                <w:color w:val="auto"/>
                <w:sz w:val="24"/>
              </w:rPr>
              <w:t>项目位于开平市水口镇太和路12号后座之6。</w:t>
            </w:r>
            <w:r>
              <w:rPr>
                <w:rFonts w:hint="eastAsia" w:hAnsi="宋体"/>
                <w:bCs/>
                <w:color w:val="auto"/>
                <w:sz w:val="24"/>
              </w:rPr>
              <w:t>根据现场勘查，项目所在厂区东南面为福斯特卫浴厂，西南面为信越橡胶厂，西北面为商铺，东北面为星洋塑料厂。</w:t>
            </w:r>
            <w:r>
              <w:rPr>
                <w:rFonts w:hint="eastAsia"/>
                <w:color w:val="auto"/>
                <w:sz w:val="24"/>
              </w:rPr>
              <w:t>项目四至图见附图2。</w:t>
            </w:r>
          </w:p>
          <w:p>
            <w:pPr>
              <w:pStyle w:val="15"/>
              <w:spacing w:before="0" w:after="0" w:line="360" w:lineRule="auto"/>
              <w:ind w:firstLine="470" w:firstLineChars="196"/>
              <w:rPr>
                <w:rFonts w:hint="eastAsia" w:ascii="Times New Roman" w:hAnsi="Times New Roman" w:eastAsia="宋体"/>
                <w:color w:val="auto"/>
                <w:szCs w:val="24"/>
                <w:lang w:eastAsia="zh-CN"/>
              </w:rPr>
            </w:pPr>
            <w:r>
              <w:rPr>
                <w:rFonts w:ascii="Times New Roman" w:hAnsi="Times New Roman" w:eastAsiaTheme="minorEastAsia"/>
                <w:b w:val="0"/>
                <w:bCs/>
                <w:color w:val="auto"/>
                <w:szCs w:val="24"/>
              </w:rPr>
              <w:t>本项目所在区域为环境空气质量不达标区域；SO</w:t>
            </w:r>
            <w:r>
              <w:rPr>
                <w:rFonts w:ascii="Times New Roman" w:hAnsi="Times New Roman" w:eastAsiaTheme="minorEastAsia"/>
                <w:b w:val="0"/>
                <w:bCs/>
                <w:color w:val="auto"/>
                <w:szCs w:val="24"/>
                <w:vertAlign w:val="subscript"/>
              </w:rPr>
              <w:t>2</w:t>
            </w:r>
            <w:r>
              <w:rPr>
                <w:rFonts w:ascii="Times New Roman" w:hAnsi="Times New Roman" w:eastAsiaTheme="minorEastAsia"/>
                <w:b w:val="0"/>
                <w:bCs/>
                <w:color w:val="auto"/>
                <w:szCs w:val="24"/>
              </w:rPr>
              <w:t>、NO</w:t>
            </w:r>
            <w:r>
              <w:rPr>
                <w:rFonts w:ascii="Times New Roman" w:hAnsi="Times New Roman" w:eastAsiaTheme="minorEastAsia"/>
                <w:b w:val="0"/>
                <w:bCs/>
                <w:color w:val="auto"/>
                <w:szCs w:val="24"/>
                <w:vertAlign w:val="subscript"/>
              </w:rPr>
              <w:t>2</w:t>
            </w:r>
            <w:r>
              <w:rPr>
                <w:rFonts w:ascii="Times New Roman" w:hAnsi="Times New Roman" w:eastAsiaTheme="minorEastAsia"/>
                <w:b w:val="0"/>
                <w:bCs/>
                <w:color w:val="auto"/>
                <w:szCs w:val="24"/>
              </w:rPr>
              <w:t>、PM</w:t>
            </w:r>
            <w:r>
              <w:rPr>
                <w:rFonts w:ascii="Times New Roman" w:hAnsi="Times New Roman" w:eastAsiaTheme="minorEastAsia"/>
                <w:b w:val="0"/>
                <w:bCs/>
                <w:color w:val="auto"/>
                <w:szCs w:val="24"/>
                <w:vertAlign w:val="subscript"/>
              </w:rPr>
              <w:t>10</w:t>
            </w:r>
            <w:r>
              <w:rPr>
                <w:rFonts w:ascii="Times New Roman" w:hAnsi="Times New Roman" w:eastAsiaTheme="minorEastAsia"/>
                <w:b w:val="0"/>
                <w:bCs/>
                <w:color w:val="auto"/>
                <w:szCs w:val="24"/>
              </w:rPr>
              <w:t>、PM</w:t>
            </w:r>
            <w:r>
              <w:rPr>
                <w:rFonts w:ascii="Times New Roman" w:hAnsi="Times New Roman" w:eastAsiaTheme="minorEastAsia"/>
                <w:b w:val="0"/>
                <w:bCs/>
                <w:color w:val="auto"/>
                <w:szCs w:val="24"/>
                <w:vertAlign w:val="subscript"/>
              </w:rPr>
              <w:t>2.5</w:t>
            </w:r>
            <w:r>
              <w:rPr>
                <w:rFonts w:ascii="Times New Roman" w:hAnsi="Times New Roman" w:eastAsiaTheme="minorEastAsia"/>
                <w:b w:val="0"/>
                <w:bCs/>
                <w:color w:val="auto"/>
                <w:szCs w:val="24"/>
              </w:rPr>
              <w:t>年平均质量浓度以及CO日均值第95百分位数浓度均满足《环境空气质量标准》（GB3095-2012）及”2018修改单”二级标准要求，O</w:t>
            </w:r>
            <w:r>
              <w:rPr>
                <w:rFonts w:ascii="Times New Roman" w:hAnsi="Times New Roman" w:eastAsiaTheme="minorEastAsia"/>
                <w:b w:val="0"/>
                <w:bCs/>
                <w:color w:val="auto"/>
                <w:szCs w:val="24"/>
                <w:vertAlign w:val="subscript"/>
              </w:rPr>
              <w:t>3</w:t>
            </w:r>
            <w:r>
              <w:rPr>
                <w:rFonts w:ascii="Times New Roman" w:hAnsi="Times New Roman" w:eastAsiaTheme="minorEastAsia"/>
                <w:b w:val="0"/>
                <w:bCs/>
                <w:color w:val="auto"/>
                <w:szCs w:val="24"/>
              </w:rPr>
              <w:t>日最大8小时平均第90百分位数不能满足《环境空气质量标准》（GB3095-2012）及”2018修改单”二级标准要求</w:t>
            </w:r>
            <w:r>
              <w:rPr>
                <w:rFonts w:hint="eastAsia" w:ascii="Times New Roman" w:hAnsi="Times New Roman" w:eastAsiaTheme="minorEastAsia"/>
                <w:b w:val="0"/>
                <w:bCs/>
                <w:color w:val="auto"/>
                <w:szCs w:val="24"/>
              </w:rPr>
              <w:t>；非甲烷总烃满足《大气污染物综合排放标准详解》中解释标准。说明项目所在地环境质量现状一般</w:t>
            </w:r>
            <w:r>
              <w:rPr>
                <w:rFonts w:hint="eastAsia" w:ascii="Times New Roman" w:hAnsi="Times New Roman" w:eastAsiaTheme="minorEastAsia"/>
                <w:b w:val="0"/>
                <w:bCs/>
                <w:color w:val="auto"/>
                <w:szCs w:val="24"/>
                <w:lang w:eastAsia="zh-CN"/>
              </w:rPr>
              <w:t>；</w:t>
            </w:r>
            <w:r>
              <w:rPr>
                <w:rFonts w:ascii="Times New Roman" w:hAnsi="Times New Roman" w:eastAsia="宋体"/>
                <w:b w:val="0"/>
                <w:bCs/>
                <w:color w:val="auto"/>
                <w:szCs w:val="24"/>
              </w:rPr>
              <w:t>潭江BOD</w:t>
            </w:r>
            <w:r>
              <w:rPr>
                <w:rFonts w:ascii="Times New Roman" w:hAnsi="Times New Roman" w:eastAsia="宋体"/>
                <w:b w:val="0"/>
                <w:bCs/>
                <w:color w:val="auto"/>
                <w:szCs w:val="24"/>
                <w:vertAlign w:val="subscript"/>
              </w:rPr>
              <w:t>5</w:t>
            </w:r>
            <w:r>
              <w:rPr>
                <w:rFonts w:ascii="Times New Roman" w:hAnsi="Times New Roman" w:eastAsia="宋体"/>
                <w:b w:val="0"/>
                <w:bCs/>
                <w:color w:val="auto"/>
                <w:szCs w:val="24"/>
              </w:rPr>
              <w:t>监测指标均超出《地表水环境质量标准》（GB3838-2002）Ⅱ类标准限值要求，说明水环境质量现状一般</w:t>
            </w:r>
            <w:r>
              <w:rPr>
                <w:rFonts w:hint="eastAsia" w:ascii="Times New Roman" w:hAnsi="Times New Roman" w:eastAsia="宋体"/>
                <w:b w:val="0"/>
                <w:bCs/>
                <w:color w:val="auto"/>
                <w:szCs w:val="24"/>
                <w:lang w:eastAsia="zh-CN"/>
              </w:rPr>
              <w:t>；项目所在地各监测点噪声值均达到《声环境质量标准》(GB3096—2008)2类和4a类标准，说明项目所在地声环境质量较好。</w:t>
            </w:r>
          </w:p>
          <w:p>
            <w:pPr>
              <w:pStyle w:val="132"/>
              <w:rPr>
                <w:color w:val="auto"/>
                <w:szCs w:val="21"/>
              </w:rPr>
            </w:pPr>
          </w:p>
          <w:p>
            <w:pPr>
              <w:pStyle w:val="132"/>
              <w:jc w:val="both"/>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p>
            <w:pPr>
              <w:pStyle w:val="132"/>
              <w:rPr>
                <w:color w:val="auto"/>
                <w:szCs w:val="21"/>
              </w:rPr>
            </w:pPr>
          </w:p>
        </w:tc>
      </w:tr>
    </w:tbl>
    <w:p>
      <w:pPr>
        <w:spacing w:line="480" w:lineRule="auto"/>
        <w:rPr>
          <w:color w:val="auto"/>
          <w:sz w:val="28"/>
        </w:rPr>
        <w:sectPr>
          <w:pgSz w:w="11907" w:h="16840"/>
          <w:pgMar w:top="1531" w:right="1134" w:bottom="1134" w:left="1418" w:header="0" w:footer="1078" w:gutter="0"/>
          <w:cols w:space="720" w:num="1"/>
          <w:docGrid w:linePitch="326" w:charSpace="-4916"/>
        </w:sectPr>
      </w:pPr>
    </w:p>
    <w:p>
      <w:pPr>
        <w:pStyle w:val="42"/>
        <w:jc w:val="left"/>
        <w:rPr>
          <w:rFonts w:ascii="Times New Roman" w:hAnsi="Times New Roman"/>
          <w:color w:val="auto"/>
        </w:rPr>
      </w:pPr>
      <w:r>
        <w:rPr>
          <w:rFonts w:ascii="Times New Roman" w:hAnsi="Times New Roman"/>
          <w:color w:val="auto"/>
        </w:rPr>
        <w:t>建设项目所在地自然环境简况</w:t>
      </w:r>
    </w:p>
    <w:tbl>
      <w:tblPr>
        <w:tblStyle w:val="45"/>
        <w:tblW w:w="9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1" w:type="dxa"/>
          </w:tcPr>
          <w:p>
            <w:pPr>
              <w:spacing w:before="120"/>
              <w:rPr>
                <w:rFonts w:ascii="宋体" w:hAnsi="宋体"/>
                <w:b/>
                <w:bCs/>
                <w:color w:val="auto"/>
                <w:sz w:val="28"/>
              </w:rPr>
            </w:pPr>
            <w:r>
              <w:rPr>
                <w:rFonts w:hint="eastAsia" w:ascii="宋体" w:hAnsi="宋体"/>
                <w:b/>
                <w:bCs/>
                <w:color w:val="auto"/>
                <w:sz w:val="28"/>
              </w:rPr>
              <w:t>自然环境简况（地理位置、地质地貌、气象气候、河流水文特征、植被、水生生物等）：</w:t>
            </w:r>
          </w:p>
          <w:p>
            <w:pPr>
              <w:spacing w:line="360" w:lineRule="auto"/>
              <w:ind w:left="50" w:firstLine="480" w:firstLineChars="200"/>
              <w:rPr>
                <w:color w:val="auto"/>
                <w:sz w:val="24"/>
              </w:rPr>
            </w:pPr>
            <w:r>
              <w:rPr>
                <w:color w:val="auto"/>
                <w:sz w:val="24"/>
              </w:rPr>
              <w:t>开平市位于广东省中南部，东经 112°13′至 112°48′，北纬 21°56′至 22°39′；东北连新会，正北靠鹤山，东南近台山，西南接恩平，西北邻新兴。濒临南海，靠近港澳，东北距江门市区 46 km，距广州 110km，北扼鹤山之冲，西接恩平之咽，东南有新会为藩篱，西南以台山为屏障。位于江门五邑中心，地理位置优越。全市总面积 1659 平方公里。1649年建县，1993 年 1 月 5 日撤县设市，1995 年被国家定为二类市。现辖 13 个镇和三埠、长沙 2 个办事处。</w:t>
            </w:r>
          </w:p>
          <w:p>
            <w:pPr>
              <w:spacing w:line="360" w:lineRule="auto"/>
              <w:ind w:left="50" w:firstLine="482" w:firstLineChars="200"/>
              <w:rPr>
                <w:b/>
                <w:bCs/>
                <w:color w:val="auto"/>
                <w:sz w:val="24"/>
              </w:rPr>
            </w:pPr>
            <w:r>
              <w:rPr>
                <w:b/>
                <w:bCs/>
                <w:color w:val="auto"/>
                <w:sz w:val="24"/>
              </w:rPr>
              <w:t>1、地形地貌</w:t>
            </w:r>
          </w:p>
          <w:p>
            <w:pPr>
              <w:spacing w:line="360" w:lineRule="auto"/>
              <w:ind w:left="50" w:firstLine="480" w:firstLineChars="200"/>
              <w:rPr>
                <w:color w:val="auto"/>
                <w:sz w:val="24"/>
              </w:rPr>
            </w:pPr>
            <w:r>
              <w:rPr>
                <w:color w:val="auto"/>
                <w:sz w:val="24"/>
              </w:rPr>
              <w:t>开平市地势自南、北两面向潭江河谷倾斜，东、中部地势低。南部、北部多低山丘陵， 西北部的天露山海拔 1250 米，是江门五邑最高峰；东部、中部多丘陵平原，大部分在海拔 50 米以下，海拔较的有梁金山（456 米）、百立山（394 米）。主要山脉有天露山、梁金山、百立山、罗汉山等。主要矿藏有煤、铁、钨、铜、石英石等。地势自南北两面向潭江河各地带倾斜，海拔 50 米以下的平原面积占全市面积的 69%，丘陵面积占 29%，山地面积占 2%。</w:t>
            </w:r>
          </w:p>
          <w:p>
            <w:pPr>
              <w:spacing w:line="360" w:lineRule="auto"/>
              <w:ind w:left="50" w:firstLine="480" w:firstLineChars="200"/>
              <w:rPr>
                <w:color w:val="auto"/>
                <w:sz w:val="24"/>
              </w:rPr>
            </w:pPr>
            <w:r>
              <w:rPr>
                <w:color w:val="auto"/>
                <w:sz w:val="24"/>
              </w:rPr>
              <w:t>开平市的地质大部分为花岗岩和沙页岩结构。有两条断裂带横贯域内。一条是海陵断裂带，南起阳江市南部沿海，经恩平市大槐、恩城、沙湖进入域内马冈、苍城、大罗村， 再过鹤山、花县、河源、和平至江西龙南县；另一条是金鸡至鹤城断裂带（属活性断裂带），南起台山市挪扶，经域内金鸡墟、瓦片坑、蚬冈、赤坎、交流渡、梁金山、月山至鹤城。两条断裂带把市域划分为南、北、中三块。</w:t>
            </w:r>
          </w:p>
          <w:p>
            <w:pPr>
              <w:spacing w:line="360" w:lineRule="auto"/>
              <w:ind w:left="50" w:firstLine="482" w:firstLineChars="200"/>
              <w:rPr>
                <w:rStyle w:val="50"/>
                <w:color w:val="auto"/>
              </w:rPr>
            </w:pPr>
            <w:r>
              <w:rPr>
                <w:b/>
                <w:bCs/>
                <w:color w:val="auto"/>
                <w:sz w:val="24"/>
              </w:rPr>
              <w:t>2、气候气象</w:t>
            </w:r>
          </w:p>
          <w:p>
            <w:pPr>
              <w:widowControl w:val="0"/>
              <w:autoSpaceDE w:val="0"/>
              <w:autoSpaceDN w:val="0"/>
              <w:adjustRightInd w:val="0"/>
              <w:snapToGrid w:val="0"/>
              <w:spacing w:line="360" w:lineRule="auto"/>
              <w:ind w:left="0" w:right="0" w:firstLine="556"/>
              <w:jc w:val="both"/>
              <w:rPr>
                <w:rFonts w:ascii="Times New Roman" w:hAnsi="Times New Roman" w:eastAsia="宋体" w:cs="Times New Roman"/>
                <w:color w:val="auto"/>
                <w:spacing w:val="0"/>
                <w:kern w:val="0"/>
                <w:position w:val="0"/>
                <w:sz w:val="24"/>
                <w:szCs w:val="24"/>
                <w:lang w:val="en-US" w:eastAsia="zh-CN" w:bidi="ar-SA"/>
              </w:rPr>
            </w:pPr>
            <w:r>
              <w:rPr>
                <w:rFonts w:hint="eastAsia" w:ascii="Times New Roman" w:hAnsi="宋体" w:eastAsia="楷体_GB2312" w:cs="Times New Roman"/>
                <w:b/>
                <w:color w:val="auto"/>
                <w:spacing w:val="2"/>
                <w:kern w:val="2"/>
                <w:position w:val="-40"/>
                <w:sz w:val="24"/>
                <w:szCs w:val="20"/>
                <w:lang w:val="en-US" w:eastAsia="zh-CN" w:bidi="ar-SA"/>
              </w:rPr>
              <w:t xml:space="preserve"> </w:t>
            </w:r>
            <w:r>
              <w:rPr>
                <w:rFonts w:ascii="Times New Roman" w:hAnsi="Times New Roman" w:eastAsia="宋体" w:cs="Times New Roman"/>
                <w:color w:val="auto"/>
                <w:spacing w:val="0"/>
                <w:kern w:val="0"/>
                <w:position w:val="0"/>
                <w:sz w:val="24"/>
                <w:szCs w:val="24"/>
                <w:lang w:val="en-US" w:eastAsia="zh-CN" w:bidi="ar-SA"/>
              </w:rPr>
              <w:t>开平市地处北回归线以南，属南亚热带海洋性季风气候，濒临南海，有海洋风调节，常年气候温和湿润，日照充分，雨量充沛。全年主导风向为东北风，其中6～8月份以偏南风为主。全年80%以上的降水出现在4～9月，7～9月是台风活动的频发期。根据开平市最近20年的气象观测资料统计，其主要气象特征见下表。</w:t>
            </w:r>
          </w:p>
          <w:p>
            <w:pPr>
              <w:pStyle w:val="138"/>
              <w:numPr>
                <w:ilvl w:val="0"/>
                <w:numId w:val="5"/>
              </w:numPr>
              <w:tabs>
                <w:tab w:val="left" w:pos="420"/>
              </w:tabs>
              <w:spacing w:line="360" w:lineRule="auto"/>
              <w:ind w:left="0" w:firstLine="471"/>
              <w:rPr>
                <w:rFonts w:eastAsia="宋体" w:cs="Times New Roman"/>
                <w:b/>
                <w:color w:val="auto"/>
                <w:sz w:val="21"/>
                <w:szCs w:val="21"/>
                <w:shd w:val="clear" w:color="auto" w:fill="auto"/>
              </w:rPr>
            </w:pPr>
            <w:r>
              <w:rPr>
                <w:rFonts w:eastAsia="宋体" w:cs="Times New Roman"/>
                <w:b/>
                <w:color w:val="auto"/>
                <w:sz w:val="21"/>
                <w:szCs w:val="21"/>
                <w:shd w:val="clear" w:color="auto" w:fill="auto"/>
              </w:rPr>
              <w:t>开平市气象站近20年主要气候资料统计值（199</w:t>
            </w:r>
            <w:r>
              <w:rPr>
                <w:rFonts w:hint="eastAsia" w:eastAsia="宋体" w:cs="Times New Roman"/>
                <w:b/>
                <w:color w:val="auto"/>
                <w:sz w:val="21"/>
                <w:szCs w:val="21"/>
                <w:shd w:val="clear" w:color="auto" w:fill="auto"/>
              </w:rPr>
              <w:t>8</w:t>
            </w:r>
            <w:r>
              <w:rPr>
                <w:rFonts w:eastAsia="宋体" w:cs="Times New Roman"/>
                <w:b/>
                <w:color w:val="auto"/>
                <w:sz w:val="21"/>
                <w:szCs w:val="21"/>
                <w:shd w:val="clear" w:color="auto" w:fill="auto"/>
              </w:rPr>
              <w:t>-201</w:t>
            </w:r>
            <w:r>
              <w:rPr>
                <w:rFonts w:hint="eastAsia" w:eastAsia="宋体" w:cs="Times New Roman"/>
                <w:b/>
                <w:color w:val="auto"/>
                <w:sz w:val="21"/>
                <w:szCs w:val="21"/>
                <w:shd w:val="clear" w:color="auto" w:fill="auto"/>
              </w:rPr>
              <w:t>8</w:t>
            </w:r>
            <w:r>
              <w:rPr>
                <w:rFonts w:eastAsia="宋体" w:cs="Times New Roman"/>
                <w:b/>
                <w:color w:val="auto"/>
                <w:sz w:val="21"/>
                <w:szCs w:val="21"/>
                <w:shd w:val="clear" w:color="auto" w:fill="auto"/>
              </w:rPr>
              <w:t>）</w:t>
            </w:r>
          </w:p>
          <w:tbl>
            <w:tblPr>
              <w:tblStyle w:val="44"/>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3"/>
              <w:gridCol w:w="4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jc w:val="center"/>
                    <w:rPr>
                      <w:rFonts w:ascii="Times New Roman" w:hAnsi="Times New Roman" w:eastAsia="宋体" w:cs="Times New Roman"/>
                      <w:b/>
                      <w:color w:val="auto"/>
                    </w:rPr>
                  </w:pPr>
                  <w:r>
                    <w:rPr>
                      <w:rFonts w:ascii="Times New Roman" w:hAnsi="Times New Roman" w:eastAsia="宋体" w:cs="Times New Roman"/>
                      <w:b/>
                      <w:color w:val="auto"/>
                    </w:rPr>
                    <w:t>项目</w:t>
                  </w:r>
                </w:p>
              </w:tc>
              <w:tc>
                <w:tcPr>
                  <w:tcW w:w="4787" w:type="dxa"/>
                  <w:noWrap w:val="0"/>
                  <w:vAlign w:val="center"/>
                </w:tcPr>
                <w:p>
                  <w:pPr>
                    <w:jc w:val="center"/>
                    <w:rPr>
                      <w:rFonts w:ascii="Times New Roman" w:hAnsi="Times New Roman" w:eastAsia="宋体" w:cs="Times New Roman"/>
                      <w:b/>
                      <w:color w:val="auto"/>
                    </w:rPr>
                  </w:pPr>
                  <w:r>
                    <w:rPr>
                      <w:rFonts w:ascii="Times New Roman" w:hAnsi="Times New Roman" w:eastAsia="宋体" w:cs="Times New Roman"/>
                      <w:b/>
                      <w:color w:val="auto"/>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年平均风速(m/s)</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1.9</w:t>
                  </w:r>
                  <w:r>
                    <w:rPr>
                      <w:rFonts w:hint="eastAsia" w:ascii="Times New Roman" w:hAnsi="Times New Roman" w:eastAsia="宋体" w:cs="Times New Roman"/>
                      <w:snapToGrid w:val="0"/>
                      <w:color w:val="auto"/>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最大风速(m/s)及出现的时间</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42.1</w:t>
                  </w:r>
                  <w:r>
                    <w:rPr>
                      <w:rFonts w:ascii="Times New Roman" w:hAnsi="Times New Roman" w:eastAsia="宋体" w:cs="Times New Roman"/>
                      <w:snapToGrid w:val="0"/>
                      <w:color w:val="auto"/>
                      <w:szCs w:val="21"/>
                    </w:rPr>
                    <w:t>，NE</w:t>
                  </w:r>
                </w:p>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出现时间：201</w:t>
                  </w:r>
                  <w:r>
                    <w:rPr>
                      <w:rFonts w:hint="eastAsia" w:ascii="Times New Roman" w:hAnsi="Times New Roman" w:eastAsia="宋体" w:cs="Times New Roman"/>
                      <w:snapToGrid w:val="0"/>
                      <w:color w:val="auto"/>
                      <w:szCs w:val="21"/>
                    </w:rPr>
                    <w:t>8</w:t>
                  </w:r>
                  <w:r>
                    <w:rPr>
                      <w:rFonts w:ascii="Times New Roman" w:hAnsi="Times New Roman" w:eastAsia="宋体" w:cs="Times New Roman"/>
                      <w:snapToGrid w:val="0"/>
                      <w:color w:val="auto"/>
                      <w:szCs w:val="21"/>
                    </w:rPr>
                    <w:t>年</w:t>
                  </w:r>
                  <w:r>
                    <w:rPr>
                      <w:rFonts w:hint="eastAsia" w:ascii="Times New Roman" w:hAnsi="Times New Roman" w:eastAsia="宋体" w:cs="Times New Roman"/>
                      <w:snapToGrid w:val="0"/>
                      <w:color w:val="auto"/>
                      <w:szCs w:val="21"/>
                    </w:rPr>
                    <w:t>9</w:t>
                  </w:r>
                  <w:r>
                    <w:rPr>
                      <w:rFonts w:ascii="Times New Roman" w:hAnsi="Times New Roman" w:eastAsia="宋体" w:cs="Times New Roman"/>
                      <w:snapToGrid w:val="0"/>
                      <w:color w:val="auto"/>
                      <w:szCs w:val="21"/>
                    </w:rPr>
                    <w:t>月</w:t>
                  </w:r>
                  <w:r>
                    <w:rPr>
                      <w:rFonts w:hint="eastAsia" w:ascii="Times New Roman" w:hAnsi="Times New Roman" w:eastAsia="宋体" w:cs="Times New Roman"/>
                      <w:snapToGrid w:val="0"/>
                      <w:color w:val="auto"/>
                      <w:szCs w:val="21"/>
                    </w:rPr>
                    <w:t>16</w:t>
                  </w:r>
                  <w:r>
                    <w:rPr>
                      <w:rFonts w:ascii="Times New Roman" w:hAnsi="Times New Roman" w:eastAsia="宋体" w:cs="Times New Roman"/>
                      <w:snapToGrid w:val="0"/>
                      <w:color w:val="auto"/>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年平均气温（</w:t>
                  </w:r>
                  <w:r>
                    <w:rPr>
                      <w:rFonts w:hint="eastAsia" w:ascii="Times New Roman" w:hAnsi="Times New Roman" w:eastAsia="宋体" w:cs="Times New Roman"/>
                      <w:snapToGrid w:val="0"/>
                      <w:color w:val="auto"/>
                      <w:szCs w:val="21"/>
                    </w:rPr>
                    <w:t>℃</w:t>
                  </w:r>
                  <w:r>
                    <w:rPr>
                      <w:rFonts w:ascii="Times New Roman" w:hAnsi="Times New Roman" w:eastAsia="宋体" w:cs="Times New Roman"/>
                      <w:snapToGrid w:val="0"/>
                      <w:color w:val="auto"/>
                      <w:szCs w:val="21"/>
                    </w:rPr>
                    <w:t>）</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2</w:t>
                  </w:r>
                  <w:r>
                    <w:rPr>
                      <w:rFonts w:hint="eastAsia" w:ascii="Times New Roman" w:hAnsi="Times New Roman" w:eastAsia="宋体" w:cs="Times New Roman"/>
                      <w:snapToGrid w:val="0"/>
                      <w:color w:val="auto"/>
                      <w:szCs w:val="21"/>
                    </w:rPr>
                    <w:t>2</w:t>
                  </w:r>
                  <w:r>
                    <w:rPr>
                      <w:rFonts w:ascii="Times New Roman" w:hAnsi="Times New Roman" w:eastAsia="宋体" w:cs="Times New Roman"/>
                      <w:snapToGrid w:val="0"/>
                      <w:color w:val="auto"/>
                      <w:szCs w:val="21"/>
                    </w:rPr>
                    <w:t>.</w:t>
                  </w:r>
                  <w:r>
                    <w:rPr>
                      <w:rFonts w:hint="eastAsia" w:ascii="Times New Roman" w:hAnsi="Times New Roman" w:eastAsia="宋体" w:cs="Times New Roman"/>
                      <w:snapToGrid w:val="0"/>
                      <w:color w:val="auto"/>
                      <w:szCs w:val="21"/>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极端最高气温（</w:t>
                  </w:r>
                  <w:r>
                    <w:rPr>
                      <w:rFonts w:hint="eastAsia" w:ascii="Times New Roman" w:hAnsi="Times New Roman" w:eastAsia="宋体" w:cs="Times New Roman"/>
                      <w:snapToGrid w:val="0"/>
                      <w:color w:val="auto"/>
                      <w:szCs w:val="21"/>
                    </w:rPr>
                    <w:t>℃</w:t>
                  </w:r>
                  <w:r>
                    <w:rPr>
                      <w:rFonts w:ascii="Times New Roman" w:hAnsi="Times New Roman" w:eastAsia="宋体" w:cs="Times New Roman"/>
                      <w:snapToGrid w:val="0"/>
                      <w:color w:val="auto"/>
                      <w:szCs w:val="21"/>
                    </w:rPr>
                    <w:t>）及出现的时间</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39.4</w:t>
                  </w:r>
                </w:p>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出现时间：2004年7月1日、2005年7月19日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极端最低气温（</w:t>
                  </w:r>
                  <w:r>
                    <w:rPr>
                      <w:rFonts w:hint="eastAsia" w:ascii="Times New Roman" w:hAnsi="Times New Roman" w:eastAsia="宋体" w:cs="Times New Roman"/>
                      <w:snapToGrid w:val="0"/>
                      <w:color w:val="auto"/>
                      <w:szCs w:val="21"/>
                    </w:rPr>
                    <w:t>℃</w:t>
                  </w:r>
                  <w:r>
                    <w:rPr>
                      <w:rFonts w:ascii="Times New Roman" w:hAnsi="Times New Roman" w:eastAsia="宋体" w:cs="Times New Roman"/>
                      <w:snapToGrid w:val="0"/>
                      <w:color w:val="auto"/>
                      <w:szCs w:val="21"/>
                    </w:rPr>
                    <w:t>）及出现的时间</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1.5</w:t>
                  </w:r>
                </w:p>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出现时间：2010年12月17日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年平均相对湿度（%）</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77</w:t>
                  </w:r>
                  <w:r>
                    <w:rPr>
                      <w:rFonts w:hint="eastAsia" w:ascii="Times New Roman" w:hAnsi="Times New Roman" w:eastAsia="宋体" w:cs="Times New Roman"/>
                      <w:snapToGrid w:val="0"/>
                      <w:color w:val="auto"/>
                      <w:szCs w:val="21"/>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年均降水量（mm）</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1945.35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多年平均最大日降水量</w:t>
                  </w:r>
                  <w:r>
                    <w:rPr>
                      <w:rFonts w:ascii="Times New Roman" w:hAnsi="Times New Roman" w:eastAsia="宋体" w:cs="Times New Roman"/>
                      <w:snapToGrid w:val="0"/>
                      <w:color w:val="auto"/>
                      <w:szCs w:val="21"/>
                    </w:rPr>
                    <w:t>及出现的时间</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最大值：</w:t>
                  </w:r>
                  <w:r>
                    <w:rPr>
                      <w:rFonts w:hint="eastAsia" w:ascii="Times New Roman" w:hAnsi="Times New Roman" w:eastAsia="宋体" w:cs="Times New Roman"/>
                      <w:snapToGrid w:val="0"/>
                      <w:color w:val="auto"/>
                      <w:szCs w:val="21"/>
                    </w:rPr>
                    <w:t>287</w:t>
                  </w:r>
                  <w:r>
                    <w:rPr>
                      <w:rFonts w:ascii="Times New Roman" w:hAnsi="Times New Roman" w:eastAsia="宋体" w:cs="Times New Roman"/>
                      <w:snapToGrid w:val="0"/>
                      <w:color w:val="auto"/>
                      <w:szCs w:val="21"/>
                    </w:rPr>
                    <w:t>mm  出现时间：</w:t>
                  </w:r>
                  <w:r>
                    <w:rPr>
                      <w:rFonts w:hint="eastAsia" w:ascii="Times New Roman" w:hAnsi="Times New Roman" w:eastAsia="宋体" w:cs="Times New Roman"/>
                      <w:snapToGrid w:val="0"/>
                      <w:color w:val="auto"/>
                      <w:szCs w:val="21"/>
                    </w:rPr>
                    <w:t>1999</w:t>
                  </w:r>
                  <w:r>
                    <w:rPr>
                      <w:rFonts w:ascii="Times New Roman" w:hAnsi="Times New Roman" w:eastAsia="宋体" w:cs="Times New Roman"/>
                      <w:snapToGrid w:val="0"/>
                      <w:color w:val="auto"/>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年平均降水日数（d）</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151.37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年平均日照时数（h）</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1696.7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spacing w:line="360" w:lineRule="auto"/>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近五年（2</w:t>
                  </w:r>
                  <w:r>
                    <w:rPr>
                      <w:rFonts w:ascii="Times New Roman" w:hAnsi="Times New Roman" w:eastAsia="宋体" w:cs="Times New Roman"/>
                      <w:snapToGrid w:val="0"/>
                      <w:color w:val="auto"/>
                      <w:szCs w:val="21"/>
                    </w:rPr>
                    <w:t>01</w:t>
                  </w:r>
                  <w:r>
                    <w:rPr>
                      <w:rFonts w:hint="eastAsia" w:ascii="Times New Roman" w:hAnsi="Times New Roman" w:eastAsia="宋体" w:cs="Times New Roman"/>
                      <w:snapToGrid w:val="0"/>
                      <w:color w:val="auto"/>
                      <w:szCs w:val="21"/>
                    </w:rPr>
                    <w:t>3~</w:t>
                  </w:r>
                  <w:r>
                    <w:rPr>
                      <w:rFonts w:ascii="Times New Roman" w:hAnsi="Times New Roman" w:eastAsia="宋体" w:cs="Times New Roman"/>
                      <w:snapToGrid w:val="0"/>
                      <w:color w:val="auto"/>
                      <w:szCs w:val="21"/>
                    </w:rPr>
                    <w:t>201</w:t>
                  </w:r>
                  <w:r>
                    <w:rPr>
                      <w:rFonts w:hint="eastAsia" w:ascii="Times New Roman" w:hAnsi="Times New Roman" w:eastAsia="宋体" w:cs="Times New Roman"/>
                      <w:snapToGrid w:val="0"/>
                      <w:color w:val="auto"/>
                      <w:szCs w:val="21"/>
                    </w:rPr>
                    <w:t>8年）平均风速（m/</w:t>
                  </w:r>
                  <w:r>
                    <w:rPr>
                      <w:rFonts w:ascii="Times New Roman" w:hAnsi="Times New Roman" w:eastAsia="宋体" w:cs="Times New Roman"/>
                      <w:snapToGrid w:val="0"/>
                      <w:color w:val="auto"/>
                      <w:szCs w:val="21"/>
                    </w:rPr>
                    <w:t>s</w:t>
                  </w:r>
                  <w:r>
                    <w:rPr>
                      <w:rFonts w:hint="eastAsia" w:ascii="Times New Roman" w:hAnsi="Times New Roman" w:eastAsia="宋体" w:cs="Times New Roman"/>
                      <w:snapToGrid w:val="0"/>
                      <w:color w:val="auto"/>
                      <w:szCs w:val="21"/>
                    </w:rPr>
                    <w:t>）</w:t>
                  </w:r>
                </w:p>
              </w:tc>
              <w:tc>
                <w:tcPr>
                  <w:tcW w:w="4787" w:type="dxa"/>
                  <w:noWrap w:val="0"/>
                  <w:vAlign w:val="center"/>
                </w:tcPr>
                <w:p>
                  <w:pPr>
                    <w:adjustRightInd w:val="0"/>
                    <w:snapToGrid w:val="0"/>
                    <w:spacing w:line="360" w:lineRule="auto"/>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1.95</w:t>
                  </w:r>
                </w:p>
              </w:tc>
            </w:tr>
          </w:tbl>
          <w:p>
            <w:pPr>
              <w:widowControl/>
              <w:adjustRightInd w:val="0"/>
              <w:snapToGrid w:val="0"/>
              <w:spacing w:line="360" w:lineRule="auto"/>
              <w:ind w:firstLine="482" w:firstLineChars="200"/>
              <w:rPr>
                <w:rFonts w:ascii="Times New Roman" w:hAnsi="Times New Roman" w:cs="Times New Roman"/>
                <w:b/>
                <w:bCs/>
                <w:color w:val="auto"/>
                <w:szCs w:val="21"/>
              </w:rPr>
            </w:pPr>
            <w:r>
              <w:rPr>
                <w:rFonts w:ascii="Times New Roman" w:hAnsi="Times New Roman" w:cs="Times New Roman"/>
                <w:b/>
                <w:bCs/>
                <w:color w:val="auto"/>
                <w:sz w:val="24"/>
                <w:szCs w:val="24"/>
              </w:rPr>
              <w:t>3、</w:t>
            </w:r>
            <w:r>
              <w:rPr>
                <w:rFonts w:hint="eastAsia" w:ascii="Times New Roman" w:hAnsi="Times New Roman" w:cs="Times New Roman"/>
                <w:b/>
                <w:bCs/>
                <w:color w:val="auto"/>
                <w:sz w:val="24"/>
                <w:szCs w:val="24"/>
              </w:rPr>
              <w:t>水文水系特征</w:t>
            </w:r>
          </w:p>
          <w:p>
            <w:pPr>
              <w:pStyle w:val="41"/>
              <w:spacing w:before="0" w:beforeAutospacing="0" w:after="0" w:afterAutospacing="0" w:line="360" w:lineRule="auto"/>
              <w:ind w:firstLine="352" w:firstLineChars="147"/>
              <w:rPr>
                <w:rFonts w:ascii="Times New Roman" w:hAnsi="Times New Roman" w:cs="Times New Roman"/>
                <w:color w:val="auto"/>
                <w:szCs w:val="21"/>
              </w:rPr>
            </w:pPr>
            <w:r>
              <w:rPr>
                <w:rFonts w:ascii="Times New Roman" w:hAnsi="Times New Roman" w:cs="Times New Roman"/>
                <w:color w:val="auto"/>
                <w:szCs w:val="21"/>
              </w:rPr>
              <w:t>开平市内主要水系为潭江。潭江是珠三角水系的Ⅰ级支流，主流发源于阳江市阳东县牛围岭，与莲塘水汇合入境，经百合、三埠、水口入新会市境，直泻珠江三角河口区，向崖门奔注南海。潭江全长248km，流域面积5068km</w:t>
            </w:r>
            <w:r>
              <w:rPr>
                <w:rFonts w:ascii="Times New Roman" w:hAnsi="Times New Roman" w:cs="Times New Roman"/>
                <w:color w:val="auto"/>
                <w:szCs w:val="21"/>
                <w:vertAlign w:val="superscript"/>
              </w:rPr>
              <w:t>2</w:t>
            </w:r>
            <w:r>
              <w:rPr>
                <w:rFonts w:ascii="Times New Roman" w:hAnsi="Times New Roman" w:cs="Times New Roman"/>
                <w:color w:val="auto"/>
                <w:szCs w:val="21"/>
              </w:rPr>
              <w:t>；在开平境内河长56km，流域面积1580km</w:t>
            </w:r>
            <w:r>
              <w:rPr>
                <w:rFonts w:ascii="Times New Roman" w:hAnsi="Times New Roman" w:cs="Times New Roman"/>
                <w:color w:val="auto"/>
                <w:szCs w:val="21"/>
                <w:vertAlign w:val="superscript"/>
              </w:rPr>
              <w:t>2</w:t>
            </w:r>
            <w:r>
              <w:rPr>
                <w:rFonts w:ascii="Times New Roman" w:hAnsi="Times New Roman" w:cs="Times New Roman"/>
                <w:color w:val="auto"/>
                <w:szCs w:val="21"/>
              </w:rPr>
              <w:t>，全河平均坡降为0.45％。上游多高山峻岭，坡急流，山林较茂密，植被较好；中下游地势较为平坦开阔，坡度平缓，河道较为弯曲，低水时河沿沙洲毕露，从赤坎到三埠，比较大的江心洲有河南洲、羊咩洲、滘堤洲、祥龙洲、海心洲、长沙洲、沙皇洲等。潭江常年受潮汐影响，属弱径流强潮流的河道。据长沙、石咀、三江口、黄冲四水位站资料统计分析，潭江潮汐作用较强，而径流影响亦不可忽略。四站历年平均潮差依次为，涨潮：2.96m、3.09m、2.94m、2.59m，落潮：2.76m、2.88m、2.85m、2.75m，上游大于下游。</w:t>
            </w:r>
          </w:p>
          <w:p>
            <w:pPr>
              <w:pStyle w:val="41"/>
              <w:spacing w:before="0" w:beforeAutospacing="0" w:after="0" w:afterAutospacing="0" w:line="360" w:lineRule="auto"/>
              <w:ind w:firstLine="352" w:firstLineChars="147"/>
              <w:rPr>
                <w:rFonts w:ascii="Times New Roman" w:hAnsi="Times New Roman" w:cs="Times New Roman"/>
                <w:color w:val="auto"/>
                <w:szCs w:val="21"/>
              </w:rPr>
            </w:pPr>
            <w:r>
              <w:rPr>
                <w:rFonts w:ascii="Times New Roman" w:hAnsi="Times New Roman" w:cs="Times New Roman"/>
                <w:color w:val="auto"/>
                <w:szCs w:val="21"/>
              </w:rPr>
              <w:t>潭江地处暴雨区，汛期洪水峰高量大；枯水期则因径流量不大，河床逐年淤积，通航能力较差。三埠镇以下可通航600 吨的机动船，可直通广州、江门、香港和澳门。潭江干流水位变幅一般在2 米到9 米之间。据潢步水文站1956 年到1959 年实测资料统计，多年平均年径流量为21.29 亿m</w:t>
            </w:r>
            <w:r>
              <w:rPr>
                <w:rFonts w:ascii="Times New Roman" w:hAnsi="Times New Roman" w:cs="Times New Roman"/>
                <w:color w:val="auto"/>
                <w:szCs w:val="21"/>
                <w:vertAlign w:val="superscript"/>
              </w:rPr>
              <w:t>3</w:t>
            </w:r>
            <w:r>
              <w:rPr>
                <w:rFonts w:ascii="Times New Roman" w:hAnsi="Times New Roman" w:cs="Times New Roman"/>
                <w:color w:val="auto"/>
                <w:szCs w:val="21"/>
              </w:rPr>
              <w:t>，最大洪峰流量2870m</w:t>
            </w:r>
            <w:r>
              <w:rPr>
                <w:rFonts w:ascii="Times New Roman" w:hAnsi="Times New Roman" w:cs="Times New Roman"/>
                <w:color w:val="auto"/>
                <w:szCs w:val="21"/>
                <w:vertAlign w:val="superscript"/>
              </w:rPr>
              <w:t>3</w:t>
            </w:r>
            <w:r>
              <w:rPr>
                <w:rFonts w:ascii="Times New Roman" w:hAnsi="Times New Roman" w:cs="Times New Roman"/>
                <w:color w:val="auto"/>
                <w:szCs w:val="21"/>
              </w:rPr>
              <w:t>/s（1968 年5 月）。最小枯水流量为0.003 m</w:t>
            </w:r>
            <w:r>
              <w:rPr>
                <w:rFonts w:ascii="Times New Roman" w:hAnsi="Times New Roman" w:cs="Times New Roman"/>
                <w:color w:val="auto"/>
                <w:szCs w:val="21"/>
                <w:vertAlign w:val="superscript"/>
              </w:rPr>
              <w:t>3</w:t>
            </w:r>
            <w:r>
              <w:rPr>
                <w:rFonts w:ascii="Times New Roman" w:hAnsi="Times New Roman" w:cs="Times New Roman"/>
                <w:color w:val="auto"/>
                <w:szCs w:val="21"/>
              </w:rPr>
              <w:t>/s（1960年3 月），多年平均含沙量0.108kg/m</w:t>
            </w:r>
            <w:r>
              <w:rPr>
                <w:rFonts w:ascii="Times New Roman" w:hAnsi="Times New Roman" w:cs="Times New Roman"/>
                <w:color w:val="auto"/>
                <w:szCs w:val="21"/>
                <w:vertAlign w:val="superscript"/>
              </w:rPr>
              <w:t>3</w:t>
            </w:r>
            <w:r>
              <w:rPr>
                <w:rFonts w:ascii="Times New Roman" w:hAnsi="Times New Roman" w:cs="Times New Roman"/>
                <w:color w:val="auto"/>
                <w:szCs w:val="21"/>
              </w:rPr>
              <w:t>，多年平均悬移质输沙量23 万吨，多年平均枯水量4.37m</w:t>
            </w:r>
            <w:r>
              <w:rPr>
                <w:rFonts w:ascii="Times New Roman" w:hAnsi="Times New Roman" w:cs="Times New Roman"/>
                <w:color w:val="auto"/>
                <w:szCs w:val="21"/>
                <w:vertAlign w:val="superscript"/>
              </w:rPr>
              <w:t>3</w:t>
            </w:r>
            <w:r>
              <w:rPr>
                <w:rFonts w:ascii="Times New Roman" w:hAnsi="Times New Roman" w:cs="Times New Roman"/>
                <w:color w:val="auto"/>
                <w:szCs w:val="21"/>
              </w:rPr>
              <w:t>/s，最高水位9.88m，最低水量0.95m。</w:t>
            </w:r>
          </w:p>
          <w:p>
            <w:pPr>
              <w:pStyle w:val="41"/>
              <w:spacing w:before="0" w:beforeAutospacing="0" w:after="0" w:afterAutospacing="0" w:line="360" w:lineRule="auto"/>
              <w:ind w:firstLine="352" w:firstLineChars="147"/>
              <w:rPr>
                <w:rFonts w:ascii="Times New Roman" w:hAnsi="Times New Roman" w:cs="Times New Roman"/>
                <w:color w:val="auto"/>
                <w:szCs w:val="21"/>
              </w:rPr>
            </w:pPr>
            <w:r>
              <w:rPr>
                <w:rFonts w:ascii="Times New Roman" w:hAnsi="Times New Roman" w:cs="Times New Roman"/>
                <w:color w:val="auto"/>
                <w:szCs w:val="21"/>
              </w:rPr>
              <w:t>开平境内潭江的主要支流包括镇海水、新昌水、新桥水、公益水、白沙水和蚬岗水等。</w:t>
            </w:r>
          </w:p>
          <w:p>
            <w:pPr>
              <w:pStyle w:val="41"/>
              <w:spacing w:before="0" w:beforeAutospacing="0" w:after="0" w:afterAutospacing="0" w:line="360" w:lineRule="auto"/>
              <w:ind w:firstLine="354" w:firstLineChars="147"/>
              <w:rPr>
                <w:rFonts w:ascii="Times New Roman" w:hAnsi="Times New Roman" w:cs="Times New Roman"/>
                <w:b/>
                <w:bCs/>
                <w:color w:val="auto"/>
                <w:szCs w:val="21"/>
              </w:rPr>
            </w:pPr>
            <w:r>
              <w:rPr>
                <w:rFonts w:hint="eastAsia" w:ascii="Times New Roman" w:hAnsi="Times New Roman" w:cs="Times New Roman"/>
                <w:b/>
                <w:bCs/>
                <w:color w:val="auto"/>
                <w:szCs w:val="21"/>
              </w:rPr>
              <w:t>4、自然资源、土壤与植被</w:t>
            </w:r>
          </w:p>
          <w:p>
            <w:pPr>
              <w:pStyle w:val="41"/>
              <w:spacing w:before="0" w:beforeAutospacing="0" w:after="0" w:afterAutospacing="0" w:line="360" w:lineRule="auto"/>
              <w:ind w:firstLine="352" w:firstLineChars="147"/>
              <w:rPr>
                <w:rFonts w:ascii="Times New Roman" w:hAnsi="Times New Roman" w:cs="Times New Roman"/>
                <w:color w:val="auto"/>
                <w:szCs w:val="21"/>
              </w:rPr>
            </w:pPr>
            <w:r>
              <w:rPr>
                <w:rFonts w:hint="eastAsia" w:ascii="Times New Roman" w:hAnsi="Times New Roman" w:cs="Times New Roman"/>
                <w:color w:val="auto"/>
                <w:szCs w:val="21"/>
              </w:rPr>
              <w:t>开平市矿产资源丰富，矿产资源已探明和开采的有铁、锰、铜、锡、金、铀、煤、独硅石、耐火石、钾长石等 33 种。</w:t>
            </w:r>
          </w:p>
          <w:p>
            <w:pPr>
              <w:pStyle w:val="41"/>
              <w:spacing w:before="0" w:beforeAutospacing="0" w:after="0" w:afterAutospacing="0" w:line="360" w:lineRule="auto"/>
              <w:ind w:firstLine="352" w:firstLineChars="147"/>
              <w:rPr>
                <w:rFonts w:ascii="Times New Roman" w:hAnsi="Times New Roman" w:cs="Times New Roman"/>
                <w:color w:val="auto"/>
                <w:szCs w:val="21"/>
              </w:rPr>
            </w:pPr>
            <w:r>
              <w:rPr>
                <w:rFonts w:hint="eastAsia" w:ascii="Times New Roman" w:hAnsi="Times New Roman" w:cs="Times New Roman"/>
                <w:color w:val="auto"/>
                <w:szCs w:val="21"/>
              </w:rPr>
              <w:t>开平市生物资源种类繁多。植物方面有种子植物和蕨类植物，主要代表科有壳斗科、山茶科、木兰科、樟科、桑科、蝶形花科、梧桐科、苏木科、桃金娘科、山龙眼科和芭蕉科等。动物方面主要是鸟、鱼、虫、兽。常见的珍稀动物有穿山甲、大头龟、果子狸、猴面鹰。较多的野生动物有山猪、石蛤、鳖、蛇、鹧鸪、坑螺等。</w:t>
            </w:r>
          </w:p>
          <w:p>
            <w:pPr>
              <w:pStyle w:val="41"/>
              <w:spacing w:before="0" w:beforeAutospacing="0" w:after="0" w:afterAutospacing="0" w:line="360" w:lineRule="auto"/>
              <w:ind w:firstLine="352" w:firstLineChars="147"/>
              <w:rPr>
                <w:rFonts w:hint="eastAsia" w:ascii="Times New Roman" w:hAnsi="Times New Roman" w:cs="Times New Roman"/>
                <w:color w:val="auto"/>
                <w:szCs w:val="21"/>
              </w:rPr>
            </w:pPr>
            <w:r>
              <w:rPr>
                <w:rFonts w:hint="eastAsia" w:ascii="Times New Roman" w:hAnsi="Times New Roman" w:cs="Times New Roman"/>
                <w:color w:val="auto"/>
                <w:szCs w:val="21"/>
              </w:rPr>
              <w:t>项目所在区域的土壤属冲积泥沙土壤和冲积黄红壤；周围植被主要为亚热带、热带的树种。乔木主要有松科、杉科、樟科、木麻黄科等。草被以芒萁为主，蕨类次之，常见芒萁群和马尾松、岗松、小叶樟、大叶樟、鸭脚木、乌桕、荷木、桃金娘、野牡丹和算盘子等。</w:t>
            </w: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p>
            <w:pPr>
              <w:pStyle w:val="41"/>
              <w:spacing w:before="0" w:beforeAutospacing="0" w:after="0" w:afterAutospacing="0" w:line="360" w:lineRule="auto"/>
              <w:ind w:firstLine="352" w:firstLineChars="147"/>
              <w:rPr>
                <w:color w:val="auto"/>
                <w:vertAlign w:val="baseline"/>
              </w:rPr>
            </w:pPr>
          </w:p>
        </w:tc>
      </w:tr>
    </w:tbl>
    <w:p>
      <w:pPr>
        <w:spacing w:line="300" w:lineRule="auto"/>
        <w:ind w:firstLine="454"/>
        <w:rPr>
          <w:color w:val="auto"/>
          <w:sz w:val="28"/>
        </w:rPr>
        <w:sectPr>
          <w:headerReference r:id="rId10" w:type="default"/>
          <w:footerReference r:id="rId11" w:type="default"/>
          <w:pgSz w:w="11907" w:h="16840"/>
          <w:pgMar w:top="1531" w:right="1134" w:bottom="1134" w:left="1418" w:header="907" w:footer="907" w:gutter="0"/>
          <w:cols w:space="720" w:num="1"/>
          <w:titlePg/>
          <w:docGrid w:linePitch="326" w:charSpace="-4916"/>
        </w:sectPr>
      </w:pPr>
    </w:p>
    <w:tbl>
      <w:tblPr>
        <w:tblStyle w:val="44"/>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155" w:hRule="atLeast"/>
        </w:trPr>
        <w:tc>
          <w:tcPr>
            <w:tcW w:w="9571" w:type="dxa"/>
            <w:tcBorders>
              <w:top w:val="single" w:color="auto" w:sz="4" w:space="0"/>
            </w:tcBorders>
            <w:vAlign w:val="center"/>
          </w:tcPr>
          <w:p>
            <w:pPr>
              <w:tabs>
                <w:tab w:val="left" w:pos="6600"/>
              </w:tabs>
              <w:spacing w:before="120" w:line="300" w:lineRule="auto"/>
              <w:rPr>
                <w:b/>
                <w:bCs/>
                <w:color w:val="auto"/>
                <w:sz w:val="28"/>
                <w:szCs w:val="28"/>
              </w:rPr>
            </w:pPr>
            <w:r>
              <w:rPr>
                <w:b/>
                <w:color w:val="auto"/>
                <w:sz w:val="28"/>
                <w:szCs w:val="28"/>
              </w:rPr>
              <w:t>项目所在地环境功能属性如下表所列：</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建设项目所在地环境功能属性表</w:t>
            </w:r>
          </w:p>
          <w:tbl>
            <w:tblPr>
              <w:tblStyle w:val="44"/>
              <w:tblW w:w="90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3038"/>
              <w:gridCol w:w="5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编号</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项目</w:t>
                  </w:r>
                </w:p>
              </w:tc>
              <w:tc>
                <w:tcPr>
                  <w:tcW w:w="5325" w:type="dxa"/>
                  <w:vAlign w:val="center"/>
                </w:tcPr>
                <w:p>
                  <w:pPr>
                    <w:pStyle w:val="56"/>
                    <w:spacing w:line="360" w:lineRule="auto"/>
                    <w:ind w:firstLine="360"/>
                    <w:rPr>
                      <w:rFonts w:ascii="Times New Roman" w:hAnsi="Times New Roman"/>
                      <w:color w:val="auto"/>
                      <w:kern w:val="2"/>
                      <w:sz w:val="21"/>
                      <w:szCs w:val="21"/>
                    </w:rPr>
                  </w:pPr>
                  <w:r>
                    <w:rPr>
                      <w:rFonts w:ascii="Times New Roman" w:hAnsi="Times New Roman"/>
                      <w:color w:val="auto"/>
                      <w:kern w:val="2"/>
                      <w:sz w:val="21"/>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1</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水环境功能区</w:t>
                  </w:r>
                </w:p>
              </w:tc>
              <w:tc>
                <w:tcPr>
                  <w:tcW w:w="5325" w:type="dxa"/>
                  <w:vAlign w:val="center"/>
                </w:tcPr>
                <w:p>
                  <w:pPr>
                    <w:spacing w:line="360" w:lineRule="auto"/>
                    <w:jc w:val="center"/>
                    <w:rPr>
                      <w:color w:val="auto"/>
                      <w:szCs w:val="21"/>
                    </w:rPr>
                  </w:pPr>
                  <w:r>
                    <w:rPr>
                      <w:rFonts w:hint="eastAsia"/>
                      <w:color w:val="auto"/>
                      <w:sz w:val="21"/>
                      <w:szCs w:val="21"/>
                      <w:shd w:val="clear" w:color="auto" w:fill="auto"/>
                      <w:lang w:val="en-US" w:eastAsia="zh-CN"/>
                    </w:rPr>
                    <w:t>项目受纳水体为</w:t>
                  </w:r>
                  <w:r>
                    <w:rPr>
                      <w:rFonts w:hint="eastAsia"/>
                      <w:color w:val="auto"/>
                      <w:sz w:val="21"/>
                      <w:szCs w:val="21"/>
                      <w:shd w:val="clear" w:color="auto" w:fill="auto"/>
                    </w:rPr>
                    <w:t>潭江</w:t>
                  </w:r>
                  <w:r>
                    <w:rPr>
                      <w:rFonts w:hint="eastAsia"/>
                      <w:color w:val="auto"/>
                      <w:sz w:val="21"/>
                      <w:szCs w:val="21"/>
                      <w:shd w:val="clear" w:color="auto" w:fill="auto"/>
                      <w:lang w:eastAsia="zh-CN"/>
                    </w:rPr>
                    <w:t>，根据《关于印发&lt;广东省地表水环境功能区划&gt;的通知》（粤环[2011]14号）以及</w:t>
                  </w:r>
                  <w:r>
                    <w:rPr>
                      <w:rFonts w:hint="eastAsia" w:ascii="Times New Roman" w:hAnsi="Times New Roman" w:eastAsia="宋体"/>
                      <w:b w:val="0"/>
                      <w:bCs/>
                      <w:color w:val="auto"/>
                      <w:szCs w:val="24"/>
                      <w:shd w:val="clear" w:color="auto" w:fill="auto"/>
                      <w:lang w:eastAsia="zh-CN"/>
                    </w:rPr>
                    <w:t>《开平市水口污水处理厂提标改造工程项目环境影响评价报告表》与其批复</w:t>
                  </w:r>
                  <w:r>
                    <w:rPr>
                      <w:rFonts w:hint="eastAsia" w:ascii="Times New Roman" w:hAnsi="Times New Roman" w:eastAsia="宋体"/>
                      <w:b w:val="0"/>
                      <w:bCs/>
                      <w:color w:val="auto"/>
                      <w:szCs w:val="24"/>
                      <w:shd w:val="clear" w:color="auto" w:fill="auto"/>
                    </w:rPr>
                    <w:t>（</w:t>
                  </w:r>
                  <w:r>
                    <w:rPr>
                      <w:rFonts w:hint="eastAsia" w:ascii="Times New Roman" w:hAnsi="Times New Roman" w:eastAsia="宋体"/>
                      <w:b w:val="0"/>
                      <w:bCs/>
                      <w:color w:val="auto"/>
                      <w:szCs w:val="24"/>
                      <w:shd w:val="clear" w:color="auto" w:fill="auto"/>
                      <w:lang w:eastAsia="zh-CN"/>
                    </w:rPr>
                    <w:t>开环批</w:t>
                  </w:r>
                  <w:r>
                    <w:rPr>
                      <w:rFonts w:hint="eastAsia" w:ascii="Times New Roman" w:hAnsi="Times New Roman" w:eastAsia="宋体"/>
                      <w:b w:val="0"/>
                      <w:bCs/>
                      <w:color w:val="auto"/>
                      <w:szCs w:val="24"/>
                      <w:shd w:val="clear" w:color="auto" w:fill="auto"/>
                    </w:rPr>
                    <w:t>[201</w:t>
                  </w:r>
                  <w:r>
                    <w:rPr>
                      <w:rFonts w:hint="eastAsia" w:ascii="Times New Roman" w:hAnsi="Times New Roman" w:eastAsia="宋体"/>
                      <w:b w:val="0"/>
                      <w:bCs/>
                      <w:color w:val="auto"/>
                      <w:szCs w:val="24"/>
                      <w:shd w:val="clear" w:color="auto" w:fill="auto"/>
                      <w:lang w:val="en-US" w:eastAsia="zh-CN"/>
                    </w:rPr>
                    <w:t>8</w:t>
                  </w:r>
                  <w:r>
                    <w:rPr>
                      <w:rFonts w:hint="eastAsia" w:ascii="Times New Roman" w:hAnsi="Times New Roman" w:eastAsia="宋体"/>
                      <w:b w:val="0"/>
                      <w:bCs/>
                      <w:color w:val="auto"/>
                      <w:szCs w:val="24"/>
                      <w:shd w:val="clear" w:color="auto" w:fill="auto"/>
                    </w:rPr>
                    <w:t>]1</w:t>
                  </w:r>
                  <w:r>
                    <w:rPr>
                      <w:rFonts w:hint="eastAsia" w:ascii="Times New Roman" w:hAnsi="Times New Roman" w:eastAsia="宋体"/>
                      <w:b w:val="0"/>
                      <w:bCs/>
                      <w:color w:val="auto"/>
                      <w:szCs w:val="24"/>
                      <w:shd w:val="clear" w:color="auto" w:fill="auto"/>
                      <w:lang w:val="en-US" w:eastAsia="zh-CN"/>
                    </w:rPr>
                    <w:t>68</w:t>
                  </w:r>
                  <w:r>
                    <w:rPr>
                      <w:rFonts w:hint="eastAsia" w:ascii="Times New Roman" w:hAnsi="Times New Roman" w:eastAsia="宋体"/>
                      <w:b w:val="0"/>
                      <w:bCs/>
                      <w:color w:val="auto"/>
                      <w:szCs w:val="24"/>
                      <w:shd w:val="clear" w:color="auto" w:fill="auto"/>
                    </w:rPr>
                    <w:t>号）</w:t>
                  </w:r>
                  <w:r>
                    <w:rPr>
                      <w:rFonts w:hint="eastAsia"/>
                      <w:color w:val="auto"/>
                      <w:sz w:val="21"/>
                      <w:szCs w:val="21"/>
                      <w:shd w:val="clear" w:color="auto" w:fill="auto"/>
                      <w:lang w:eastAsia="zh-CN"/>
                    </w:rPr>
                    <w:t>，潭江</w:t>
                  </w:r>
                  <w:r>
                    <w:rPr>
                      <w:rFonts w:hint="eastAsia"/>
                      <w:color w:val="auto"/>
                      <w:sz w:val="21"/>
                      <w:szCs w:val="21"/>
                      <w:shd w:val="clear" w:color="auto" w:fill="auto"/>
                    </w:rPr>
                    <w:t>执行《地表水环境质量标准》（GB3838-2002）Ⅱ类标准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2</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环境空气功能区</w:t>
                  </w:r>
                </w:p>
              </w:tc>
              <w:tc>
                <w:tcPr>
                  <w:tcW w:w="5325" w:type="dxa"/>
                  <w:vAlign w:val="center"/>
                </w:tcPr>
                <w:p>
                  <w:pPr>
                    <w:pStyle w:val="56"/>
                    <w:spacing w:line="360" w:lineRule="auto"/>
                    <w:rPr>
                      <w:rFonts w:ascii="Times New Roman" w:hAnsi="Times New Roman"/>
                      <w:color w:val="auto"/>
                      <w:kern w:val="2"/>
                      <w:sz w:val="21"/>
                      <w:szCs w:val="21"/>
                    </w:rPr>
                  </w:pPr>
                  <w:r>
                    <w:rPr>
                      <w:rFonts w:hint="eastAsia" w:ascii="Times New Roman" w:hAnsi="Times New Roman"/>
                      <w:color w:val="auto"/>
                      <w:kern w:val="2"/>
                      <w:sz w:val="21"/>
                      <w:szCs w:val="21"/>
                    </w:rPr>
                    <w:t>根据《江门市环境保护规划》（2006-2020年），</w:t>
                  </w:r>
                  <w:r>
                    <w:rPr>
                      <w:rFonts w:hint="eastAsia" w:ascii="Times New Roman" w:hAnsi="Times New Roman"/>
                      <w:color w:val="auto"/>
                      <w:kern w:val="2"/>
                      <w:sz w:val="21"/>
                      <w:szCs w:val="21"/>
                      <w:lang w:eastAsia="zh-CN"/>
                    </w:rPr>
                    <w:t>项目</w:t>
                  </w:r>
                  <w:r>
                    <w:rPr>
                      <w:rFonts w:ascii="Times New Roman" w:hAnsi="Times New Roman"/>
                      <w:color w:val="auto"/>
                      <w:kern w:val="2"/>
                      <w:sz w:val="21"/>
                      <w:szCs w:val="21"/>
                    </w:rPr>
                    <w:t>属二类区域，执行</w:t>
                  </w:r>
                  <w:r>
                    <w:rPr>
                      <w:rFonts w:hint="eastAsia" w:ascii="Times New Roman" w:hAnsi="Times New Roman"/>
                      <w:color w:val="auto"/>
                      <w:kern w:val="2"/>
                      <w:sz w:val="21"/>
                      <w:szCs w:val="21"/>
                    </w:rPr>
                    <w:t>《环境空气质量标准》（GB3095-2012）及”2018修改单”二级标准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3</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环境噪声功能区</w:t>
                  </w:r>
                </w:p>
              </w:tc>
              <w:tc>
                <w:tcPr>
                  <w:tcW w:w="5325" w:type="dxa"/>
                  <w:vAlign w:val="center"/>
                </w:tcPr>
                <w:p>
                  <w:pPr>
                    <w:pStyle w:val="56"/>
                    <w:spacing w:line="360" w:lineRule="auto"/>
                    <w:rPr>
                      <w:rFonts w:hint="default" w:ascii="Times New Roman" w:hAnsi="Times New Roman" w:eastAsia="宋体"/>
                      <w:color w:val="auto"/>
                      <w:kern w:val="2"/>
                      <w:sz w:val="21"/>
                      <w:szCs w:val="21"/>
                      <w:lang w:val="en-US" w:eastAsia="zh-CN"/>
                    </w:rPr>
                  </w:pPr>
                  <w:r>
                    <w:rPr>
                      <w:rFonts w:hint="eastAsia" w:ascii="Times New Roman" w:hAnsi="Times New Roman"/>
                      <w:color w:val="auto"/>
                      <w:kern w:val="2"/>
                      <w:sz w:val="21"/>
                      <w:szCs w:val="21"/>
                    </w:rPr>
                    <w:t>根据《声环境质量标准》（GB3096-2008）、《声环境功能区划分技术规范》（GB/T159190-2014）的相关规定，</w:t>
                  </w:r>
                  <w:r>
                    <w:rPr>
                      <w:rFonts w:hint="eastAsia" w:ascii="Times New Roman" w:hAnsi="Times New Roman"/>
                      <w:color w:val="auto"/>
                      <w:kern w:val="2"/>
                      <w:sz w:val="21"/>
                      <w:szCs w:val="21"/>
                      <w:lang w:eastAsia="zh-CN"/>
                    </w:rPr>
                    <w:t>项目东南面、西南面和东北面</w:t>
                  </w:r>
                  <w:r>
                    <w:rPr>
                      <w:rFonts w:ascii="Times New Roman" w:hAnsi="Times New Roman"/>
                      <w:color w:val="auto"/>
                      <w:kern w:val="2"/>
                      <w:sz w:val="21"/>
                      <w:szCs w:val="21"/>
                    </w:rPr>
                    <w:t>属</w:t>
                  </w:r>
                  <w:r>
                    <w:rPr>
                      <w:rFonts w:hint="eastAsia" w:ascii="Times New Roman" w:hAnsi="Times New Roman"/>
                      <w:color w:val="auto"/>
                      <w:kern w:val="2"/>
                      <w:sz w:val="21"/>
                      <w:szCs w:val="21"/>
                    </w:rPr>
                    <w:t>2类</w:t>
                  </w:r>
                  <w:r>
                    <w:rPr>
                      <w:rStyle w:val="50"/>
                      <w:rFonts w:hint="eastAsia" w:ascii="Times New Roman" w:hAnsi="Times New Roman"/>
                      <w:color w:val="auto"/>
                      <w:kern w:val="2"/>
                      <w:lang w:eastAsia="zh-CN"/>
                    </w:rPr>
                    <w:t>声功能区</w:t>
                  </w:r>
                  <w:r>
                    <w:rPr>
                      <w:rFonts w:ascii="Times New Roman" w:hAnsi="Times New Roman"/>
                      <w:color w:val="auto"/>
                      <w:kern w:val="2"/>
                      <w:sz w:val="21"/>
                      <w:szCs w:val="21"/>
                    </w:rPr>
                    <w:t>，执行《</w:t>
                  </w:r>
                  <w:r>
                    <w:rPr>
                      <w:rFonts w:hint="eastAsia" w:ascii="Times New Roman" w:hAnsi="Times New Roman"/>
                      <w:color w:val="auto"/>
                      <w:kern w:val="2"/>
                      <w:sz w:val="21"/>
                      <w:szCs w:val="21"/>
                    </w:rPr>
                    <w:t>声</w:t>
                  </w:r>
                  <w:r>
                    <w:rPr>
                      <w:rFonts w:ascii="Times New Roman" w:hAnsi="Times New Roman"/>
                      <w:color w:val="auto"/>
                      <w:kern w:val="2"/>
                      <w:sz w:val="21"/>
                      <w:szCs w:val="21"/>
                    </w:rPr>
                    <w:t>环境</w:t>
                  </w:r>
                  <w:r>
                    <w:rPr>
                      <w:rFonts w:hint="eastAsia" w:ascii="Times New Roman" w:hAnsi="Times New Roman"/>
                      <w:color w:val="auto"/>
                      <w:kern w:val="2"/>
                      <w:sz w:val="21"/>
                      <w:szCs w:val="21"/>
                    </w:rPr>
                    <w:t>质量</w:t>
                  </w:r>
                  <w:r>
                    <w:rPr>
                      <w:rFonts w:ascii="Times New Roman" w:hAnsi="Times New Roman"/>
                      <w:color w:val="auto"/>
                      <w:kern w:val="2"/>
                      <w:sz w:val="21"/>
                      <w:szCs w:val="21"/>
                    </w:rPr>
                    <w:t>标准》（GB3096-</w:t>
                  </w:r>
                  <w:r>
                    <w:rPr>
                      <w:rFonts w:hint="eastAsia" w:ascii="Times New Roman" w:hAnsi="Times New Roman"/>
                      <w:color w:val="auto"/>
                      <w:kern w:val="2"/>
                      <w:sz w:val="21"/>
                      <w:szCs w:val="21"/>
                    </w:rPr>
                    <w:t>2008</w:t>
                  </w:r>
                  <w:r>
                    <w:rPr>
                      <w:rFonts w:ascii="Times New Roman" w:hAnsi="Times New Roman"/>
                      <w:color w:val="auto"/>
                      <w:kern w:val="2"/>
                      <w:sz w:val="21"/>
                      <w:szCs w:val="21"/>
                    </w:rPr>
                    <w:t>）</w:t>
                  </w:r>
                  <w:r>
                    <w:rPr>
                      <w:rFonts w:hint="eastAsia" w:ascii="Times New Roman" w:hAnsi="Times New Roman"/>
                      <w:color w:val="auto"/>
                      <w:kern w:val="2"/>
                      <w:sz w:val="21"/>
                      <w:szCs w:val="21"/>
                    </w:rPr>
                    <w:t>2类</w:t>
                  </w:r>
                  <w:r>
                    <w:rPr>
                      <w:rFonts w:ascii="Times New Roman" w:hAnsi="Times New Roman"/>
                      <w:color w:val="auto"/>
                      <w:kern w:val="2"/>
                      <w:sz w:val="21"/>
                      <w:szCs w:val="21"/>
                    </w:rPr>
                    <w:t>标准</w:t>
                  </w:r>
                  <w:r>
                    <w:rPr>
                      <w:rStyle w:val="50"/>
                      <w:rFonts w:hint="eastAsia" w:ascii="Times New Roman" w:hAnsi="Times New Roman"/>
                      <w:color w:val="auto"/>
                      <w:kern w:val="2"/>
                      <w:lang w:eastAsia="zh-CN"/>
                    </w:rPr>
                    <w:t>；西北面约</w:t>
                  </w:r>
                  <w:r>
                    <w:rPr>
                      <w:rStyle w:val="50"/>
                      <w:rFonts w:hint="eastAsia" w:ascii="Times New Roman" w:hAnsi="Times New Roman"/>
                      <w:color w:val="auto"/>
                      <w:kern w:val="2"/>
                      <w:lang w:val="en-US" w:eastAsia="zh-CN"/>
                    </w:rPr>
                    <w:t>8m为城市主干路，</w:t>
                  </w:r>
                  <w:r>
                    <w:rPr>
                      <w:rStyle w:val="50"/>
                      <w:rFonts w:hint="eastAsia" w:ascii="Times New Roman" w:hAnsi="Times New Roman"/>
                      <w:color w:val="auto"/>
                      <w:kern w:val="2"/>
                      <w:lang w:eastAsia="zh-CN"/>
                    </w:rPr>
                    <w:t>属4a类声功能区，</w:t>
                  </w:r>
                  <w:r>
                    <w:rPr>
                      <w:rStyle w:val="50"/>
                      <w:rFonts w:hint="eastAsia" w:ascii="Times New Roman" w:hAnsi="Times New Roman"/>
                      <w:color w:val="auto"/>
                      <w:kern w:val="2"/>
                      <w:lang w:val="en-US" w:eastAsia="zh-CN"/>
                    </w:rPr>
                    <w:t>执行4a类标准。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4</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基本农田保护区</w:t>
                  </w:r>
                </w:p>
              </w:tc>
              <w:tc>
                <w:tcPr>
                  <w:tcW w:w="5325"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5</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风景名胜保护区</w:t>
                  </w:r>
                </w:p>
              </w:tc>
              <w:tc>
                <w:tcPr>
                  <w:tcW w:w="5325" w:type="dxa"/>
                  <w:vAlign w:val="center"/>
                </w:tcPr>
                <w:p>
                  <w:pPr>
                    <w:spacing w:line="360" w:lineRule="auto"/>
                    <w:jc w:val="center"/>
                    <w:rPr>
                      <w:color w:val="auto"/>
                      <w:szCs w:val="21"/>
                    </w:rPr>
                  </w:pPr>
                  <w:r>
                    <w:rPr>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98" w:type="dxa"/>
                  <w:vAlign w:val="center"/>
                </w:tcPr>
                <w:p>
                  <w:pPr>
                    <w:spacing w:line="360" w:lineRule="auto"/>
                    <w:ind w:right="-3"/>
                    <w:jc w:val="center"/>
                    <w:rPr>
                      <w:color w:val="auto"/>
                      <w:szCs w:val="21"/>
                    </w:rPr>
                  </w:pPr>
                  <w:r>
                    <w:rPr>
                      <w:color w:val="auto"/>
                      <w:szCs w:val="21"/>
                    </w:rPr>
                    <w:t>6</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水库库区</w:t>
                  </w:r>
                </w:p>
              </w:tc>
              <w:tc>
                <w:tcPr>
                  <w:tcW w:w="5325" w:type="dxa"/>
                  <w:vAlign w:val="center"/>
                </w:tcPr>
                <w:p>
                  <w:pPr>
                    <w:spacing w:line="360" w:lineRule="auto"/>
                    <w:jc w:val="center"/>
                    <w:rPr>
                      <w:color w:val="auto"/>
                      <w:szCs w:val="21"/>
                    </w:rPr>
                  </w:pPr>
                  <w:r>
                    <w:rPr>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7</w:t>
                  </w:r>
                </w:p>
              </w:tc>
              <w:tc>
                <w:tcPr>
                  <w:tcW w:w="3038" w:type="dxa"/>
                  <w:vAlign w:val="center"/>
                </w:tcPr>
                <w:p>
                  <w:pPr>
                    <w:pStyle w:val="56"/>
                    <w:spacing w:line="360" w:lineRule="auto"/>
                    <w:rPr>
                      <w:rFonts w:ascii="Times New Roman" w:hAnsi="Times New Roman"/>
                      <w:color w:val="auto"/>
                      <w:kern w:val="2"/>
                      <w:sz w:val="21"/>
                      <w:szCs w:val="21"/>
                    </w:rPr>
                  </w:pPr>
                  <w:r>
                    <w:rPr>
                      <w:rFonts w:hint="eastAsia" w:ascii="Times New Roman" w:hAnsi="Times New Roman"/>
                      <w:color w:val="auto"/>
                      <w:kern w:val="2"/>
                      <w:sz w:val="21"/>
                      <w:szCs w:val="21"/>
                    </w:rPr>
                    <w:t>是否城镇</w:t>
                  </w:r>
                  <w:r>
                    <w:rPr>
                      <w:rFonts w:ascii="Times New Roman" w:hAnsi="Times New Roman"/>
                      <w:color w:val="auto"/>
                      <w:kern w:val="2"/>
                      <w:sz w:val="21"/>
                      <w:szCs w:val="21"/>
                    </w:rPr>
                    <w:t>污水处理厂集水范围</w:t>
                  </w:r>
                </w:p>
              </w:tc>
              <w:tc>
                <w:tcPr>
                  <w:tcW w:w="5325" w:type="dxa"/>
                  <w:vAlign w:val="center"/>
                </w:tcPr>
                <w:p>
                  <w:pPr>
                    <w:spacing w:line="360" w:lineRule="auto"/>
                    <w:jc w:val="center"/>
                    <w:rPr>
                      <w:color w:val="auto"/>
                      <w:szCs w:val="21"/>
                    </w:rPr>
                  </w:pPr>
                  <w:r>
                    <w:rPr>
                      <w:rFonts w:hint="eastAsia"/>
                      <w:color w:val="auto"/>
                      <w:szCs w:val="21"/>
                    </w:rPr>
                    <w:t>是，属于</w:t>
                  </w:r>
                  <w:r>
                    <w:rPr>
                      <w:rFonts w:hint="eastAsia"/>
                      <w:color w:val="auto"/>
                      <w:szCs w:val="21"/>
                      <w:lang w:eastAsia="zh-CN"/>
                    </w:rPr>
                    <w:t>开平市水口污水处理厂</w:t>
                  </w:r>
                  <w:r>
                    <w:rPr>
                      <w:rFonts w:hint="eastAsia"/>
                      <w:color w:val="auto"/>
                      <w:szCs w:val="21"/>
                    </w:rPr>
                    <w:t>集水范围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8</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是否属煤气管道范围</w:t>
                  </w:r>
                </w:p>
              </w:tc>
              <w:tc>
                <w:tcPr>
                  <w:tcW w:w="5325"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Cs w:val="21"/>
                    </w:rPr>
                  </w:pPr>
                  <w:r>
                    <w:rPr>
                      <w:color w:val="auto"/>
                      <w:szCs w:val="21"/>
                    </w:rPr>
                    <w:t>9</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可否现场搅拌混凝土</w:t>
                  </w:r>
                </w:p>
              </w:tc>
              <w:tc>
                <w:tcPr>
                  <w:tcW w:w="5325"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698" w:type="dxa"/>
                  <w:vAlign w:val="center"/>
                </w:tcPr>
                <w:p>
                  <w:pPr>
                    <w:spacing w:line="360" w:lineRule="auto"/>
                    <w:ind w:right="-3"/>
                    <w:jc w:val="center"/>
                    <w:rPr>
                      <w:color w:val="auto"/>
                      <w:szCs w:val="21"/>
                    </w:rPr>
                  </w:pPr>
                  <w:r>
                    <w:rPr>
                      <w:color w:val="auto"/>
                      <w:szCs w:val="21"/>
                    </w:rPr>
                    <w:t>10</w:t>
                  </w:r>
                </w:p>
              </w:tc>
              <w:tc>
                <w:tcPr>
                  <w:tcW w:w="3038"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是否环境敏感区</w:t>
                  </w:r>
                </w:p>
              </w:tc>
              <w:tc>
                <w:tcPr>
                  <w:tcW w:w="5325" w:type="dxa"/>
                  <w:vAlign w:val="center"/>
                </w:tcPr>
                <w:p>
                  <w:pPr>
                    <w:pStyle w:val="56"/>
                    <w:spacing w:line="360" w:lineRule="auto"/>
                    <w:rPr>
                      <w:rFonts w:ascii="Times New Roman" w:hAnsi="Times New Roman"/>
                      <w:color w:val="auto"/>
                      <w:kern w:val="2"/>
                      <w:sz w:val="21"/>
                      <w:szCs w:val="21"/>
                    </w:rPr>
                  </w:pPr>
                  <w:r>
                    <w:rPr>
                      <w:rFonts w:ascii="Times New Roman" w:hAnsi="Times New Roman"/>
                      <w:color w:val="auto"/>
                      <w:kern w:val="2"/>
                      <w:sz w:val="21"/>
                      <w:szCs w:val="21"/>
                    </w:rPr>
                    <w:t>否</w:t>
                  </w:r>
                </w:p>
              </w:tc>
            </w:tr>
          </w:tbl>
          <w:p>
            <w:pPr>
              <w:pStyle w:val="34"/>
              <w:spacing w:line="360" w:lineRule="auto"/>
              <w:ind w:firstLine="480" w:firstLineChars="200"/>
              <w:rPr>
                <w:color w:val="auto"/>
                <w:szCs w:val="24"/>
                <w:highlight w:val="none"/>
              </w:rPr>
            </w:pPr>
            <w:r>
              <w:rPr>
                <w:color w:val="auto"/>
                <w:szCs w:val="24"/>
                <w:highlight w:val="none"/>
              </w:rPr>
              <w:t>根据《建设项目环境影响评价技术导则—地下水环境》（HJ610-2016）附录A地下水环境影响评价行业分类表，本项目属于“</w:t>
            </w:r>
            <w:r>
              <w:rPr>
                <w:rFonts w:hint="eastAsia"/>
                <w:color w:val="auto"/>
                <w:szCs w:val="24"/>
                <w:highlight w:val="none"/>
                <w:lang w:val="en-US" w:eastAsia="zh-CN"/>
              </w:rPr>
              <w:t>116</w:t>
            </w:r>
            <w:r>
              <w:rPr>
                <w:color w:val="auto"/>
                <w:szCs w:val="24"/>
                <w:highlight w:val="none"/>
              </w:rPr>
              <w:t>、</w:t>
            </w:r>
            <w:r>
              <w:rPr>
                <w:rFonts w:hint="eastAsia"/>
                <w:color w:val="auto"/>
                <w:szCs w:val="24"/>
                <w:highlight w:val="none"/>
                <w:lang w:eastAsia="zh-CN"/>
              </w:rPr>
              <w:t>塑料制品制造</w:t>
            </w:r>
            <w:r>
              <w:rPr>
                <w:color w:val="auto"/>
                <w:szCs w:val="24"/>
                <w:highlight w:val="none"/>
              </w:rPr>
              <w:t>”中的报告表类别，对应的是Ⅳ类项目，不开展地下水环境影响评价。</w:t>
            </w:r>
          </w:p>
          <w:p>
            <w:pPr>
              <w:pStyle w:val="34"/>
              <w:spacing w:line="360" w:lineRule="auto"/>
              <w:ind w:firstLine="480" w:firstLineChars="200"/>
              <w:rPr>
                <w:color w:val="auto"/>
                <w:szCs w:val="24"/>
                <w:highlight w:val="none"/>
              </w:rPr>
            </w:pPr>
          </w:p>
          <w:p>
            <w:pPr>
              <w:pStyle w:val="34"/>
              <w:spacing w:line="360" w:lineRule="auto"/>
              <w:ind w:firstLine="480" w:firstLineChars="200"/>
              <w:rPr>
                <w:color w:val="auto"/>
                <w:szCs w:val="24"/>
                <w:highlight w:val="none"/>
              </w:rPr>
            </w:pPr>
          </w:p>
          <w:p>
            <w:pPr>
              <w:pStyle w:val="34"/>
              <w:ind w:firstLine="0"/>
              <w:rPr>
                <w:b/>
                <w:bCs/>
                <w:color w:val="auto"/>
                <w:sz w:val="28"/>
              </w:rPr>
            </w:pPr>
          </w:p>
          <w:p>
            <w:pPr>
              <w:pStyle w:val="34"/>
              <w:ind w:firstLine="0"/>
              <w:rPr>
                <w:b/>
                <w:bCs/>
                <w:color w:val="auto"/>
                <w:sz w:val="28"/>
              </w:rPr>
            </w:pPr>
          </w:p>
          <w:p>
            <w:pPr>
              <w:pStyle w:val="34"/>
              <w:ind w:firstLine="0"/>
              <w:rPr>
                <w:b/>
                <w:bCs/>
                <w:color w:val="auto"/>
                <w:sz w:val="28"/>
              </w:rPr>
            </w:pPr>
          </w:p>
          <w:p>
            <w:pPr>
              <w:pStyle w:val="34"/>
              <w:ind w:firstLine="0"/>
              <w:rPr>
                <w:b/>
                <w:bCs/>
                <w:color w:val="auto"/>
                <w:sz w:val="28"/>
              </w:rPr>
            </w:pPr>
          </w:p>
          <w:p>
            <w:pPr>
              <w:pStyle w:val="34"/>
              <w:ind w:firstLine="0"/>
              <w:rPr>
                <w:b/>
                <w:bCs/>
                <w:color w:val="auto"/>
                <w:sz w:val="28"/>
              </w:rPr>
            </w:pPr>
          </w:p>
          <w:p>
            <w:pPr>
              <w:pStyle w:val="34"/>
              <w:ind w:firstLine="0"/>
              <w:rPr>
                <w:b/>
                <w:bCs/>
                <w:color w:val="auto"/>
                <w:sz w:val="28"/>
              </w:rPr>
            </w:pPr>
          </w:p>
          <w:p>
            <w:pPr>
              <w:pStyle w:val="34"/>
              <w:ind w:firstLine="0"/>
              <w:rPr>
                <w:b/>
                <w:bCs/>
                <w:color w:val="auto"/>
                <w:sz w:val="28"/>
              </w:rPr>
            </w:pPr>
          </w:p>
        </w:tc>
      </w:tr>
    </w:tbl>
    <w:p>
      <w:pPr>
        <w:pStyle w:val="42"/>
        <w:jc w:val="left"/>
        <w:rPr>
          <w:rFonts w:ascii="Times New Roman" w:hAnsi="Times New Roman"/>
          <w:color w:val="auto"/>
        </w:rPr>
      </w:pPr>
      <w:r>
        <w:rPr>
          <w:rFonts w:hint="eastAsia" w:ascii="Times New Roman" w:hAnsi="Times New Roman"/>
          <w:color w:val="auto"/>
        </w:rPr>
        <w:t>环境质量状况</w:t>
      </w:r>
    </w:p>
    <w:tbl>
      <w:tblPr>
        <w:tblStyle w:val="44"/>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2085" w:hRule="atLeast"/>
        </w:trPr>
        <w:tc>
          <w:tcPr>
            <w:tcW w:w="9571" w:type="dxa"/>
            <w:tcBorders>
              <w:bottom w:val="single" w:color="auto" w:sz="4" w:space="0"/>
            </w:tcBorders>
          </w:tcPr>
          <w:p>
            <w:pPr>
              <w:spacing w:before="120" w:line="276" w:lineRule="auto"/>
              <w:rPr>
                <w:b/>
                <w:bCs/>
                <w:color w:val="auto"/>
                <w:sz w:val="28"/>
                <w:szCs w:val="28"/>
              </w:rPr>
            </w:pPr>
            <w:r>
              <w:rPr>
                <w:rFonts w:hint="eastAsia"/>
                <w:b/>
                <w:bCs/>
                <w:color w:val="auto"/>
                <w:sz w:val="28"/>
                <w:szCs w:val="28"/>
              </w:rPr>
              <w:t>建设项目所在地区域环境质量现状及主要环境问题(环境空气、地面水、地下水、声环境、生态环境等):</w:t>
            </w:r>
          </w:p>
          <w:p>
            <w:pPr>
              <w:pStyle w:val="15"/>
              <w:numPr>
                <w:ilvl w:val="0"/>
                <w:numId w:val="6"/>
              </w:numPr>
              <w:spacing w:before="0" w:after="0" w:line="360" w:lineRule="auto"/>
              <w:ind w:left="418" w:leftChars="199"/>
              <w:rPr>
                <w:rFonts w:ascii="Times New Roman" w:hAnsi="Times New Roman" w:eastAsia="宋体"/>
                <w:color w:val="auto"/>
              </w:rPr>
            </w:pPr>
            <w:r>
              <w:rPr>
                <w:rFonts w:ascii="Times New Roman" w:hAnsi="Times New Roman" w:eastAsia="宋体"/>
                <w:color w:val="auto"/>
              </w:rPr>
              <w:t>环境空气质量现状</w:t>
            </w:r>
          </w:p>
          <w:p>
            <w:pPr>
              <w:spacing w:line="360" w:lineRule="auto"/>
              <w:ind w:firstLine="480" w:firstLineChars="200"/>
              <w:jc w:val="left"/>
              <w:rPr>
                <w:color w:val="auto"/>
                <w:sz w:val="24"/>
              </w:rPr>
            </w:pPr>
            <w:r>
              <w:rPr>
                <w:color w:val="auto"/>
                <w:sz w:val="24"/>
              </w:rPr>
              <w:t>本项目所在地属环境空气质量二类区域，执行《环境空气质量标准》（GB3095-2012）及”2018 修改单”二级标准。</w:t>
            </w:r>
            <w:r>
              <w:rPr>
                <w:rFonts w:hint="eastAsia"/>
                <w:color w:val="auto"/>
                <w:sz w:val="24"/>
              </w:rPr>
              <w:t>根据</w:t>
            </w:r>
            <w:r>
              <w:rPr>
                <w:color w:val="auto"/>
                <w:sz w:val="24"/>
              </w:rPr>
              <w:t>《环境影响评价技术导则—大气环境》（HJ2.2-2018）</w:t>
            </w:r>
            <w:r>
              <w:rPr>
                <w:rFonts w:hint="eastAsia"/>
                <w:color w:val="auto"/>
                <w:sz w:val="24"/>
              </w:rPr>
              <w:t>和估算结果</w:t>
            </w:r>
            <w:r>
              <w:rPr>
                <w:color w:val="auto"/>
                <w:sz w:val="24"/>
              </w:rPr>
              <w:t>，</w:t>
            </w:r>
            <w:r>
              <w:rPr>
                <w:rFonts w:hint="eastAsia"/>
                <w:color w:val="auto"/>
                <w:sz w:val="24"/>
              </w:rPr>
              <w:t>本</w:t>
            </w:r>
            <w:r>
              <w:rPr>
                <w:color w:val="auto"/>
                <w:sz w:val="24"/>
              </w:rPr>
              <w:t>项目大气环境影响评价工作等级为</w:t>
            </w:r>
            <w:r>
              <w:rPr>
                <w:rFonts w:hint="eastAsia"/>
                <w:color w:val="auto"/>
                <w:sz w:val="24"/>
              </w:rPr>
              <w:t>二</w:t>
            </w:r>
            <w:r>
              <w:rPr>
                <w:color w:val="auto"/>
                <w:sz w:val="24"/>
              </w:rPr>
              <w:t>级</w:t>
            </w:r>
            <w:r>
              <w:rPr>
                <w:rFonts w:hint="eastAsia"/>
                <w:color w:val="auto"/>
                <w:sz w:val="24"/>
              </w:rPr>
              <w:t>，调查项目所在区域环境质量达标情况；调查评价范围内有环境质量标准的评价因子的环境质量监测数据或进行补充监测，用于评价项目所在区域污染物环境质量现状。</w:t>
            </w:r>
          </w:p>
          <w:p>
            <w:pPr>
              <w:spacing w:line="360" w:lineRule="auto"/>
              <w:ind w:firstLine="482" w:firstLineChars="200"/>
              <w:jc w:val="left"/>
              <w:rPr>
                <w:b/>
                <w:bCs/>
                <w:color w:val="auto"/>
                <w:sz w:val="24"/>
              </w:rPr>
            </w:pPr>
            <w:r>
              <w:rPr>
                <w:rFonts w:hint="eastAsia"/>
                <w:b/>
                <w:bCs/>
                <w:color w:val="auto"/>
                <w:sz w:val="24"/>
              </w:rPr>
              <w:t>（1）空气质量达标区判定</w:t>
            </w:r>
          </w:p>
          <w:p>
            <w:pPr>
              <w:spacing w:line="360" w:lineRule="auto"/>
              <w:ind w:firstLine="480" w:firstLineChars="200"/>
              <w:jc w:val="left"/>
              <w:rPr>
                <w:color w:val="auto"/>
              </w:rPr>
            </w:pPr>
            <w:r>
              <w:rPr>
                <w:color w:val="auto"/>
                <w:sz w:val="24"/>
              </w:rPr>
              <w:t>根据江门市环境保护局官网发布的《2018 年江门市环境质量状况》，</w:t>
            </w:r>
            <w:r>
              <w:rPr>
                <w:rFonts w:hint="eastAsia"/>
                <w:color w:val="auto"/>
                <w:sz w:val="24"/>
              </w:rPr>
              <w:t>江门市</w:t>
            </w:r>
            <w:r>
              <w:rPr>
                <w:color w:val="auto"/>
                <w:sz w:val="24"/>
              </w:rPr>
              <w:t>2018年环境空气质量情况见下表。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江门</w:t>
            </w:r>
            <w:r>
              <w:rPr>
                <w:rFonts w:eastAsia="宋体" w:cs="Times New Roman"/>
                <w:b/>
                <w:color w:val="auto"/>
                <w:sz w:val="21"/>
                <w:szCs w:val="21"/>
              </w:rPr>
              <w:t>市2018年</w:t>
            </w:r>
            <w:r>
              <w:rPr>
                <w:rFonts w:hint="eastAsia" w:eastAsia="宋体" w:cs="Times New Roman"/>
                <w:b/>
                <w:color w:val="auto"/>
                <w:sz w:val="21"/>
                <w:szCs w:val="21"/>
              </w:rPr>
              <w:t>区域空气质量现状评价表</w:t>
            </w:r>
          </w:p>
          <w:tbl>
            <w:tblPr>
              <w:tblStyle w:val="44"/>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2677"/>
              <w:gridCol w:w="1395"/>
              <w:gridCol w:w="1457"/>
              <w:gridCol w:w="1605"/>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b/>
                      <w:bCs/>
                      <w:color w:val="auto"/>
                      <w:szCs w:val="21"/>
                    </w:rPr>
                  </w:pPr>
                  <w:r>
                    <w:rPr>
                      <w:rFonts w:hint="eastAsia"/>
                      <w:b/>
                      <w:bCs/>
                      <w:color w:val="auto"/>
                      <w:szCs w:val="21"/>
                    </w:rPr>
                    <w:t>污染物</w:t>
                  </w:r>
                </w:p>
              </w:tc>
              <w:tc>
                <w:tcPr>
                  <w:tcW w:w="2677" w:type="dxa"/>
                  <w:vAlign w:val="center"/>
                </w:tcPr>
                <w:p>
                  <w:pPr>
                    <w:spacing w:line="360" w:lineRule="auto"/>
                    <w:jc w:val="center"/>
                    <w:rPr>
                      <w:b/>
                      <w:bCs/>
                      <w:color w:val="auto"/>
                      <w:szCs w:val="21"/>
                    </w:rPr>
                  </w:pPr>
                  <w:r>
                    <w:rPr>
                      <w:rFonts w:hint="eastAsia"/>
                      <w:b/>
                      <w:bCs/>
                      <w:color w:val="auto"/>
                      <w:szCs w:val="21"/>
                    </w:rPr>
                    <w:t>年评价指标</w:t>
                  </w:r>
                </w:p>
              </w:tc>
              <w:tc>
                <w:tcPr>
                  <w:tcW w:w="1395" w:type="dxa"/>
                  <w:vAlign w:val="center"/>
                </w:tcPr>
                <w:p>
                  <w:pPr>
                    <w:jc w:val="center"/>
                    <w:rPr>
                      <w:b/>
                      <w:bCs/>
                      <w:color w:val="auto"/>
                      <w:szCs w:val="21"/>
                    </w:rPr>
                  </w:pPr>
                  <w:r>
                    <w:rPr>
                      <w:rFonts w:hint="eastAsia"/>
                      <w:b/>
                      <w:bCs/>
                      <w:color w:val="auto"/>
                      <w:szCs w:val="21"/>
                    </w:rPr>
                    <w:t>现状浓度</w:t>
                  </w:r>
                  <w:r>
                    <w:rPr>
                      <w:b/>
                      <w:color w:val="auto"/>
                      <w:szCs w:val="21"/>
                    </w:rPr>
                    <w:t>（μg/m³）</w:t>
                  </w:r>
                </w:p>
              </w:tc>
              <w:tc>
                <w:tcPr>
                  <w:tcW w:w="1457" w:type="dxa"/>
                  <w:vAlign w:val="center"/>
                </w:tcPr>
                <w:p>
                  <w:pPr>
                    <w:jc w:val="center"/>
                    <w:rPr>
                      <w:b/>
                      <w:bCs/>
                      <w:color w:val="auto"/>
                      <w:szCs w:val="21"/>
                    </w:rPr>
                  </w:pPr>
                  <w:r>
                    <w:rPr>
                      <w:rFonts w:hint="eastAsia"/>
                      <w:b/>
                      <w:bCs/>
                      <w:color w:val="auto"/>
                      <w:szCs w:val="21"/>
                    </w:rPr>
                    <w:t>标准值</w:t>
                  </w:r>
                </w:p>
                <w:p>
                  <w:pPr>
                    <w:jc w:val="center"/>
                    <w:rPr>
                      <w:b/>
                      <w:bCs/>
                      <w:color w:val="auto"/>
                      <w:szCs w:val="21"/>
                    </w:rPr>
                  </w:pPr>
                  <w:r>
                    <w:rPr>
                      <w:b/>
                      <w:color w:val="auto"/>
                      <w:szCs w:val="21"/>
                    </w:rPr>
                    <w:t>（μg/m³）</w:t>
                  </w:r>
                </w:p>
              </w:tc>
              <w:tc>
                <w:tcPr>
                  <w:tcW w:w="1605" w:type="dxa"/>
                  <w:vAlign w:val="center"/>
                </w:tcPr>
                <w:p>
                  <w:pPr>
                    <w:jc w:val="center"/>
                    <w:rPr>
                      <w:b/>
                      <w:bCs/>
                      <w:color w:val="auto"/>
                      <w:szCs w:val="21"/>
                    </w:rPr>
                  </w:pPr>
                  <w:r>
                    <w:rPr>
                      <w:rFonts w:hint="eastAsia"/>
                      <w:b/>
                      <w:bCs/>
                      <w:color w:val="auto"/>
                      <w:szCs w:val="21"/>
                    </w:rPr>
                    <w:t>占标率</w:t>
                  </w:r>
                </w:p>
                <w:p>
                  <w:pPr>
                    <w:jc w:val="center"/>
                    <w:rPr>
                      <w:b/>
                      <w:bCs/>
                      <w:color w:val="auto"/>
                      <w:szCs w:val="21"/>
                    </w:rPr>
                  </w:pPr>
                  <w:r>
                    <w:rPr>
                      <w:rFonts w:hint="eastAsia"/>
                      <w:b/>
                      <w:bCs/>
                      <w:color w:val="auto"/>
                      <w:szCs w:val="21"/>
                    </w:rPr>
                    <w:t>（%）</w:t>
                  </w:r>
                </w:p>
              </w:tc>
              <w:tc>
                <w:tcPr>
                  <w:tcW w:w="1172" w:type="dxa"/>
                  <w:vAlign w:val="center"/>
                </w:tcPr>
                <w:p>
                  <w:pPr>
                    <w:spacing w:line="360" w:lineRule="auto"/>
                    <w:jc w:val="center"/>
                    <w:rPr>
                      <w:b/>
                      <w:bCs/>
                      <w:color w:val="auto"/>
                      <w:szCs w:val="21"/>
                    </w:rPr>
                  </w:pPr>
                  <w:r>
                    <w:rPr>
                      <w:b/>
                      <w:bCs/>
                      <w:color w:val="auto"/>
                      <w:szCs w:val="21"/>
                    </w:rPr>
                    <w:t>达标</w:t>
                  </w:r>
                  <w:r>
                    <w:rPr>
                      <w:rFonts w:hint="eastAsia"/>
                      <w:b/>
                      <w:bCs/>
                      <w:color w:val="auto"/>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rPr>
                  </w:pPr>
                  <w:r>
                    <w:rPr>
                      <w:color w:val="auto"/>
                      <w:szCs w:val="21"/>
                    </w:rPr>
                    <w:t>SO</w:t>
                  </w:r>
                  <w:r>
                    <w:rPr>
                      <w:color w:val="auto"/>
                      <w:szCs w:val="21"/>
                      <w:vertAlign w:val="subscript"/>
                    </w:rPr>
                    <w:t>2</w:t>
                  </w:r>
                </w:p>
              </w:tc>
              <w:tc>
                <w:tcPr>
                  <w:tcW w:w="2677" w:type="dxa"/>
                  <w:vAlign w:val="center"/>
                </w:tcPr>
                <w:p>
                  <w:pPr>
                    <w:spacing w:line="360" w:lineRule="auto"/>
                    <w:jc w:val="center"/>
                    <w:rPr>
                      <w:color w:val="auto"/>
                      <w:szCs w:val="21"/>
                    </w:rPr>
                  </w:pPr>
                  <w:r>
                    <w:rPr>
                      <w:rFonts w:hint="eastAsia"/>
                      <w:color w:val="auto"/>
                      <w:szCs w:val="21"/>
                    </w:rPr>
                    <w:t>年平均质量浓度</w:t>
                  </w:r>
                </w:p>
              </w:tc>
              <w:tc>
                <w:tcPr>
                  <w:tcW w:w="1395" w:type="dxa"/>
                  <w:vAlign w:val="center"/>
                </w:tcPr>
                <w:p>
                  <w:pPr>
                    <w:spacing w:line="360" w:lineRule="auto"/>
                    <w:jc w:val="center"/>
                    <w:rPr>
                      <w:color w:val="auto"/>
                      <w:szCs w:val="21"/>
                    </w:rPr>
                  </w:pPr>
                  <w:r>
                    <w:rPr>
                      <w:rFonts w:hint="eastAsia"/>
                      <w:color w:val="auto"/>
                      <w:szCs w:val="21"/>
                    </w:rPr>
                    <w:t>9</w:t>
                  </w:r>
                </w:p>
              </w:tc>
              <w:tc>
                <w:tcPr>
                  <w:tcW w:w="1457" w:type="dxa"/>
                  <w:vAlign w:val="center"/>
                </w:tcPr>
                <w:p>
                  <w:pPr>
                    <w:spacing w:line="360" w:lineRule="auto"/>
                    <w:jc w:val="center"/>
                    <w:rPr>
                      <w:color w:val="auto"/>
                      <w:szCs w:val="21"/>
                    </w:rPr>
                  </w:pPr>
                  <w:r>
                    <w:rPr>
                      <w:color w:val="auto"/>
                      <w:szCs w:val="21"/>
                    </w:rPr>
                    <w:t>≤60</w:t>
                  </w:r>
                </w:p>
              </w:tc>
              <w:tc>
                <w:tcPr>
                  <w:tcW w:w="1605" w:type="dxa"/>
                  <w:vAlign w:val="center"/>
                </w:tcPr>
                <w:p>
                  <w:pPr>
                    <w:spacing w:line="360" w:lineRule="auto"/>
                    <w:jc w:val="center"/>
                    <w:rPr>
                      <w:color w:val="auto"/>
                      <w:szCs w:val="21"/>
                    </w:rPr>
                  </w:pPr>
                  <w:r>
                    <w:rPr>
                      <w:rFonts w:hint="eastAsia"/>
                      <w:color w:val="auto"/>
                      <w:szCs w:val="21"/>
                    </w:rPr>
                    <w:t>0.15</w:t>
                  </w:r>
                </w:p>
              </w:tc>
              <w:tc>
                <w:tcPr>
                  <w:tcW w:w="1172" w:type="dxa"/>
                  <w:vAlign w:val="center"/>
                </w:tcPr>
                <w:p>
                  <w:pPr>
                    <w:spacing w:line="36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rPr>
                  </w:pPr>
                  <w:r>
                    <w:rPr>
                      <w:color w:val="auto"/>
                      <w:szCs w:val="21"/>
                    </w:rPr>
                    <w:t>NO</w:t>
                  </w:r>
                  <w:r>
                    <w:rPr>
                      <w:color w:val="auto"/>
                      <w:szCs w:val="21"/>
                      <w:vertAlign w:val="subscript"/>
                    </w:rPr>
                    <w:t>2</w:t>
                  </w:r>
                </w:p>
              </w:tc>
              <w:tc>
                <w:tcPr>
                  <w:tcW w:w="2677" w:type="dxa"/>
                  <w:vAlign w:val="center"/>
                </w:tcPr>
                <w:p>
                  <w:pPr>
                    <w:spacing w:line="360" w:lineRule="auto"/>
                    <w:jc w:val="center"/>
                    <w:rPr>
                      <w:color w:val="auto"/>
                      <w:szCs w:val="21"/>
                    </w:rPr>
                  </w:pPr>
                  <w:r>
                    <w:rPr>
                      <w:rFonts w:hint="eastAsia"/>
                      <w:color w:val="auto"/>
                      <w:szCs w:val="21"/>
                    </w:rPr>
                    <w:t>年平均质量浓度</w:t>
                  </w:r>
                </w:p>
              </w:tc>
              <w:tc>
                <w:tcPr>
                  <w:tcW w:w="1395" w:type="dxa"/>
                  <w:vAlign w:val="center"/>
                </w:tcPr>
                <w:p>
                  <w:pPr>
                    <w:spacing w:line="360" w:lineRule="auto"/>
                    <w:jc w:val="center"/>
                    <w:rPr>
                      <w:color w:val="auto"/>
                      <w:szCs w:val="21"/>
                    </w:rPr>
                  </w:pPr>
                  <w:r>
                    <w:rPr>
                      <w:rFonts w:hint="eastAsia"/>
                      <w:color w:val="auto"/>
                      <w:szCs w:val="21"/>
                    </w:rPr>
                    <w:t>35</w:t>
                  </w:r>
                </w:p>
              </w:tc>
              <w:tc>
                <w:tcPr>
                  <w:tcW w:w="1457" w:type="dxa"/>
                  <w:vAlign w:val="center"/>
                </w:tcPr>
                <w:p>
                  <w:pPr>
                    <w:spacing w:line="360" w:lineRule="auto"/>
                    <w:jc w:val="center"/>
                    <w:rPr>
                      <w:color w:val="auto"/>
                      <w:szCs w:val="21"/>
                    </w:rPr>
                  </w:pPr>
                  <w:r>
                    <w:rPr>
                      <w:color w:val="auto"/>
                      <w:szCs w:val="21"/>
                    </w:rPr>
                    <w:t>≤40</w:t>
                  </w:r>
                </w:p>
              </w:tc>
              <w:tc>
                <w:tcPr>
                  <w:tcW w:w="1605" w:type="dxa"/>
                  <w:vAlign w:val="center"/>
                </w:tcPr>
                <w:p>
                  <w:pPr>
                    <w:spacing w:line="360" w:lineRule="auto"/>
                    <w:jc w:val="center"/>
                    <w:rPr>
                      <w:color w:val="auto"/>
                      <w:szCs w:val="21"/>
                    </w:rPr>
                  </w:pPr>
                  <w:r>
                    <w:rPr>
                      <w:rFonts w:hint="eastAsia"/>
                      <w:color w:val="auto"/>
                      <w:szCs w:val="21"/>
                    </w:rPr>
                    <w:t>0.875</w:t>
                  </w:r>
                </w:p>
              </w:tc>
              <w:tc>
                <w:tcPr>
                  <w:tcW w:w="1172" w:type="dxa"/>
                  <w:vAlign w:val="center"/>
                </w:tcPr>
                <w:p>
                  <w:pPr>
                    <w:spacing w:line="36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rPr>
                  </w:pPr>
                  <w:r>
                    <w:rPr>
                      <w:color w:val="auto"/>
                      <w:szCs w:val="21"/>
                    </w:rPr>
                    <w:t>PM</w:t>
                  </w:r>
                  <w:r>
                    <w:rPr>
                      <w:color w:val="auto"/>
                      <w:szCs w:val="21"/>
                      <w:vertAlign w:val="subscript"/>
                    </w:rPr>
                    <w:t>10</w:t>
                  </w:r>
                </w:p>
              </w:tc>
              <w:tc>
                <w:tcPr>
                  <w:tcW w:w="2677" w:type="dxa"/>
                  <w:vAlign w:val="center"/>
                </w:tcPr>
                <w:p>
                  <w:pPr>
                    <w:spacing w:line="360" w:lineRule="auto"/>
                    <w:jc w:val="center"/>
                    <w:rPr>
                      <w:color w:val="auto"/>
                      <w:szCs w:val="21"/>
                    </w:rPr>
                  </w:pPr>
                  <w:r>
                    <w:rPr>
                      <w:rFonts w:hint="eastAsia"/>
                      <w:color w:val="auto"/>
                      <w:szCs w:val="21"/>
                    </w:rPr>
                    <w:t>年平均质量浓度</w:t>
                  </w:r>
                </w:p>
              </w:tc>
              <w:tc>
                <w:tcPr>
                  <w:tcW w:w="1395" w:type="dxa"/>
                  <w:vAlign w:val="center"/>
                </w:tcPr>
                <w:p>
                  <w:pPr>
                    <w:spacing w:line="360" w:lineRule="auto"/>
                    <w:jc w:val="center"/>
                    <w:rPr>
                      <w:color w:val="auto"/>
                      <w:szCs w:val="21"/>
                    </w:rPr>
                  </w:pPr>
                  <w:r>
                    <w:rPr>
                      <w:rFonts w:hint="eastAsia"/>
                      <w:color w:val="auto"/>
                      <w:szCs w:val="21"/>
                    </w:rPr>
                    <w:t>56</w:t>
                  </w:r>
                </w:p>
              </w:tc>
              <w:tc>
                <w:tcPr>
                  <w:tcW w:w="1457" w:type="dxa"/>
                  <w:vAlign w:val="center"/>
                </w:tcPr>
                <w:p>
                  <w:pPr>
                    <w:spacing w:line="360" w:lineRule="auto"/>
                    <w:jc w:val="center"/>
                    <w:rPr>
                      <w:color w:val="auto"/>
                      <w:szCs w:val="21"/>
                    </w:rPr>
                  </w:pPr>
                  <w:r>
                    <w:rPr>
                      <w:color w:val="auto"/>
                      <w:szCs w:val="21"/>
                    </w:rPr>
                    <w:t>≤70</w:t>
                  </w:r>
                </w:p>
              </w:tc>
              <w:tc>
                <w:tcPr>
                  <w:tcW w:w="1605" w:type="dxa"/>
                  <w:vAlign w:val="center"/>
                </w:tcPr>
                <w:p>
                  <w:pPr>
                    <w:spacing w:line="360" w:lineRule="auto"/>
                    <w:jc w:val="center"/>
                    <w:rPr>
                      <w:color w:val="auto"/>
                      <w:szCs w:val="21"/>
                    </w:rPr>
                  </w:pPr>
                  <w:r>
                    <w:rPr>
                      <w:rFonts w:hint="eastAsia"/>
                      <w:color w:val="auto"/>
                      <w:szCs w:val="21"/>
                    </w:rPr>
                    <w:t>0.8</w:t>
                  </w:r>
                </w:p>
              </w:tc>
              <w:tc>
                <w:tcPr>
                  <w:tcW w:w="1172" w:type="dxa"/>
                  <w:vAlign w:val="center"/>
                </w:tcPr>
                <w:p>
                  <w:pPr>
                    <w:spacing w:line="36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rPr>
                  </w:pPr>
                  <w:r>
                    <w:rPr>
                      <w:color w:val="auto"/>
                      <w:szCs w:val="21"/>
                    </w:rPr>
                    <w:t>PM</w:t>
                  </w:r>
                  <w:r>
                    <w:rPr>
                      <w:color w:val="auto"/>
                      <w:szCs w:val="21"/>
                      <w:vertAlign w:val="subscript"/>
                    </w:rPr>
                    <w:t>2.5</w:t>
                  </w:r>
                </w:p>
              </w:tc>
              <w:tc>
                <w:tcPr>
                  <w:tcW w:w="2677" w:type="dxa"/>
                  <w:vAlign w:val="center"/>
                </w:tcPr>
                <w:p>
                  <w:pPr>
                    <w:spacing w:line="360" w:lineRule="auto"/>
                    <w:jc w:val="center"/>
                    <w:rPr>
                      <w:color w:val="auto"/>
                      <w:szCs w:val="21"/>
                    </w:rPr>
                  </w:pPr>
                  <w:r>
                    <w:rPr>
                      <w:rFonts w:hint="eastAsia"/>
                      <w:color w:val="auto"/>
                      <w:szCs w:val="21"/>
                    </w:rPr>
                    <w:t>年平均质量浓度</w:t>
                  </w:r>
                </w:p>
              </w:tc>
              <w:tc>
                <w:tcPr>
                  <w:tcW w:w="1395" w:type="dxa"/>
                  <w:vAlign w:val="center"/>
                </w:tcPr>
                <w:p>
                  <w:pPr>
                    <w:spacing w:line="360" w:lineRule="auto"/>
                    <w:jc w:val="center"/>
                    <w:rPr>
                      <w:color w:val="auto"/>
                      <w:szCs w:val="21"/>
                    </w:rPr>
                  </w:pPr>
                  <w:r>
                    <w:rPr>
                      <w:rFonts w:hint="eastAsia"/>
                      <w:color w:val="auto"/>
                      <w:szCs w:val="21"/>
                    </w:rPr>
                    <w:t>31</w:t>
                  </w:r>
                </w:p>
              </w:tc>
              <w:tc>
                <w:tcPr>
                  <w:tcW w:w="1457" w:type="dxa"/>
                  <w:vAlign w:val="center"/>
                </w:tcPr>
                <w:p>
                  <w:pPr>
                    <w:spacing w:line="360" w:lineRule="auto"/>
                    <w:jc w:val="center"/>
                    <w:rPr>
                      <w:color w:val="auto"/>
                      <w:szCs w:val="21"/>
                    </w:rPr>
                  </w:pPr>
                  <w:r>
                    <w:rPr>
                      <w:color w:val="auto"/>
                      <w:szCs w:val="21"/>
                    </w:rPr>
                    <w:t>≤35</w:t>
                  </w:r>
                </w:p>
              </w:tc>
              <w:tc>
                <w:tcPr>
                  <w:tcW w:w="1605" w:type="dxa"/>
                  <w:vAlign w:val="center"/>
                </w:tcPr>
                <w:p>
                  <w:pPr>
                    <w:spacing w:line="360" w:lineRule="auto"/>
                    <w:jc w:val="center"/>
                    <w:rPr>
                      <w:color w:val="auto"/>
                      <w:szCs w:val="21"/>
                    </w:rPr>
                  </w:pPr>
                  <w:r>
                    <w:rPr>
                      <w:rFonts w:hint="eastAsia"/>
                      <w:color w:val="auto"/>
                      <w:szCs w:val="21"/>
                    </w:rPr>
                    <w:t>0.886</w:t>
                  </w:r>
                </w:p>
              </w:tc>
              <w:tc>
                <w:tcPr>
                  <w:tcW w:w="1172" w:type="dxa"/>
                  <w:vAlign w:val="center"/>
                </w:tcPr>
                <w:p>
                  <w:pPr>
                    <w:spacing w:line="36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vAlign w:val="center"/>
                </w:tcPr>
                <w:p>
                  <w:pPr>
                    <w:spacing w:line="360" w:lineRule="auto"/>
                    <w:jc w:val="center"/>
                    <w:rPr>
                      <w:color w:val="auto"/>
                      <w:szCs w:val="21"/>
                    </w:rPr>
                  </w:pPr>
                  <w:r>
                    <w:rPr>
                      <w:color w:val="auto"/>
                      <w:szCs w:val="21"/>
                    </w:rPr>
                    <w:t>CO</w:t>
                  </w:r>
                </w:p>
              </w:tc>
              <w:tc>
                <w:tcPr>
                  <w:tcW w:w="2677" w:type="dxa"/>
                  <w:vAlign w:val="center"/>
                </w:tcPr>
                <w:p>
                  <w:pPr>
                    <w:spacing w:line="360" w:lineRule="auto"/>
                    <w:jc w:val="center"/>
                    <w:rPr>
                      <w:color w:val="auto"/>
                      <w:szCs w:val="21"/>
                    </w:rPr>
                  </w:pPr>
                  <w:r>
                    <w:rPr>
                      <w:color w:val="auto"/>
                      <w:szCs w:val="21"/>
                    </w:rPr>
                    <w:t>日均值第95百分位数浓度</w:t>
                  </w:r>
                </w:p>
              </w:tc>
              <w:tc>
                <w:tcPr>
                  <w:tcW w:w="1395" w:type="dxa"/>
                  <w:vAlign w:val="center"/>
                </w:tcPr>
                <w:p>
                  <w:pPr>
                    <w:spacing w:line="360" w:lineRule="auto"/>
                    <w:jc w:val="center"/>
                    <w:rPr>
                      <w:color w:val="auto"/>
                      <w:szCs w:val="21"/>
                    </w:rPr>
                  </w:pPr>
                  <w:r>
                    <w:rPr>
                      <w:rFonts w:hint="eastAsia"/>
                      <w:color w:val="auto"/>
                      <w:szCs w:val="21"/>
                    </w:rPr>
                    <w:t>1200</w:t>
                  </w:r>
                </w:p>
              </w:tc>
              <w:tc>
                <w:tcPr>
                  <w:tcW w:w="1457" w:type="dxa"/>
                  <w:vAlign w:val="center"/>
                </w:tcPr>
                <w:p>
                  <w:pPr>
                    <w:spacing w:line="360" w:lineRule="auto"/>
                    <w:jc w:val="center"/>
                    <w:rPr>
                      <w:color w:val="auto"/>
                      <w:szCs w:val="21"/>
                    </w:rPr>
                  </w:pPr>
                  <w:r>
                    <w:rPr>
                      <w:color w:val="auto"/>
                      <w:szCs w:val="21"/>
                    </w:rPr>
                    <w:t>≤4000</w:t>
                  </w:r>
                </w:p>
              </w:tc>
              <w:tc>
                <w:tcPr>
                  <w:tcW w:w="1605" w:type="dxa"/>
                  <w:vAlign w:val="center"/>
                </w:tcPr>
                <w:p>
                  <w:pPr>
                    <w:spacing w:line="360" w:lineRule="auto"/>
                    <w:jc w:val="center"/>
                    <w:rPr>
                      <w:color w:val="auto"/>
                      <w:szCs w:val="21"/>
                    </w:rPr>
                  </w:pPr>
                  <w:r>
                    <w:rPr>
                      <w:rFonts w:hint="eastAsia"/>
                      <w:color w:val="auto"/>
                      <w:szCs w:val="21"/>
                    </w:rPr>
                    <w:t>0.3</w:t>
                  </w:r>
                </w:p>
              </w:tc>
              <w:tc>
                <w:tcPr>
                  <w:tcW w:w="1172" w:type="dxa"/>
                  <w:vAlign w:val="center"/>
                </w:tcPr>
                <w:p>
                  <w:pPr>
                    <w:spacing w:line="360" w:lineRule="auto"/>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974" w:type="dxa"/>
                  <w:vAlign w:val="center"/>
                </w:tcPr>
                <w:p>
                  <w:pPr>
                    <w:spacing w:line="360" w:lineRule="auto"/>
                    <w:jc w:val="center"/>
                    <w:rPr>
                      <w:color w:val="auto"/>
                      <w:szCs w:val="21"/>
                    </w:rPr>
                  </w:pPr>
                  <w:r>
                    <w:rPr>
                      <w:color w:val="auto"/>
                      <w:szCs w:val="21"/>
                    </w:rPr>
                    <w:t>O</w:t>
                  </w:r>
                  <w:r>
                    <w:rPr>
                      <w:color w:val="auto"/>
                      <w:szCs w:val="21"/>
                      <w:vertAlign w:val="subscript"/>
                    </w:rPr>
                    <w:t>3</w:t>
                  </w:r>
                </w:p>
              </w:tc>
              <w:tc>
                <w:tcPr>
                  <w:tcW w:w="2677" w:type="dxa"/>
                  <w:vAlign w:val="center"/>
                </w:tcPr>
                <w:p>
                  <w:pPr>
                    <w:jc w:val="center"/>
                    <w:rPr>
                      <w:color w:val="auto"/>
                      <w:szCs w:val="21"/>
                    </w:rPr>
                  </w:pPr>
                  <w:r>
                    <w:rPr>
                      <w:color w:val="auto"/>
                      <w:szCs w:val="21"/>
                    </w:rPr>
                    <w:t>日最大8小时平均第90百分位数浓度</w:t>
                  </w:r>
                </w:p>
              </w:tc>
              <w:tc>
                <w:tcPr>
                  <w:tcW w:w="1395" w:type="dxa"/>
                  <w:vAlign w:val="center"/>
                </w:tcPr>
                <w:p>
                  <w:pPr>
                    <w:spacing w:line="360" w:lineRule="auto"/>
                    <w:jc w:val="center"/>
                    <w:rPr>
                      <w:color w:val="auto"/>
                      <w:szCs w:val="21"/>
                    </w:rPr>
                  </w:pPr>
                  <w:r>
                    <w:rPr>
                      <w:rFonts w:hint="eastAsia"/>
                      <w:color w:val="auto"/>
                      <w:szCs w:val="21"/>
                    </w:rPr>
                    <w:t>184</w:t>
                  </w:r>
                </w:p>
              </w:tc>
              <w:tc>
                <w:tcPr>
                  <w:tcW w:w="1457" w:type="dxa"/>
                  <w:vAlign w:val="center"/>
                </w:tcPr>
                <w:p>
                  <w:pPr>
                    <w:spacing w:line="360" w:lineRule="auto"/>
                    <w:jc w:val="center"/>
                    <w:rPr>
                      <w:color w:val="auto"/>
                      <w:szCs w:val="21"/>
                    </w:rPr>
                  </w:pPr>
                  <w:r>
                    <w:rPr>
                      <w:color w:val="auto"/>
                      <w:szCs w:val="21"/>
                    </w:rPr>
                    <w:t>≤160</w:t>
                  </w:r>
                </w:p>
              </w:tc>
              <w:tc>
                <w:tcPr>
                  <w:tcW w:w="1605" w:type="dxa"/>
                  <w:vAlign w:val="center"/>
                </w:tcPr>
                <w:p>
                  <w:pPr>
                    <w:spacing w:line="360" w:lineRule="auto"/>
                    <w:jc w:val="center"/>
                    <w:rPr>
                      <w:color w:val="auto"/>
                      <w:szCs w:val="21"/>
                    </w:rPr>
                  </w:pPr>
                  <w:r>
                    <w:rPr>
                      <w:rFonts w:hint="eastAsia"/>
                      <w:color w:val="auto"/>
                      <w:szCs w:val="21"/>
                    </w:rPr>
                    <w:t>1.15</w:t>
                  </w:r>
                </w:p>
              </w:tc>
              <w:tc>
                <w:tcPr>
                  <w:tcW w:w="1172" w:type="dxa"/>
                  <w:vAlign w:val="center"/>
                </w:tcPr>
                <w:p>
                  <w:pPr>
                    <w:spacing w:line="360" w:lineRule="auto"/>
                    <w:jc w:val="center"/>
                    <w:rPr>
                      <w:color w:val="auto"/>
                      <w:szCs w:val="21"/>
                    </w:rPr>
                  </w:pPr>
                  <w:r>
                    <w:rPr>
                      <w:rFonts w:hint="eastAsia"/>
                      <w:color w:val="auto"/>
                      <w:szCs w:val="21"/>
                    </w:rPr>
                    <w:t>不</w:t>
                  </w:r>
                  <w:r>
                    <w:rPr>
                      <w:color w:val="auto"/>
                      <w:szCs w:val="21"/>
                    </w:rPr>
                    <w:t>达标</w:t>
                  </w:r>
                </w:p>
              </w:tc>
            </w:tr>
          </w:tbl>
          <w:p>
            <w:pPr>
              <w:spacing w:line="360" w:lineRule="auto"/>
              <w:ind w:firstLine="480" w:firstLineChars="200"/>
              <w:jc w:val="left"/>
              <w:rPr>
                <w:color w:val="auto"/>
                <w:sz w:val="24"/>
              </w:rPr>
            </w:pPr>
            <w:r>
              <w:rPr>
                <w:rFonts w:hint="eastAsia" w:ascii="宋体" w:hAnsi="宋体"/>
                <w:color w:val="auto"/>
                <w:sz w:val="24"/>
              </w:rPr>
              <w:t>由上表可见，该地区</w:t>
            </w:r>
            <w:r>
              <w:rPr>
                <w:rFonts w:hint="eastAsia" w:ascii="TimesNewRomanPSMT" w:hAnsi="TimesNewRomanPSMT" w:eastAsia="TimesNewRomanPSMT"/>
                <w:color w:val="auto"/>
                <w:sz w:val="24"/>
              </w:rPr>
              <w:t>SO</w:t>
            </w:r>
            <w:r>
              <w:rPr>
                <w:rFonts w:hint="eastAsia" w:ascii="TimesNewRomanPSMT" w:hAnsi="TimesNewRomanPSMT" w:eastAsia="TimesNewRomanPSMT"/>
                <w:color w:val="auto"/>
                <w:sz w:val="16"/>
              </w:rPr>
              <w:t>2</w:t>
            </w:r>
            <w:r>
              <w:rPr>
                <w:rFonts w:hint="eastAsia" w:ascii="宋体" w:hAnsi="宋体"/>
                <w:color w:val="auto"/>
                <w:sz w:val="24"/>
              </w:rPr>
              <w:t>、</w:t>
            </w:r>
            <w:r>
              <w:rPr>
                <w:rFonts w:hint="eastAsia" w:ascii="TimesNewRomanPSMT" w:hAnsi="TimesNewRomanPSMT" w:eastAsia="TimesNewRomanPSMT"/>
                <w:color w:val="auto"/>
                <w:sz w:val="24"/>
              </w:rPr>
              <w:t>NO</w:t>
            </w:r>
            <w:r>
              <w:rPr>
                <w:rFonts w:hint="eastAsia" w:ascii="TimesNewRomanPSMT" w:hAnsi="TimesNewRomanPSMT" w:eastAsia="TimesNewRomanPSMT"/>
                <w:color w:val="auto"/>
                <w:sz w:val="16"/>
              </w:rPr>
              <w:t>2</w:t>
            </w:r>
            <w:r>
              <w:rPr>
                <w:rFonts w:hint="eastAsia" w:ascii="宋体" w:hAnsi="宋体"/>
                <w:color w:val="auto"/>
                <w:sz w:val="24"/>
              </w:rPr>
              <w:t>、</w:t>
            </w:r>
            <w:r>
              <w:rPr>
                <w:rFonts w:hint="eastAsia" w:ascii="TimesNewRomanPSMT" w:hAnsi="TimesNewRomanPSMT" w:eastAsia="TimesNewRomanPSMT"/>
                <w:color w:val="auto"/>
                <w:sz w:val="24"/>
              </w:rPr>
              <w:t>PM</w:t>
            </w:r>
            <w:r>
              <w:rPr>
                <w:rFonts w:hint="eastAsia" w:ascii="TimesNewRomanPSMT" w:hAnsi="TimesNewRomanPSMT" w:eastAsia="TimesNewRomanPSMT"/>
                <w:color w:val="auto"/>
                <w:sz w:val="16"/>
              </w:rPr>
              <w:t xml:space="preserve">10 </w:t>
            </w:r>
            <w:r>
              <w:rPr>
                <w:rFonts w:hint="eastAsia" w:ascii="宋体" w:hAnsi="宋体"/>
                <w:color w:val="auto"/>
                <w:sz w:val="24"/>
              </w:rPr>
              <w:t>、</w:t>
            </w:r>
            <w:r>
              <w:rPr>
                <w:rFonts w:hint="eastAsia" w:ascii="TimesNewRomanPSMT" w:hAnsi="TimesNewRomanPSMT" w:eastAsia="TimesNewRomanPSMT"/>
                <w:color w:val="auto"/>
                <w:sz w:val="24"/>
              </w:rPr>
              <w:t>PM</w:t>
            </w:r>
            <w:r>
              <w:rPr>
                <w:rFonts w:hint="eastAsia" w:ascii="TimesNewRomanPSMT" w:hAnsi="TimesNewRomanPSMT" w:eastAsia="TimesNewRomanPSMT"/>
                <w:color w:val="auto"/>
                <w:sz w:val="16"/>
              </w:rPr>
              <w:t xml:space="preserve">2.5 </w:t>
            </w:r>
            <w:r>
              <w:rPr>
                <w:rFonts w:hint="eastAsia"/>
                <w:color w:val="auto"/>
                <w:sz w:val="24"/>
              </w:rPr>
              <w:t>年平均质量浓度</w:t>
            </w:r>
            <w:r>
              <w:rPr>
                <w:rFonts w:hint="eastAsia" w:ascii="宋体" w:hAnsi="宋体"/>
                <w:color w:val="auto"/>
                <w:sz w:val="24"/>
              </w:rPr>
              <w:t>以及</w:t>
            </w:r>
            <w:r>
              <w:rPr>
                <w:rFonts w:hint="eastAsia" w:ascii="TimesNewRomanPSMT" w:hAnsi="TimesNewRomanPSMT" w:eastAsia="TimesNewRomanPSMT"/>
                <w:color w:val="auto"/>
                <w:sz w:val="24"/>
              </w:rPr>
              <w:t>CO日均值第95百分位数浓度</w:t>
            </w:r>
            <w:r>
              <w:rPr>
                <w:rFonts w:hint="eastAsia" w:ascii="宋体" w:hAnsi="宋体"/>
                <w:color w:val="auto"/>
                <w:sz w:val="24"/>
              </w:rPr>
              <w:t>均满足《环境空气质量标准》（</w:t>
            </w:r>
            <w:r>
              <w:rPr>
                <w:rFonts w:hint="eastAsia" w:ascii="TimesNewRomanPSMT" w:hAnsi="TimesNewRomanPSMT" w:eastAsia="TimesNewRomanPSMT"/>
                <w:color w:val="auto"/>
                <w:sz w:val="24"/>
              </w:rPr>
              <w:t>GB3095-2012</w:t>
            </w:r>
            <w:r>
              <w:rPr>
                <w:rFonts w:hint="eastAsia" w:ascii="宋体" w:hAnsi="宋体"/>
                <w:color w:val="auto"/>
                <w:sz w:val="24"/>
              </w:rPr>
              <w:t>）及</w:t>
            </w:r>
            <w:r>
              <w:rPr>
                <w:rFonts w:hint="eastAsia" w:ascii="TimesNewRomanPSMT" w:hAnsi="TimesNewRomanPSMT" w:eastAsia="TimesNewRomanPSMT"/>
                <w:color w:val="auto"/>
                <w:sz w:val="24"/>
              </w:rPr>
              <w:t>”2018</w:t>
            </w:r>
            <w:r>
              <w:rPr>
                <w:rFonts w:hint="eastAsia" w:ascii="宋体" w:hAnsi="宋体"/>
                <w:color w:val="auto"/>
                <w:sz w:val="24"/>
              </w:rPr>
              <w:t>修改单</w:t>
            </w:r>
            <w:r>
              <w:rPr>
                <w:rFonts w:hint="eastAsia" w:ascii="TimesNewRomanPSMT" w:hAnsi="TimesNewRomanPSMT" w:eastAsia="TimesNewRomanPSMT"/>
                <w:color w:val="auto"/>
                <w:sz w:val="24"/>
              </w:rPr>
              <w:t>”</w:t>
            </w:r>
            <w:r>
              <w:rPr>
                <w:rFonts w:hint="eastAsia" w:ascii="宋体" w:hAnsi="宋体"/>
                <w:color w:val="auto"/>
                <w:sz w:val="24"/>
              </w:rPr>
              <w:t>二级标准要求，</w:t>
            </w:r>
            <w:r>
              <w:rPr>
                <w:color w:val="auto"/>
                <w:sz w:val="24"/>
              </w:rPr>
              <w:t>O</w:t>
            </w:r>
            <w:r>
              <w:rPr>
                <w:color w:val="auto"/>
                <w:sz w:val="24"/>
                <w:vertAlign w:val="subscript"/>
              </w:rPr>
              <w:t>3</w:t>
            </w:r>
            <w:r>
              <w:rPr>
                <w:rFonts w:hint="eastAsia" w:ascii="宋体" w:hAnsi="宋体"/>
                <w:color w:val="auto"/>
                <w:sz w:val="24"/>
              </w:rPr>
              <w:t>日最大</w:t>
            </w:r>
            <w:r>
              <w:rPr>
                <w:rFonts w:hint="eastAsia" w:ascii="TimesNewRomanPSMT" w:hAnsi="TimesNewRomanPSMT" w:eastAsia="TimesNewRomanPSMT"/>
                <w:color w:val="auto"/>
                <w:sz w:val="24"/>
              </w:rPr>
              <w:t>8</w:t>
            </w:r>
            <w:r>
              <w:rPr>
                <w:rFonts w:hint="eastAsia" w:ascii="宋体" w:hAnsi="宋体"/>
                <w:color w:val="auto"/>
                <w:sz w:val="24"/>
              </w:rPr>
              <w:t>小时平均第</w:t>
            </w:r>
            <w:r>
              <w:rPr>
                <w:rFonts w:hint="eastAsia" w:ascii="TimesNewRomanPSMT" w:hAnsi="TimesNewRomanPSMT" w:eastAsia="TimesNewRomanPSMT"/>
                <w:color w:val="auto"/>
                <w:sz w:val="24"/>
              </w:rPr>
              <w:t>90</w:t>
            </w:r>
            <w:r>
              <w:rPr>
                <w:rFonts w:hint="eastAsia" w:ascii="宋体" w:hAnsi="宋体"/>
                <w:color w:val="auto"/>
                <w:sz w:val="24"/>
              </w:rPr>
              <w:t>百分位数不能满足《环境空气质量标准》（</w:t>
            </w:r>
            <w:r>
              <w:rPr>
                <w:rFonts w:hint="eastAsia" w:ascii="TimesNewRomanPSMT" w:hAnsi="TimesNewRomanPSMT" w:eastAsia="TimesNewRomanPSMT"/>
                <w:color w:val="auto"/>
                <w:sz w:val="24"/>
              </w:rPr>
              <w:t>GB3095-2012</w:t>
            </w:r>
            <w:r>
              <w:rPr>
                <w:rFonts w:hint="eastAsia" w:ascii="宋体" w:hAnsi="宋体"/>
                <w:color w:val="auto"/>
                <w:sz w:val="24"/>
              </w:rPr>
              <w:t>）及</w:t>
            </w:r>
            <w:r>
              <w:rPr>
                <w:rFonts w:hint="eastAsia" w:ascii="TimesNewRomanPSMT" w:hAnsi="TimesNewRomanPSMT" w:eastAsia="TimesNewRomanPSMT"/>
                <w:color w:val="auto"/>
                <w:sz w:val="24"/>
              </w:rPr>
              <w:t>”2018</w:t>
            </w:r>
            <w:r>
              <w:rPr>
                <w:rFonts w:hint="eastAsia" w:ascii="宋体" w:hAnsi="宋体"/>
                <w:color w:val="auto"/>
                <w:sz w:val="24"/>
              </w:rPr>
              <w:t>修改单</w:t>
            </w:r>
            <w:r>
              <w:rPr>
                <w:rFonts w:hint="eastAsia" w:ascii="TimesNewRomanPSMT" w:hAnsi="TimesNewRomanPSMT" w:eastAsia="TimesNewRomanPSMT"/>
                <w:color w:val="auto"/>
                <w:sz w:val="24"/>
              </w:rPr>
              <w:t>”</w:t>
            </w:r>
            <w:r>
              <w:rPr>
                <w:rFonts w:hint="eastAsia" w:ascii="宋体" w:hAnsi="宋体"/>
                <w:color w:val="auto"/>
                <w:sz w:val="24"/>
              </w:rPr>
              <w:t>二级标准要求，</w:t>
            </w:r>
            <w:r>
              <w:rPr>
                <w:rFonts w:hint="eastAsia" w:ascii="宋体" w:hAnsi="宋体"/>
                <w:bCs/>
                <w:color w:val="auto"/>
                <w:sz w:val="24"/>
              </w:rPr>
              <w:t>故该区域为环境空气质量不达标区域。</w:t>
            </w:r>
          </w:p>
          <w:p>
            <w:pPr>
              <w:pStyle w:val="4"/>
              <w:ind w:firstLine="482" w:firstLineChars="200"/>
              <w:rPr>
                <w:rFonts w:ascii="Times New Roman"/>
                <w:b/>
                <w:bCs/>
                <w:color w:val="auto"/>
                <w:sz w:val="24"/>
              </w:rPr>
            </w:pPr>
            <w:r>
              <w:rPr>
                <w:rFonts w:hint="eastAsia" w:ascii="Times New Roman"/>
                <w:b/>
                <w:bCs/>
                <w:color w:val="auto"/>
                <w:sz w:val="24"/>
              </w:rPr>
              <w:t>（2）基本污染物环境质量现状</w:t>
            </w:r>
          </w:p>
          <w:p>
            <w:pPr>
              <w:pStyle w:val="4"/>
              <w:spacing w:line="360" w:lineRule="auto"/>
              <w:ind w:firstLine="480" w:firstLineChars="200"/>
              <w:rPr>
                <w:rFonts w:ascii="Times New Roman"/>
                <w:color w:val="auto"/>
                <w:sz w:val="24"/>
              </w:rPr>
            </w:pPr>
            <w:r>
              <w:rPr>
                <w:rFonts w:ascii="Times New Roman"/>
                <w:color w:val="auto"/>
                <w:sz w:val="24"/>
              </w:rPr>
              <w:t>根据江门市环境保护局官网发布的《2018 年江门市环境质量状况》，</w:t>
            </w:r>
            <w:r>
              <w:rPr>
                <w:rFonts w:hint="eastAsia" w:ascii="Times New Roman"/>
                <w:color w:val="auto"/>
                <w:sz w:val="24"/>
              </w:rPr>
              <w:t>开平市</w:t>
            </w:r>
            <w:r>
              <w:rPr>
                <w:rFonts w:ascii="Times New Roman"/>
                <w:color w:val="auto"/>
                <w:sz w:val="24"/>
              </w:rPr>
              <w:t>SO</w:t>
            </w:r>
            <w:r>
              <w:rPr>
                <w:rFonts w:ascii="Times New Roman"/>
                <w:color w:val="auto"/>
                <w:sz w:val="24"/>
                <w:vertAlign w:val="subscript"/>
              </w:rPr>
              <w:t>2</w:t>
            </w:r>
            <w:r>
              <w:rPr>
                <w:rFonts w:ascii="Times New Roman"/>
                <w:color w:val="auto"/>
                <w:sz w:val="24"/>
              </w:rPr>
              <w:t>、NO</w:t>
            </w:r>
            <w:r>
              <w:rPr>
                <w:rFonts w:ascii="Times New Roman"/>
                <w:color w:val="auto"/>
                <w:sz w:val="24"/>
                <w:vertAlign w:val="subscript"/>
              </w:rPr>
              <w:t>2</w:t>
            </w:r>
            <w:r>
              <w:rPr>
                <w:rFonts w:ascii="Times New Roman"/>
                <w:color w:val="auto"/>
                <w:sz w:val="24"/>
              </w:rPr>
              <w:t>、PM</w:t>
            </w:r>
            <w:r>
              <w:rPr>
                <w:rFonts w:ascii="Times New Roman"/>
                <w:color w:val="auto"/>
                <w:sz w:val="24"/>
                <w:vertAlign w:val="subscript"/>
              </w:rPr>
              <w:t>10</w:t>
            </w:r>
            <w:r>
              <w:rPr>
                <w:rFonts w:ascii="Times New Roman"/>
                <w:color w:val="auto"/>
                <w:sz w:val="24"/>
              </w:rPr>
              <w:t xml:space="preserve"> 、PM</w:t>
            </w:r>
            <w:r>
              <w:rPr>
                <w:rFonts w:ascii="Times New Roman"/>
                <w:color w:val="auto"/>
                <w:sz w:val="24"/>
                <w:vertAlign w:val="subscript"/>
              </w:rPr>
              <w:t>2.5</w:t>
            </w:r>
            <w:r>
              <w:rPr>
                <w:rFonts w:ascii="Times New Roman"/>
                <w:color w:val="auto"/>
                <w:sz w:val="24"/>
              </w:rPr>
              <w:t>、CO和O</w:t>
            </w:r>
            <w:r>
              <w:rPr>
                <w:rFonts w:ascii="Times New Roman"/>
                <w:color w:val="auto"/>
                <w:sz w:val="24"/>
                <w:vertAlign w:val="subscript"/>
              </w:rPr>
              <w:t>3</w:t>
            </w:r>
            <w:r>
              <w:rPr>
                <w:rFonts w:ascii="Times New Roman"/>
                <w:color w:val="auto"/>
                <w:sz w:val="24"/>
              </w:rPr>
              <w:t xml:space="preserve"> </w:t>
            </w:r>
            <w:r>
              <w:rPr>
                <w:rFonts w:hint="eastAsia" w:ascii="Times New Roman"/>
                <w:color w:val="auto"/>
                <w:sz w:val="24"/>
              </w:rPr>
              <w:t>六项基本污染物环境质量现状数据见下表。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基本污染物环境质量现状</w:t>
            </w:r>
          </w:p>
          <w:tbl>
            <w:tblPr>
              <w:tblStyle w:val="44"/>
              <w:tblW w:w="94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
              <w:gridCol w:w="896"/>
              <w:gridCol w:w="2594"/>
              <w:gridCol w:w="1151"/>
              <w:gridCol w:w="1340"/>
              <w:gridCol w:w="1476"/>
              <w:gridCol w:w="1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96" w:type="dxa"/>
                  <w:vAlign w:val="center"/>
                </w:tcPr>
                <w:p>
                  <w:pPr>
                    <w:jc w:val="center"/>
                    <w:rPr>
                      <w:b/>
                      <w:bCs/>
                      <w:color w:val="auto"/>
                      <w:szCs w:val="21"/>
                    </w:rPr>
                  </w:pPr>
                  <w:r>
                    <w:rPr>
                      <w:rFonts w:hint="eastAsia"/>
                      <w:b/>
                      <w:bCs/>
                      <w:color w:val="auto"/>
                      <w:szCs w:val="21"/>
                    </w:rPr>
                    <w:t>监测点名称</w:t>
                  </w:r>
                </w:p>
              </w:tc>
              <w:tc>
                <w:tcPr>
                  <w:tcW w:w="896" w:type="dxa"/>
                  <w:vAlign w:val="center"/>
                </w:tcPr>
                <w:p>
                  <w:pPr>
                    <w:jc w:val="center"/>
                    <w:rPr>
                      <w:b/>
                      <w:bCs/>
                      <w:color w:val="auto"/>
                      <w:szCs w:val="21"/>
                    </w:rPr>
                  </w:pPr>
                  <w:r>
                    <w:rPr>
                      <w:rFonts w:hint="eastAsia"/>
                      <w:b/>
                      <w:bCs/>
                      <w:color w:val="auto"/>
                      <w:szCs w:val="21"/>
                    </w:rPr>
                    <w:t>污染物</w:t>
                  </w:r>
                </w:p>
              </w:tc>
              <w:tc>
                <w:tcPr>
                  <w:tcW w:w="2594" w:type="dxa"/>
                  <w:vAlign w:val="center"/>
                </w:tcPr>
                <w:p>
                  <w:pPr>
                    <w:jc w:val="center"/>
                    <w:rPr>
                      <w:b/>
                      <w:bCs/>
                      <w:color w:val="auto"/>
                      <w:szCs w:val="21"/>
                    </w:rPr>
                  </w:pPr>
                  <w:r>
                    <w:rPr>
                      <w:rFonts w:hint="eastAsia"/>
                      <w:b/>
                      <w:bCs/>
                      <w:color w:val="auto"/>
                      <w:szCs w:val="21"/>
                    </w:rPr>
                    <w:t>年评价指标</w:t>
                  </w:r>
                </w:p>
              </w:tc>
              <w:tc>
                <w:tcPr>
                  <w:tcW w:w="1151" w:type="dxa"/>
                  <w:vAlign w:val="center"/>
                </w:tcPr>
                <w:p>
                  <w:pPr>
                    <w:jc w:val="center"/>
                    <w:rPr>
                      <w:b/>
                      <w:bCs/>
                      <w:color w:val="auto"/>
                      <w:szCs w:val="21"/>
                    </w:rPr>
                  </w:pPr>
                  <w:r>
                    <w:rPr>
                      <w:rFonts w:hint="eastAsia"/>
                      <w:b/>
                      <w:bCs/>
                      <w:color w:val="auto"/>
                      <w:szCs w:val="21"/>
                    </w:rPr>
                    <w:t>现状浓度</w:t>
                  </w:r>
                  <w:r>
                    <w:rPr>
                      <w:b/>
                      <w:color w:val="auto"/>
                      <w:szCs w:val="21"/>
                    </w:rPr>
                    <w:t>（μg/m³）</w:t>
                  </w:r>
                </w:p>
              </w:tc>
              <w:tc>
                <w:tcPr>
                  <w:tcW w:w="1340" w:type="dxa"/>
                  <w:vAlign w:val="center"/>
                </w:tcPr>
                <w:p>
                  <w:pPr>
                    <w:jc w:val="center"/>
                    <w:rPr>
                      <w:b/>
                      <w:bCs/>
                      <w:color w:val="auto"/>
                      <w:szCs w:val="21"/>
                    </w:rPr>
                  </w:pPr>
                  <w:r>
                    <w:rPr>
                      <w:rFonts w:hint="eastAsia"/>
                      <w:b/>
                      <w:bCs/>
                      <w:color w:val="auto"/>
                      <w:szCs w:val="21"/>
                    </w:rPr>
                    <w:t>标准值</w:t>
                  </w:r>
                </w:p>
                <w:p>
                  <w:pPr>
                    <w:jc w:val="center"/>
                    <w:rPr>
                      <w:b/>
                      <w:bCs/>
                      <w:color w:val="auto"/>
                      <w:szCs w:val="21"/>
                    </w:rPr>
                  </w:pPr>
                  <w:r>
                    <w:rPr>
                      <w:b/>
                      <w:color w:val="auto"/>
                      <w:szCs w:val="21"/>
                    </w:rPr>
                    <w:t>（μg/m³）</w:t>
                  </w:r>
                </w:p>
              </w:tc>
              <w:tc>
                <w:tcPr>
                  <w:tcW w:w="1476" w:type="dxa"/>
                  <w:vAlign w:val="center"/>
                </w:tcPr>
                <w:p>
                  <w:pPr>
                    <w:jc w:val="center"/>
                    <w:rPr>
                      <w:b/>
                      <w:bCs/>
                      <w:color w:val="auto"/>
                      <w:szCs w:val="21"/>
                    </w:rPr>
                  </w:pPr>
                  <w:r>
                    <w:rPr>
                      <w:rFonts w:hint="eastAsia"/>
                      <w:b/>
                      <w:bCs/>
                      <w:color w:val="auto"/>
                      <w:szCs w:val="21"/>
                    </w:rPr>
                    <w:t>占标率</w:t>
                  </w:r>
                </w:p>
                <w:p>
                  <w:pPr>
                    <w:jc w:val="center"/>
                    <w:rPr>
                      <w:b/>
                      <w:bCs/>
                      <w:color w:val="auto"/>
                      <w:szCs w:val="21"/>
                    </w:rPr>
                  </w:pPr>
                  <w:r>
                    <w:rPr>
                      <w:rFonts w:hint="eastAsia"/>
                      <w:b/>
                      <w:bCs/>
                      <w:color w:val="auto"/>
                      <w:szCs w:val="21"/>
                    </w:rPr>
                    <w:t>（%）</w:t>
                  </w:r>
                </w:p>
              </w:tc>
              <w:tc>
                <w:tcPr>
                  <w:tcW w:w="1078" w:type="dxa"/>
                  <w:vAlign w:val="center"/>
                </w:tcPr>
                <w:p>
                  <w:pPr>
                    <w:jc w:val="center"/>
                    <w:rPr>
                      <w:b/>
                      <w:bCs/>
                      <w:color w:val="auto"/>
                      <w:szCs w:val="21"/>
                    </w:rPr>
                  </w:pPr>
                  <w:r>
                    <w:rPr>
                      <w:b/>
                      <w:bCs/>
                      <w:color w:val="auto"/>
                      <w:szCs w:val="21"/>
                    </w:rPr>
                    <w:t>达标</w:t>
                  </w:r>
                  <w:r>
                    <w:rPr>
                      <w:rFonts w:hint="eastAsia"/>
                      <w:b/>
                      <w:bCs/>
                      <w:color w:val="auto"/>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896" w:type="dxa"/>
                  <w:vMerge w:val="restart"/>
                  <w:vAlign w:val="center"/>
                </w:tcPr>
                <w:p>
                  <w:pPr>
                    <w:jc w:val="center"/>
                    <w:rPr>
                      <w:color w:val="auto"/>
                      <w:szCs w:val="21"/>
                    </w:rPr>
                  </w:pPr>
                  <w:r>
                    <w:rPr>
                      <w:rFonts w:hint="eastAsia"/>
                      <w:color w:val="auto"/>
                      <w:szCs w:val="21"/>
                    </w:rPr>
                    <w:t>开平市气象站</w:t>
                  </w:r>
                </w:p>
              </w:tc>
              <w:tc>
                <w:tcPr>
                  <w:tcW w:w="896" w:type="dxa"/>
                  <w:vAlign w:val="center"/>
                </w:tcPr>
                <w:p>
                  <w:pPr>
                    <w:jc w:val="center"/>
                    <w:rPr>
                      <w:color w:val="auto"/>
                      <w:szCs w:val="21"/>
                    </w:rPr>
                  </w:pPr>
                  <w:r>
                    <w:rPr>
                      <w:color w:val="auto"/>
                      <w:szCs w:val="21"/>
                    </w:rPr>
                    <w:t>SO</w:t>
                  </w:r>
                  <w:r>
                    <w:rPr>
                      <w:color w:val="auto"/>
                      <w:szCs w:val="21"/>
                      <w:vertAlign w:val="subscript"/>
                    </w:rPr>
                    <w:t>2</w:t>
                  </w:r>
                </w:p>
              </w:tc>
              <w:tc>
                <w:tcPr>
                  <w:tcW w:w="2594" w:type="dxa"/>
                  <w:vAlign w:val="center"/>
                </w:tcPr>
                <w:p>
                  <w:pPr>
                    <w:jc w:val="center"/>
                    <w:rPr>
                      <w:color w:val="auto"/>
                      <w:szCs w:val="21"/>
                    </w:rPr>
                  </w:pPr>
                  <w:r>
                    <w:rPr>
                      <w:rFonts w:hint="eastAsia"/>
                      <w:color w:val="auto"/>
                      <w:szCs w:val="21"/>
                    </w:rPr>
                    <w:t>年平均质量浓度</w:t>
                  </w:r>
                </w:p>
              </w:tc>
              <w:tc>
                <w:tcPr>
                  <w:tcW w:w="1151" w:type="dxa"/>
                  <w:vAlign w:val="center"/>
                </w:tcPr>
                <w:p>
                  <w:pPr>
                    <w:jc w:val="center"/>
                    <w:rPr>
                      <w:color w:val="auto"/>
                      <w:szCs w:val="21"/>
                    </w:rPr>
                  </w:pPr>
                  <w:r>
                    <w:rPr>
                      <w:rFonts w:hint="eastAsia"/>
                      <w:color w:val="auto"/>
                      <w:szCs w:val="21"/>
                    </w:rPr>
                    <w:t>11</w:t>
                  </w:r>
                </w:p>
              </w:tc>
              <w:tc>
                <w:tcPr>
                  <w:tcW w:w="1340" w:type="dxa"/>
                  <w:vAlign w:val="center"/>
                </w:tcPr>
                <w:p>
                  <w:pPr>
                    <w:jc w:val="center"/>
                    <w:rPr>
                      <w:color w:val="auto"/>
                      <w:szCs w:val="21"/>
                    </w:rPr>
                  </w:pPr>
                  <w:r>
                    <w:rPr>
                      <w:color w:val="auto"/>
                      <w:szCs w:val="21"/>
                    </w:rPr>
                    <w:t>≤60</w:t>
                  </w:r>
                </w:p>
              </w:tc>
              <w:tc>
                <w:tcPr>
                  <w:tcW w:w="1476" w:type="dxa"/>
                  <w:vAlign w:val="center"/>
                </w:tcPr>
                <w:p>
                  <w:pPr>
                    <w:jc w:val="center"/>
                    <w:rPr>
                      <w:color w:val="auto"/>
                      <w:szCs w:val="21"/>
                    </w:rPr>
                  </w:pPr>
                  <w:r>
                    <w:rPr>
                      <w:rFonts w:hint="eastAsia"/>
                      <w:color w:val="auto"/>
                      <w:szCs w:val="21"/>
                    </w:rPr>
                    <w:t>18.3</w:t>
                  </w:r>
                </w:p>
              </w:tc>
              <w:tc>
                <w:tcPr>
                  <w:tcW w:w="1078" w:type="dxa"/>
                  <w:vAlign w:val="center"/>
                </w:tcPr>
                <w:p>
                  <w:pPr>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96" w:type="dxa"/>
                  <w:vMerge w:val="continue"/>
                  <w:vAlign w:val="center"/>
                </w:tcPr>
                <w:p>
                  <w:pPr>
                    <w:jc w:val="center"/>
                    <w:rPr>
                      <w:color w:val="auto"/>
                      <w:szCs w:val="21"/>
                    </w:rPr>
                  </w:pPr>
                </w:p>
              </w:tc>
              <w:tc>
                <w:tcPr>
                  <w:tcW w:w="896" w:type="dxa"/>
                  <w:vAlign w:val="center"/>
                </w:tcPr>
                <w:p>
                  <w:pPr>
                    <w:jc w:val="center"/>
                    <w:rPr>
                      <w:color w:val="auto"/>
                      <w:szCs w:val="21"/>
                    </w:rPr>
                  </w:pPr>
                  <w:r>
                    <w:rPr>
                      <w:color w:val="auto"/>
                      <w:szCs w:val="21"/>
                    </w:rPr>
                    <w:t>NO</w:t>
                  </w:r>
                  <w:r>
                    <w:rPr>
                      <w:color w:val="auto"/>
                      <w:szCs w:val="21"/>
                      <w:vertAlign w:val="subscript"/>
                    </w:rPr>
                    <w:t>2</w:t>
                  </w:r>
                </w:p>
              </w:tc>
              <w:tc>
                <w:tcPr>
                  <w:tcW w:w="2594" w:type="dxa"/>
                  <w:vAlign w:val="center"/>
                </w:tcPr>
                <w:p>
                  <w:pPr>
                    <w:jc w:val="center"/>
                    <w:rPr>
                      <w:color w:val="auto"/>
                      <w:szCs w:val="21"/>
                    </w:rPr>
                  </w:pPr>
                  <w:r>
                    <w:rPr>
                      <w:rFonts w:hint="eastAsia"/>
                      <w:color w:val="auto"/>
                      <w:szCs w:val="21"/>
                    </w:rPr>
                    <w:t>年平均质量浓度</w:t>
                  </w:r>
                </w:p>
              </w:tc>
              <w:tc>
                <w:tcPr>
                  <w:tcW w:w="1151" w:type="dxa"/>
                  <w:vAlign w:val="center"/>
                </w:tcPr>
                <w:p>
                  <w:pPr>
                    <w:jc w:val="center"/>
                    <w:rPr>
                      <w:color w:val="auto"/>
                      <w:szCs w:val="21"/>
                    </w:rPr>
                  </w:pPr>
                  <w:r>
                    <w:rPr>
                      <w:rFonts w:hint="eastAsia"/>
                      <w:color w:val="auto"/>
                      <w:szCs w:val="21"/>
                    </w:rPr>
                    <w:t>25</w:t>
                  </w:r>
                </w:p>
              </w:tc>
              <w:tc>
                <w:tcPr>
                  <w:tcW w:w="1340" w:type="dxa"/>
                  <w:vAlign w:val="center"/>
                </w:tcPr>
                <w:p>
                  <w:pPr>
                    <w:jc w:val="center"/>
                    <w:rPr>
                      <w:color w:val="auto"/>
                      <w:szCs w:val="21"/>
                    </w:rPr>
                  </w:pPr>
                  <w:r>
                    <w:rPr>
                      <w:color w:val="auto"/>
                      <w:szCs w:val="21"/>
                    </w:rPr>
                    <w:t>≤40</w:t>
                  </w:r>
                </w:p>
              </w:tc>
              <w:tc>
                <w:tcPr>
                  <w:tcW w:w="1476" w:type="dxa"/>
                  <w:vAlign w:val="center"/>
                </w:tcPr>
                <w:p>
                  <w:pPr>
                    <w:jc w:val="center"/>
                    <w:rPr>
                      <w:color w:val="auto"/>
                      <w:szCs w:val="21"/>
                    </w:rPr>
                  </w:pPr>
                  <w:r>
                    <w:rPr>
                      <w:rFonts w:hint="eastAsia"/>
                      <w:color w:val="auto"/>
                      <w:szCs w:val="21"/>
                    </w:rPr>
                    <w:t>62.5</w:t>
                  </w:r>
                </w:p>
              </w:tc>
              <w:tc>
                <w:tcPr>
                  <w:tcW w:w="1078" w:type="dxa"/>
                  <w:vAlign w:val="center"/>
                </w:tcPr>
                <w:p>
                  <w:pPr>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96" w:type="dxa"/>
                  <w:vMerge w:val="continue"/>
                  <w:vAlign w:val="center"/>
                </w:tcPr>
                <w:p>
                  <w:pPr>
                    <w:jc w:val="center"/>
                    <w:rPr>
                      <w:color w:val="auto"/>
                      <w:szCs w:val="21"/>
                    </w:rPr>
                  </w:pPr>
                </w:p>
              </w:tc>
              <w:tc>
                <w:tcPr>
                  <w:tcW w:w="896" w:type="dxa"/>
                  <w:vAlign w:val="center"/>
                </w:tcPr>
                <w:p>
                  <w:pPr>
                    <w:jc w:val="center"/>
                    <w:rPr>
                      <w:color w:val="auto"/>
                      <w:szCs w:val="21"/>
                    </w:rPr>
                  </w:pPr>
                  <w:r>
                    <w:rPr>
                      <w:color w:val="auto"/>
                      <w:szCs w:val="21"/>
                    </w:rPr>
                    <w:t>PM</w:t>
                  </w:r>
                  <w:r>
                    <w:rPr>
                      <w:color w:val="auto"/>
                      <w:szCs w:val="21"/>
                      <w:vertAlign w:val="subscript"/>
                    </w:rPr>
                    <w:t>10</w:t>
                  </w:r>
                </w:p>
              </w:tc>
              <w:tc>
                <w:tcPr>
                  <w:tcW w:w="2594" w:type="dxa"/>
                  <w:vAlign w:val="center"/>
                </w:tcPr>
                <w:p>
                  <w:pPr>
                    <w:jc w:val="center"/>
                    <w:rPr>
                      <w:color w:val="auto"/>
                      <w:szCs w:val="21"/>
                    </w:rPr>
                  </w:pPr>
                  <w:r>
                    <w:rPr>
                      <w:rFonts w:hint="eastAsia"/>
                      <w:color w:val="auto"/>
                      <w:szCs w:val="21"/>
                    </w:rPr>
                    <w:t>年平均质量浓度</w:t>
                  </w:r>
                </w:p>
              </w:tc>
              <w:tc>
                <w:tcPr>
                  <w:tcW w:w="1151" w:type="dxa"/>
                  <w:vAlign w:val="center"/>
                </w:tcPr>
                <w:p>
                  <w:pPr>
                    <w:jc w:val="center"/>
                    <w:rPr>
                      <w:color w:val="auto"/>
                      <w:szCs w:val="21"/>
                    </w:rPr>
                  </w:pPr>
                  <w:r>
                    <w:rPr>
                      <w:rFonts w:hint="eastAsia"/>
                      <w:color w:val="auto"/>
                      <w:szCs w:val="21"/>
                    </w:rPr>
                    <w:t>56</w:t>
                  </w:r>
                </w:p>
              </w:tc>
              <w:tc>
                <w:tcPr>
                  <w:tcW w:w="1340" w:type="dxa"/>
                  <w:vAlign w:val="center"/>
                </w:tcPr>
                <w:p>
                  <w:pPr>
                    <w:jc w:val="center"/>
                    <w:rPr>
                      <w:color w:val="auto"/>
                      <w:szCs w:val="21"/>
                    </w:rPr>
                  </w:pPr>
                  <w:r>
                    <w:rPr>
                      <w:color w:val="auto"/>
                      <w:szCs w:val="21"/>
                    </w:rPr>
                    <w:t>≤70</w:t>
                  </w:r>
                </w:p>
              </w:tc>
              <w:tc>
                <w:tcPr>
                  <w:tcW w:w="1476" w:type="dxa"/>
                  <w:vAlign w:val="center"/>
                </w:tcPr>
                <w:p>
                  <w:pPr>
                    <w:jc w:val="center"/>
                    <w:rPr>
                      <w:color w:val="auto"/>
                      <w:szCs w:val="21"/>
                    </w:rPr>
                  </w:pPr>
                  <w:r>
                    <w:rPr>
                      <w:rFonts w:hint="eastAsia"/>
                      <w:color w:val="auto"/>
                      <w:szCs w:val="21"/>
                    </w:rPr>
                    <w:t>80</w:t>
                  </w:r>
                </w:p>
              </w:tc>
              <w:tc>
                <w:tcPr>
                  <w:tcW w:w="1078" w:type="dxa"/>
                  <w:vAlign w:val="center"/>
                </w:tcPr>
                <w:p>
                  <w:pPr>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96" w:type="dxa"/>
                  <w:vMerge w:val="continue"/>
                  <w:vAlign w:val="center"/>
                </w:tcPr>
                <w:p>
                  <w:pPr>
                    <w:jc w:val="center"/>
                    <w:rPr>
                      <w:color w:val="auto"/>
                      <w:szCs w:val="21"/>
                    </w:rPr>
                  </w:pPr>
                </w:p>
              </w:tc>
              <w:tc>
                <w:tcPr>
                  <w:tcW w:w="896" w:type="dxa"/>
                  <w:vAlign w:val="center"/>
                </w:tcPr>
                <w:p>
                  <w:pPr>
                    <w:jc w:val="center"/>
                    <w:rPr>
                      <w:color w:val="auto"/>
                      <w:szCs w:val="21"/>
                    </w:rPr>
                  </w:pPr>
                  <w:r>
                    <w:rPr>
                      <w:color w:val="auto"/>
                      <w:szCs w:val="21"/>
                    </w:rPr>
                    <w:t>PM</w:t>
                  </w:r>
                  <w:r>
                    <w:rPr>
                      <w:color w:val="auto"/>
                      <w:szCs w:val="21"/>
                      <w:vertAlign w:val="subscript"/>
                    </w:rPr>
                    <w:t>2.5</w:t>
                  </w:r>
                </w:p>
              </w:tc>
              <w:tc>
                <w:tcPr>
                  <w:tcW w:w="2594" w:type="dxa"/>
                  <w:vAlign w:val="center"/>
                </w:tcPr>
                <w:p>
                  <w:pPr>
                    <w:jc w:val="center"/>
                    <w:rPr>
                      <w:color w:val="auto"/>
                      <w:szCs w:val="21"/>
                    </w:rPr>
                  </w:pPr>
                  <w:r>
                    <w:rPr>
                      <w:rFonts w:hint="eastAsia"/>
                      <w:color w:val="auto"/>
                      <w:szCs w:val="21"/>
                    </w:rPr>
                    <w:t>年平均质量浓度</w:t>
                  </w:r>
                </w:p>
              </w:tc>
              <w:tc>
                <w:tcPr>
                  <w:tcW w:w="1151" w:type="dxa"/>
                  <w:vAlign w:val="center"/>
                </w:tcPr>
                <w:p>
                  <w:pPr>
                    <w:jc w:val="center"/>
                    <w:rPr>
                      <w:color w:val="auto"/>
                      <w:szCs w:val="21"/>
                    </w:rPr>
                  </w:pPr>
                  <w:r>
                    <w:rPr>
                      <w:rFonts w:hint="eastAsia"/>
                      <w:color w:val="auto"/>
                      <w:szCs w:val="21"/>
                    </w:rPr>
                    <w:t>30</w:t>
                  </w:r>
                </w:p>
              </w:tc>
              <w:tc>
                <w:tcPr>
                  <w:tcW w:w="1340" w:type="dxa"/>
                  <w:vAlign w:val="center"/>
                </w:tcPr>
                <w:p>
                  <w:pPr>
                    <w:jc w:val="center"/>
                    <w:rPr>
                      <w:color w:val="auto"/>
                      <w:szCs w:val="21"/>
                    </w:rPr>
                  </w:pPr>
                  <w:r>
                    <w:rPr>
                      <w:color w:val="auto"/>
                      <w:szCs w:val="21"/>
                    </w:rPr>
                    <w:t>≤35</w:t>
                  </w:r>
                </w:p>
              </w:tc>
              <w:tc>
                <w:tcPr>
                  <w:tcW w:w="1476" w:type="dxa"/>
                  <w:vAlign w:val="center"/>
                </w:tcPr>
                <w:p>
                  <w:pPr>
                    <w:jc w:val="center"/>
                    <w:rPr>
                      <w:color w:val="auto"/>
                      <w:szCs w:val="21"/>
                    </w:rPr>
                  </w:pPr>
                  <w:r>
                    <w:rPr>
                      <w:rFonts w:hint="eastAsia"/>
                      <w:color w:val="auto"/>
                      <w:szCs w:val="21"/>
                    </w:rPr>
                    <w:t>85.7</w:t>
                  </w:r>
                </w:p>
              </w:tc>
              <w:tc>
                <w:tcPr>
                  <w:tcW w:w="1078" w:type="dxa"/>
                  <w:vAlign w:val="center"/>
                </w:tcPr>
                <w:p>
                  <w:pPr>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96" w:type="dxa"/>
                  <w:vMerge w:val="continue"/>
                  <w:vAlign w:val="center"/>
                </w:tcPr>
                <w:p>
                  <w:pPr>
                    <w:jc w:val="center"/>
                    <w:rPr>
                      <w:color w:val="auto"/>
                      <w:szCs w:val="21"/>
                    </w:rPr>
                  </w:pPr>
                </w:p>
              </w:tc>
              <w:tc>
                <w:tcPr>
                  <w:tcW w:w="896" w:type="dxa"/>
                  <w:vAlign w:val="center"/>
                </w:tcPr>
                <w:p>
                  <w:pPr>
                    <w:jc w:val="center"/>
                    <w:rPr>
                      <w:color w:val="auto"/>
                      <w:szCs w:val="21"/>
                    </w:rPr>
                  </w:pPr>
                  <w:r>
                    <w:rPr>
                      <w:color w:val="auto"/>
                      <w:szCs w:val="21"/>
                    </w:rPr>
                    <w:t>CO</w:t>
                  </w:r>
                </w:p>
              </w:tc>
              <w:tc>
                <w:tcPr>
                  <w:tcW w:w="2594" w:type="dxa"/>
                  <w:vAlign w:val="center"/>
                </w:tcPr>
                <w:p>
                  <w:pPr>
                    <w:jc w:val="center"/>
                    <w:rPr>
                      <w:color w:val="auto"/>
                      <w:szCs w:val="21"/>
                    </w:rPr>
                  </w:pPr>
                  <w:r>
                    <w:rPr>
                      <w:color w:val="auto"/>
                      <w:szCs w:val="21"/>
                    </w:rPr>
                    <w:t>日均值第95百分位数浓度</w:t>
                  </w:r>
                </w:p>
              </w:tc>
              <w:tc>
                <w:tcPr>
                  <w:tcW w:w="1151" w:type="dxa"/>
                  <w:vAlign w:val="center"/>
                </w:tcPr>
                <w:p>
                  <w:pPr>
                    <w:jc w:val="center"/>
                    <w:rPr>
                      <w:color w:val="auto"/>
                      <w:szCs w:val="21"/>
                    </w:rPr>
                  </w:pPr>
                  <w:r>
                    <w:rPr>
                      <w:rFonts w:hint="eastAsia"/>
                      <w:color w:val="auto"/>
                      <w:szCs w:val="21"/>
                    </w:rPr>
                    <w:t>1200</w:t>
                  </w:r>
                </w:p>
              </w:tc>
              <w:tc>
                <w:tcPr>
                  <w:tcW w:w="1340" w:type="dxa"/>
                  <w:vAlign w:val="center"/>
                </w:tcPr>
                <w:p>
                  <w:pPr>
                    <w:jc w:val="center"/>
                    <w:rPr>
                      <w:color w:val="auto"/>
                      <w:szCs w:val="21"/>
                    </w:rPr>
                  </w:pPr>
                  <w:r>
                    <w:rPr>
                      <w:color w:val="auto"/>
                      <w:szCs w:val="21"/>
                    </w:rPr>
                    <w:t>≤4000</w:t>
                  </w:r>
                </w:p>
              </w:tc>
              <w:tc>
                <w:tcPr>
                  <w:tcW w:w="1476" w:type="dxa"/>
                  <w:vAlign w:val="center"/>
                </w:tcPr>
                <w:p>
                  <w:pPr>
                    <w:jc w:val="center"/>
                    <w:rPr>
                      <w:color w:val="auto"/>
                      <w:szCs w:val="21"/>
                    </w:rPr>
                  </w:pPr>
                  <w:r>
                    <w:rPr>
                      <w:rFonts w:hint="eastAsia"/>
                      <w:color w:val="auto"/>
                      <w:szCs w:val="21"/>
                    </w:rPr>
                    <w:t>30</w:t>
                  </w:r>
                </w:p>
              </w:tc>
              <w:tc>
                <w:tcPr>
                  <w:tcW w:w="1078" w:type="dxa"/>
                  <w:vAlign w:val="center"/>
                </w:tcPr>
                <w:p>
                  <w:pPr>
                    <w:jc w:val="center"/>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896" w:type="dxa"/>
                  <w:vMerge w:val="continue"/>
                  <w:vAlign w:val="center"/>
                </w:tcPr>
                <w:p>
                  <w:pPr>
                    <w:jc w:val="center"/>
                    <w:rPr>
                      <w:color w:val="auto"/>
                      <w:szCs w:val="21"/>
                    </w:rPr>
                  </w:pPr>
                </w:p>
              </w:tc>
              <w:tc>
                <w:tcPr>
                  <w:tcW w:w="896" w:type="dxa"/>
                  <w:vAlign w:val="center"/>
                </w:tcPr>
                <w:p>
                  <w:pPr>
                    <w:jc w:val="center"/>
                    <w:rPr>
                      <w:color w:val="auto"/>
                      <w:szCs w:val="21"/>
                    </w:rPr>
                  </w:pPr>
                  <w:r>
                    <w:rPr>
                      <w:color w:val="auto"/>
                      <w:szCs w:val="21"/>
                    </w:rPr>
                    <w:t>O</w:t>
                  </w:r>
                  <w:r>
                    <w:rPr>
                      <w:color w:val="auto"/>
                      <w:szCs w:val="21"/>
                      <w:vertAlign w:val="subscript"/>
                    </w:rPr>
                    <w:t>3</w:t>
                  </w:r>
                </w:p>
              </w:tc>
              <w:tc>
                <w:tcPr>
                  <w:tcW w:w="2594" w:type="dxa"/>
                  <w:vAlign w:val="center"/>
                </w:tcPr>
                <w:p>
                  <w:pPr>
                    <w:jc w:val="center"/>
                    <w:rPr>
                      <w:color w:val="auto"/>
                      <w:szCs w:val="21"/>
                    </w:rPr>
                  </w:pPr>
                  <w:r>
                    <w:rPr>
                      <w:color w:val="auto"/>
                      <w:szCs w:val="21"/>
                    </w:rPr>
                    <w:t>日最大8小时平均第90百分位数浓度</w:t>
                  </w:r>
                </w:p>
              </w:tc>
              <w:tc>
                <w:tcPr>
                  <w:tcW w:w="1151" w:type="dxa"/>
                  <w:vAlign w:val="center"/>
                </w:tcPr>
                <w:p>
                  <w:pPr>
                    <w:jc w:val="center"/>
                    <w:rPr>
                      <w:color w:val="auto"/>
                      <w:szCs w:val="21"/>
                    </w:rPr>
                  </w:pPr>
                  <w:r>
                    <w:rPr>
                      <w:rFonts w:hint="eastAsia"/>
                      <w:color w:val="auto"/>
                      <w:szCs w:val="21"/>
                    </w:rPr>
                    <w:t>169</w:t>
                  </w:r>
                </w:p>
              </w:tc>
              <w:tc>
                <w:tcPr>
                  <w:tcW w:w="1340" w:type="dxa"/>
                  <w:vAlign w:val="center"/>
                </w:tcPr>
                <w:p>
                  <w:pPr>
                    <w:jc w:val="center"/>
                    <w:rPr>
                      <w:color w:val="auto"/>
                      <w:szCs w:val="21"/>
                    </w:rPr>
                  </w:pPr>
                  <w:r>
                    <w:rPr>
                      <w:color w:val="auto"/>
                      <w:szCs w:val="21"/>
                    </w:rPr>
                    <w:t>≤160</w:t>
                  </w:r>
                </w:p>
              </w:tc>
              <w:tc>
                <w:tcPr>
                  <w:tcW w:w="1476" w:type="dxa"/>
                  <w:vAlign w:val="center"/>
                </w:tcPr>
                <w:p>
                  <w:pPr>
                    <w:jc w:val="center"/>
                    <w:rPr>
                      <w:color w:val="auto"/>
                      <w:szCs w:val="21"/>
                    </w:rPr>
                  </w:pPr>
                  <w:r>
                    <w:rPr>
                      <w:rFonts w:hint="eastAsia"/>
                      <w:color w:val="auto"/>
                      <w:szCs w:val="21"/>
                    </w:rPr>
                    <w:t>105.6</w:t>
                  </w:r>
                </w:p>
              </w:tc>
              <w:tc>
                <w:tcPr>
                  <w:tcW w:w="1078" w:type="dxa"/>
                  <w:vAlign w:val="center"/>
                </w:tcPr>
                <w:p>
                  <w:pPr>
                    <w:jc w:val="center"/>
                    <w:rPr>
                      <w:color w:val="auto"/>
                      <w:szCs w:val="21"/>
                    </w:rPr>
                  </w:pPr>
                  <w:r>
                    <w:rPr>
                      <w:rFonts w:hint="eastAsia"/>
                      <w:color w:val="auto"/>
                      <w:szCs w:val="21"/>
                    </w:rPr>
                    <w:t>不</w:t>
                  </w:r>
                  <w:r>
                    <w:rPr>
                      <w:color w:val="auto"/>
                      <w:szCs w:val="21"/>
                    </w:rPr>
                    <w:t>达标</w:t>
                  </w:r>
                </w:p>
              </w:tc>
            </w:tr>
          </w:tbl>
          <w:p>
            <w:pPr>
              <w:spacing w:line="360" w:lineRule="auto"/>
              <w:ind w:firstLine="480" w:firstLineChars="200"/>
              <w:jc w:val="left"/>
              <w:rPr>
                <w:rFonts w:ascii="宋体" w:hAnsi="宋体"/>
                <w:bCs/>
                <w:color w:val="auto"/>
                <w:sz w:val="24"/>
              </w:rPr>
            </w:pPr>
            <w:r>
              <w:rPr>
                <w:rFonts w:hint="eastAsia" w:ascii="宋体" w:hAnsi="宋体"/>
                <w:color w:val="auto"/>
                <w:sz w:val="24"/>
              </w:rPr>
              <w:t>由上表可见，该地区</w:t>
            </w:r>
            <w:r>
              <w:rPr>
                <w:rFonts w:hint="eastAsia" w:ascii="TimesNewRomanPSMT" w:hAnsi="TimesNewRomanPSMT" w:eastAsia="TimesNewRomanPSMT"/>
                <w:color w:val="auto"/>
                <w:sz w:val="24"/>
              </w:rPr>
              <w:t>SO</w:t>
            </w:r>
            <w:r>
              <w:rPr>
                <w:rFonts w:hint="eastAsia" w:ascii="TimesNewRomanPSMT" w:hAnsi="TimesNewRomanPSMT" w:eastAsia="TimesNewRomanPSMT"/>
                <w:color w:val="auto"/>
                <w:sz w:val="16"/>
              </w:rPr>
              <w:t>2</w:t>
            </w:r>
            <w:r>
              <w:rPr>
                <w:rFonts w:hint="eastAsia" w:ascii="宋体" w:hAnsi="宋体"/>
                <w:color w:val="auto"/>
                <w:sz w:val="24"/>
              </w:rPr>
              <w:t>、</w:t>
            </w:r>
            <w:r>
              <w:rPr>
                <w:rFonts w:hint="eastAsia" w:ascii="TimesNewRomanPSMT" w:hAnsi="TimesNewRomanPSMT" w:eastAsia="TimesNewRomanPSMT"/>
                <w:color w:val="auto"/>
                <w:sz w:val="24"/>
              </w:rPr>
              <w:t>NO</w:t>
            </w:r>
            <w:r>
              <w:rPr>
                <w:rFonts w:hint="eastAsia" w:ascii="TimesNewRomanPSMT" w:hAnsi="TimesNewRomanPSMT" w:eastAsia="TimesNewRomanPSMT"/>
                <w:color w:val="auto"/>
                <w:sz w:val="16"/>
              </w:rPr>
              <w:t>2</w:t>
            </w:r>
            <w:r>
              <w:rPr>
                <w:rFonts w:hint="eastAsia" w:ascii="宋体" w:hAnsi="宋体"/>
                <w:color w:val="auto"/>
                <w:sz w:val="24"/>
              </w:rPr>
              <w:t>、</w:t>
            </w:r>
            <w:r>
              <w:rPr>
                <w:rFonts w:hint="eastAsia" w:ascii="TimesNewRomanPSMT" w:hAnsi="TimesNewRomanPSMT" w:eastAsia="TimesNewRomanPSMT"/>
                <w:color w:val="auto"/>
                <w:sz w:val="24"/>
              </w:rPr>
              <w:t>PM</w:t>
            </w:r>
            <w:r>
              <w:rPr>
                <w:rFonts w:hint="eastAsia" w:ascii="TimesNewRomanPSMT" w:hAnsi="TimesNewRomanPSMT" w:eastAsia="TimesNewRomanPSMT"/>
                <w:color w:val="auto"/>
                <w:sz w:val="16"/>
              </w:rPr>
              <w:t xml:space="preserve">10 </w:t>
            </w:r>
            <w:r>
              <w:rPr>
                <w:rFonts w:hint="eastAsia" w:ascii="宋体" w:hAnsi="宋体"/>
                <w:color w:val="auto"/>
                <w:sz w:val="24"/>
              </w:rPr>
              <w:t>、</w:t>
            </w:r>
            <w:r>
              <w:rPr>
                <w:rFonts w:hint="eastAsia" w:ascii="TimesNewRomanPSMT" w:hAnsi="TimesNewRomanPSMT" w:eastAsia="TimesNewRomanPSMT"/>
                <w:color w:val="auto"/>
                <w:sz w:val="24"/>
              </w:rPr>
              <w:t>PM</w:t>
            </w:r>
            <w:r>
              <w:rPr>
                <w:rFonts w:hint="eastAsia" w:ascii="TimesNewRomanPSMT" w:hAnsi="TimesNewRomanPSMT" w:eastAsia="TimesNewRomanPSMT"/>
                <w:color w:val="auto"/>
                <w:sz w:val="16"/>
              </w:rPr>
              <w:t xml:space="preserve">2.5 </w:t>
            </w:r>
            <w:r>
              <w:rPr>
                <w:rFonts w:hint="eastAsia"/>
                <w:color w:val="auto"/>
                <w:sz w:val="24"/>
              </w:rPr>
              <w:t>年平均质量浓度</w:t>
            </w:r>
            <w:r>
              <w:rPr>
                <w:rFonts w:hint="eastAsia" w:ascii="宋体" w:hAnsi="宋体"/>
                <w:color w:val="auto"/>
                <w:sz w:val="24"/>
              </w:rPr>
              <w:t>以及</w:t>
            </w:r>
            <w:r>
              <w:rPr>
                <w:rFonts w:hint="eastAsia" w:ascii="TimesNewRomanPSMT" w:hAnsi="TimesNewRomanPSMT" w:eastAsia="TimesNewRomanPSMT"/>
                <w:color w:val="auto"/>
                <w:sz w:val="24"/>
              </w:rPr>
              <w:t>CO日均值第95百分位数浓度</w:t>
            </w:r>
            <w:r>
              <w:rPr>
                <w:rFonts w:hint="eastAsia" w:ascii="宋体" w:hAnsi="宋体"/>
                <w:color w:val="auto"/>
                <w:sz w:val="24"/>
              </w:rPr>
              <w:t>均满足《环境空气质量标准》（</w:t>
            </w:r>
            <w:r>
              <w:rPr>
                <w:rFonts w:hint="eastAsia" w:ascii="TimesNewRomanPSMT" w:hAnsi="TimesNewRomanPSMT" w:eastAsia="TimesNewRomanPSMT"/>
                <w:color w:val="auto"/>
                <w:sz w:val="24"/>
              </w:rPr>
              <w:t>GB3095-2012</w:t>
            </w:r>
            <w:r>
              <w:rPr>
                <w:rFonts w:hint="eastAsia" w:ascii="宋体" w:hAnsi="宋体"/>
                <w:color w:val="auto"/>
                <w:sz w:val="24"/>
              </w:rPr>
              <w:t>）及</w:t>
            </w:r>
            <w:r>
              <w:rPr>
                <w:rFonts w:hint="eastAsia" w:ascii="TimesNewRomanPSMT" w:hAnsi="TimesNewRomanPSMT" w:eastAsia="TimesNewRomanPSMT"/>
                <w:color w:val="auto"/>
                <w:sz w:val="24"/>
              </w:rPr>
              <w:t>”2018</w:t>
            </w:r>
            <w:r>
              <w:rPr>
                <w:rFonts w:hint="eastAsia" w:ascii="宋体" w:hAnsi="宋体"/>
                <w:color w:val="auto"/>
                <w:sz w:val="24"/>
              </w:rPr>
              <w:t>修改单</w:t>
            </w:r>
            <w:r>
              <w:rPr>
                <w:rFonts w:hint="eastAsia" w:ascii="TimesNewRomanPSMT" w:hAnsi="TimesNewRomanPSMT" w:eastAsia="TimesNewRomanPSMT"/>
                <w:color w:val="auto"/>
                <w:sz w:val="24"/>
              </w:rPr>
              <w:t>”</w:t>
            </w:r>
            <w:r>
              <w:rPr>
                <w:rFonts w:hint="eastAsia" w:ascii="宋体" w:hAnsi="宋体"/>
                <w:color w:val="auto"/>
                <w:sz w:val="24"/>
              </w:rPr>
              <w:t>二级标准要求，</w:t>
            </w:r>
            <w:r>
              <w:rPr>
                <w:color w:val="auto"/>
                <w:sz w:val="24"/>
              </w:rPr>
              <w:t>O</w:t>
            </w:r>
            <w:r>
              <w:rPr>
                <w:color w:val="auto"/>
                <w:sz w:val="24"/>
                <w:vertAlign w:val="subscript"/>
              </w:rPr>
              <w:t>3</w:t>
            </w:r>
            <w:r>
              <w:rPr>
                <w:rFonts w:hint="eastAsia" w:ascii="宋体" w:hAnsi="宋体"/>
                <w:color w:val="auto"/>
                <w:sz w:val="24"/>
              </w:rPr>
              <w:t>日最大</w:t>
            </w:r>
            <w:r>
              <w:rPr>
                <w:rFonts w:hint="eastAsia" w:ascii="TimesNewRomanPSMT" w:hAnsi="TimesNewRomanPSMT" w:eastAsia="TimesNewRomanPSMT"/>
                <w:color w:val="auto"/>
                <w:sz w:val="24"/>
              </w:rPr>
              <w:t>8</w:t>
            </w:r>
            <w:r>
              <w:rPr>
                <w:rFonts w:hint="eastAsia" w:ascii="宋体" w:hAnsi="宋体"/>
                <w:color w:val="auto"/>
                <w:sz w:val="24"/>
              </w:rPr>
              <w:t>小时平均第</w:t>
            </w:r>
            <w:r>
              <w:rPr>
                <w:rFonts w:hint="eastAsia" w:ascii="TimesNewRomanPSMT" w:hAnsi="TimesNewRomanPSMT" w:eastAsia="TimesNewRomanPSMT"/>
                <w:color w:val="auto"/>
                <w:sz w:val="24"/>
              </w:rPr>
              <w:t>90</w:t>
            </w:r>
            <w:r>
              <w:rPr>
                <w:rFonts w:hint="eastAsia" w:ascii="宋体" w:hAnsi="宋体"/>
                <w:color w:val="auto"/>
                <w:sz w:val="24"/>
              </w:rPr>
              <w:t>百分位数不能满足《环境空气质量标准》（</w:t>
            </w:r>
            <w:r>
              <w:rPr>
                <w:rFonts w:hint="eastAsia" w:ascii="TimesNewRomanPSMT" w:hAnsi="TimesNewRomanPSMT" w:eastAsia="TimesNewRomanPSMT"/>
                <w:color w:val="auto"/>
                <w:sz w:val="24"/>
              </w:rPr>
              <w:t>GB3095-2012</w:t>
            </w:r>
            <w:r>
              <w:rPr>
                <w:rFonts w:hint="eastAsia" w:ascii="宋体" w:hAnsi="宋体"/>
                <w:color w:val="auto"/>
                <w:sz w:val="24"/>
              </w:rPr>
              <w:t>）及</w:t>
            </w:r>
            <w:r>
              <w:rPr>
                <w:rFonts w:hint="eastAsia" w:ascii="TimesNewRomanPSMT" w:hAnsi="TimesNewRomanPSMT" w:eastAsia="TimesNewRomanPSMT"/>
                <w:color w:val="auto"/>
                <w:sz w:val="24"/>
              </w:rPr>
              <w:t>”2018</w:t>
            </w:r>
            <w:r>
              <w:rPr>
                <w:rFonts w:hint="eastAsia" w:ascii="宋体" w:hAnsi="宋体"/>
                <w:color w:val="auto"/>
                <w:sz w:val="24"/>
              </w:rPr>
              <w:t>修改单</w:t>
            </w:r>
            <w:r>
              <w:rPr>
                <w:rFonts w:hint="eastAsia" w:ascii="TimesNewRomanPSMT" w:hAnsi="TimesNewRomanPSMT" w:eastAsia="TimesNewRomanPSMT"/>
                <w:color w:val="auto"/>
                <w:sz w:val="24"/>
              </w:rPr>
              <w:t>”</w:t>
            </w:r>
            <w:r>
              <w:rPr>
                <w:rFonts w:hint="eastAsia" w:ascii="宋体" w:hAnsi="宋体"/>
                <w:color w:val="auto"/>
                <w:sz w:val="24"/>
              </w:rPr>
              <w:t>二级标准要求。</w:t>
            </w:r>
          </w:p>
          <w:p>
            <w:pPr>
              <w:spacing w:line="360" w:lineRule="auto"/>
              <w:ind w:firstLine="482" w:firstLineChars="200"/>
              <w:rPr>
                <w:b/>
                <w:color w:val="auto"/>
                <w:sz w:val="24"/>
              </w:rPr>
            </w:pPr>
            <w:r>
              <w:rPr>
                <w:rFonts w:hint="eastAsia"/>
                <w:b/>
                <w:color w:val="auto"/>
                <w:sz w:val="24"/>
              </w:rPr>
              <w:t>（3）其他污染物环境质量现状</w:t>
            </w:r>
          </w:p>
          <w:p>
            <w:pPr>
              <w:spacing w:line="360" w:lineRule="auto"/>
              <w:ind w:firstLine="480" w:firstLineChars="200"/>
              <w:rPr>
                <w:rFonts w:hint="eastAsia" w:eastAsia="宋体"/>
                <w:color w:val="auto"/>
                <w:sz w:val="24"/>
                <w:lang w:eastAsia="zh-CN"/>
              </w:rPr>
            </w:pPr>
            <w:r>
              <w:rPr>
                <w:bCs/>
                <w:color w:val="auto"/>
                <w:sz w:val="24"/>
              </w:rPr>
              <w:t>本项目</w:t>
            </w:r>
            <w:r>
              <w:rPr>
                <w:rFonts w:hint="eastAsia"/>
                <w:bCs/>
                <w:color w:val="auto"/>
                <w:sz w:val="24"/>
              </w:rPr>
              <w:t>特征</w:t>
            </w:r>
            <w:r>
              <w:rPr>
                <w:bCs/>
                <w:color w:val="auto"/>
                <w:sz w:val="24"/>
              </w:rPr>
              <w:t>污染物</w:t>
            </w:r>
            <w:r>
              <w:rPr>
                <w:rFonts w:hint="eastAsia"/>
                <w:bCs/>
                <w:color w:val="auto"/>
                <w:sz w:val="24"/>
              </w:rPr>
              <w:t>非甲烷总烃的</w:t>
            </w:r>
            <w:r>
              <w:rPr>
                <w:bCs/>
                <w:color w:val="auto"/>
                <w:sz w:val="24"/>
              </w:rPr>
              <w:t>环境质量现状</w:t>
            </w:r>
            <w:r>
              <w:rPr>
                <w:rFonts w:hint="eastAsia"/>
                <w:bCs/>
                <w:color w:val="auto"/>
                <w:sz w:val="24"/>
              </w:rPr>
              <w:t>引用广州市二轻系统环境检测站</w:t>
            </w:r>
            <w:r>
              <w:rPr>
                <w:bCs/>
                <w:color w:val="auto"/>
                <w:sz w:val="24"/>
              </w:rPr>
              <w:t>于201</w:t>
            </w:r>
            <w:r>
              <w:rPr>
                <w:rFonts w:hint="eastAsia"/>
                <w:bCs/>
                <w:color w:val="auto"/>
                <w:sz w:val="24"/>
              </w:rPr>
              <w:t>9</w:t>
            </w:r>
            <w:r>
              <w:rPr>
                <w:bCs/>
                <w:color w:val="auto"/>
                <w:sz w:val="24"/>
              </w:rPr>
              <w:t>年</w:t>
            </w:r>
            <w:r>
              <w:rPr>
                <w:rFonts w:hint="eastAsia"/>
                <w:bCs/>
                <w:color w:val="auto"/>
                <w:sz w:val="24"/>
              </w:rPr>
              <w:t>6</w:t>
            </w:r>
            <w:r>
              <w:rPr>
                <w:bCs/>
                <w:color w:val="auto"/>
                <w:sz w:val="24"/>
              </w:rPr>
              <w:t>月</w:t>
            </w:r>
            <w:r>
              <w:rPr>
                <w:rFonts w:hint="eastAsia"/>
                <w:bCs/>
                <w:color w:val="auto"/>
                <w:sz w:val="24"/>
              </w:rPr>
              <w:t>24</w:t>
            </w:r>
            <w:r>
              <w:rPr>
                <w:bCs/>
                <w:color w:val="auto"/>
                <w:sz w:val="24"/>
              </w:rPr>
              <w:t>日至</w:t>
            </w:r>
            <w:r>
              <w:rPr>
                <w:rFonts w:hint="eastAsia"/>
                <w:bCs/>
                <w:color w:val="auto"/>
                <w:sz w:val="24"/>
              </w:rPr>
              <w:t>6</w:t>
            </w:r>
            <w:r>
              <w:rPr>
                <w:bCs/>
                <w:color w:val="auto"/>
                <w:sz w:val="24"/>
              </w:rPr>
              <w:t>月</w:t>
            </w:r>
            <w:r>
              <w:rPr>
                <w:rFonts w:hint="eastAsia"/>
                <w:bCs/>
                <w:color w:val="auto"/>
                <w:sz w:val="24"/>
              </w:rPr>
              <w:t>30</w:t>
            </w:r>
            <w:r>
              <w:rPr>
                <w:bCs/>
                <w:color w:val="auto"/>
                <w:sz w:val="24"/>
              </w:rPr>
              <w:t>日</w:t>
            </w:r>
            <w:r>
              <w:rPr>
                <w:rFonts w:hint="eastAsia"/>
                <w:color w:val="auto"/>
                <w:sz w:val="24"/>
              </w:rPr>
              <w:t>对开平市水口镇怡泰五金厂所在地的大气环境进行监测，该厂距离本项目1980m，在本项目的评价范围内，因此数据有效</w:t>
            </w:r>
            <w:r>
              <w:rPr>
                <w:rFonts w:hint="eastAsia"/>
                <w:color w:val="auto"/>
                <w:sz w:val="24"/>
                <w:lang w:eastAsia="zh-CN"/>
              </w:rPr>
              <w:t>；</w:t>
            </w:r>
            <w:r>
              <w:rPr>
                <w:rFonts w:hint="default" w:ascii="Times New Roman" w:hAnsi="Times New Roman" w:cs="Times New Roman"/>
                <w:bCs/>
                <w:color w:val="auto"/>
                <w:sz w:val="24"/>
              </w:rPr>
              <w:t>特征污染物</w:t>
            </w:r>
            <w:r>
              <w:rPr>
                <w:rFonts w:hint="eastAsia" w:ascii="Times New Roman" w:hAnsi="Times New Roman" w:cs="Times New Roman"/>
                <w:bCs/>
                <w:color w:val="auto"/>
                <w:sz w:val="24"/>
                <w:lang w:val="en-US" w:eastAsia="zh-CN"/>
              </w:rPr>
              <w:t>TSP</w:t>
            </w:r>
            <w:r>
              <w:rPr>
                <w:rFonts w:hint="default" w:ascii="Times New Roman" w:hAnsi="Times New Roman" w:cs="Times New Roman"/>
                <w:bCs/>
                <w:color w:val="auto"/>
                <w:sz w:val="24"/>
              </w:rPr>
              <w:t>的环境质量现状引用广州市恒力检测股份有限公司于2018年8月13日至8月19日</w:t>
            </w:r>
            <w:r>
              <w:rPr>
                <w:rFonts w:hint="default" w:ascii="Times New Roman" w:hAnsi="Times New Roman" w:cs="Times New Roman"/>
                <w:color w:val="auto"/>
                <w:sz w:val="24"/>
              </w:rPr>
              <w:t>对</w:t>
            </w:r>
            <w:r>
              <w:rPr>
                <w:rFonts w:hint="eastAsia"/>
                <w:color w:val="auto"/>
                <w:sz w:val="24"/>
                <w:shd w:val="clear" w:color="auto" w:fill="auto"/>
                <w:lang w:eastAsia="zh-CN"/>
              </w:rPr>
              <w:t>开平市水口镇明明五金加工店</w:t>
            </w:r>
            <w:r>
              <w:rPr>
                <w:rFonts w:hint="default" w:ascii="Times New Roman" w:hAnsi="Times New Roman" w:cs="Times New Roman"/>
                <w:color w:val="auto"/>
                <w:sz w:val="24"/>
              </w:rPr>
              <w:t>所在地的大气环境进行监测，该厂距离本项目</w:t>
            </w:r>
            <w:r>
              <w:rPr>
                <w:rFonts w:hint="eastAsia" w:cs="Times New Roman"/>
                <w:color w:val="auto"/>
                <w:sz w:val="24"/>
                <w:lang w:val="en-US" w:eastAsia="zh-CN"/>
              </w:rPr>
              <w:t>1160</w:t>
            </w:r>
            <w:r>
              <w:rPr>
                <w:rFonts w:hint="default" w:ascii="Times New Roman" w:hAnsi="Times New Roman" w:cs="Times New Roman"/>
                <w:color w:val="auto"/>
                <w:sz w:val="24"/>
              </w:rPr>
              <w:t>m，在本项目的评价范围内，因此数据有效</w:t>
            </w:r>
            <w:r>
              <w:rPr>
                <w:rFonts w:hint="eastAsia" w:ascii="Times New Roman" w:hAnsi="Times New Roman" w:cs="Times New Roman"/>
                <w:color w:val="auto"/>
                <w:sz w:val="24"/>
                <w:lang w:eastAsia="zh-CN"/>
              </w:rPr>
              <w:t>；</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 xml:space="preserve">非甲烷总烃补充监测点位基本信息 </w:t>
            </w:r>
          </w:p>
          <w:tbl>
            <w:tblPr>
              <w:tblStyle w:val="44"/>
              <w:tblW w:w="89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844"/>
              <w:gridCol w:w="814"/>
              <w:gridCol w:w="1209"/>
              <w:gridCol w:w="1268"/>
              <w:gridCol w:w="1335"/>
              <w:gridCol w:w="1095"/>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blHeader/>
                <w:jc w:val="center"/>
              </w:trPr>
              <w:tc>
                <w:tcPr>
                  <w:tcW w:w="1344" w:type="dxa"/>
                  <w:vMerge w:val="restart"/>
                  <w:tcBorders>
                    <w:tl2br w:val="nil"/>
                    <w:tr2bl w:val="nil"/>
                  </w:tcBorders>
                  <w:vAlign w:val="center"/>
                </w:tcPr>
                <w:p>
                  <w:pPr>
                    <w:jc w:val="center"/>
                    <w:rPr>
                      <w:b/>
                      <w:color w:val="auto"/>
                      <w:szCs w:val="21"/>
                    </w:rPr>
                  </w:pPr>
                  <w:r>
                    <w:rPr>
                      <w:rFonts w:hint="eastAsia"/>
                      <w:b/>
                      <w:color w:val="auto"/>
                      <w:szCs w:val="21"/>
                    </w:rPr>
                    <w:t>监测点名称</w:t>
                  </w:r>
                </w:p>
              </w:tc>
              <w:tc>
                <w:tcPr>
                  <w:tcW w:w="1658" w:type="dxa"/>
                  <w:gridSpan w:val="2"/>
                  <w:tcBorders>
                    <w:tl2br w:val="nil"/>
                    <w:tr2bl w:val="nil"/>
                  </w:tcBorders>
                  <w:vAlign w:val="center"/>
                </w:tcPr>
                <w:p>
                  <w:pPr>
                    <w:autoSpaceDE w:val="0"/>
                    <w:autoSpaceDN w:val="0"/>
                    <w:jc w:val="center"/>
                    <w:rPr>
                      <w:b/>
                      <w:color w:val="auto"/>
                      <w:szCs w:val="21"/>
                    </w:rPr>
                  </w:pPr>
                  <w:r>
                    <w:rPr>
                      <w:rFonts w:hint="eastAsia"/>
                      <w:b/>
                      <w:color w:val="auto"/>
                      <w:szCs w:val="21"/>
                    </w:rPr>
                    <w:t>监测点坐标/m</w:t>
                  </w:r>
                </w:p>
              </w:tc>
              <w:tc>
                <w:tcPr>
                  <w:tcW w:w="1209" w:type="dxa"/>
                  <w:vMerge w:val="restart"/>
                  <w:tcBorders>
                    <w:tl2br w:val="nil"/>
                    <w:tr2bl w:val="nil"/>
                  </w:tcBorders>
                  <w:vAlign w:val="center"/>
                </w:tcPr>
                <w:p>
                  <w:pPr>
                    <w:jc w:val="center"/>
                    <w:rPr>
                      <w:b/>
                      <w:color w:val="auto"/>
                      <w:szCs w:val="21"/>
                    </w:rPr>
                  </w:pPr>
                  <w:r>
                    <w:rPr>
                      <w:rFonts w:hint="eastAsia"/>
                      <w:b/>
                      <w:color w:val="auto"/>
                      <w:szCs w:val="21"/>
                    </w:rPr>
                    <w:t>监测因子</w:t>
                  </w:r>
                </w:p>
              </w:tc>
              <w:tc>
                <w:tcPr>
                  <w:tcW w:w="2603" w:type="dxa"/>
                  <w:gridSpan w:val="2"/>
                  <w:vMerge w:val="restart"/>
                  <w:tcBorders>
                    <w:tl2br w:val="nil"/>
                    <w:tr2bl w:val="nil"/>
                  </w:tcBorders>
                  <w:vAlign w:val="center"/>
                </w:tcPr>
                <w:p>
                  <w:pPr>
                    <w:jc w:val="center"/>
                    <w:rPr>
                      <w:b/>
                      <w:color w:val="auto"/>
                      <w:szCs w:val="21"/>
                    </w:rPr>
                  </w:pPr>
                  <w:r>
                    <w:rPr>
                      <w:rFonts w:hint="eastAsia"/>
                      <w:b/>
                      <w:color w:val="auto"/>
                      <w:szCs w:val="21"/>
                    </w:rPr>
                    <w:t>监测时段</w:t>
                  </w:r>
                </w:p>
              </w:tc>
              <w:tc>
                <w:tcPr>
                  <w:tcW w:w="1095" w:type="dxa"/>
                  <w:vMerge w:val="restart"/>
                  <w:tcBorders>
                    <w:tl2br w:val="nil"/>
                    <w:tr2bl w:val="nil"/>
                  </w:tcBorders>
                  <w:vAlign w:val="center"/>
                </w:tcPr>
                <w:p>
                  <w:pPr>
                    <w:jc w:val="center"/>
                    <w:rPr>
                      <w:b/>
                      <w:color w:val="auto"/>
                      <w:szCs w:val="21"/>
                    </w:rPr>
                  </w:pPr>
                  <w:r>
                    <w:rPr>
                      <w:rFonts w:hint="eastAsia"/>
                      <w:b/>
                      <w:bCs/>
                      <w:color w:val="auto"/>
                      <w:szCs w:val="21"/>
                    </w:rPr>
                    <w:t>相对厂址方位</w:t>
                  </w:r>
                </w:p>
              </w:tc>
              <w:tc>
                <w:tcPr>
                  <w:tcW w:w="1065" w:type="dxa"/>
                  <w:vMerge w:val="restart"/>
                  <w:tcBorders>
                    <w:tl2br w:val="nil"/>
                    <w:tr2bl w:val="nil"/>
                  </w:tcBorders>
                  <w:vAlign w:val="center"/>
                </w:tcPr>
                <w:p>
                  <w:pPr>
                    <w:jc w:val="center"/>
                    <w:rPr>
                      <w:b/>
                      <w:color w:val="auto"/>
                      <w:szCs w:val="21"/>
                    </w:rPr>
                  </w:pPr>
                  <w:r>
                    <w:rPr>
                      <w:rFonts w:hint="eastAsia"/>
                      <w:b/>
                      <w:color w:val="auto"/>
                      <w:szCs w:val="2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44" w:type="dxa"/>
                  <w:vMerge w:val="continue"/>
                  <w:tcBorders>
                    <w:tl2br w:val="nil"/>
                    <w:tr2bl w:val="nil"/>
                  </w:tcBorders>
                  <w:vAlign w:val="center"/>
                </w:tcPr>
                <w:p>
                  <w:pPr>
                    <w:jc w:val="center"/>
                    <w:rPr>
                      <w:color w:val="auto"/>
                    </w:rPr>
                  </w:pPr>
                </w:p>
              </w:tc>
              <w:tc>
                <w:tcPr>
                  <w:tcW w:w="844" w:type="dxa"/>
                  <w:tcBorders>
                    <w:tl2br w:val="nil"/>
                    <w:tr2bl w:val="nil"/>
                  </w:tcBorders>
                  <w:vAlign w:val="center"/>
                </w:tcPr>
                <w:p>
                  <w:pPr>
                    <w:autoSpaceDE w:val="0"/>
                    <w:autoSpaceDN w:val="0"/>
                    <w:jc w:val="center"/>
                    <w:rPr>
                      <w:color w:val="auto"/>
                    </w:rPr>
                  </w:pPr>
                  <w:r>
                    <w:rPr>
                      <w:rFonts w:hint="eastAsia"/>
                      <w:color w:val="auto"/>
                    </w:rPr>
                    <w:t>X</w:t>
                  </w:r>
                </w:p>
              </w:tc>
              <w:tc>
                <w:tcPr>
                  <w:tcW w:w="814" w:type="dxa"/>
                  <w:tcBorders>
                    <w:tl2br w:val="nil"/>
                    <w:tr2bl w:val="nil"/>
                  </w:tcBorders>
                  <w:vAlign w:val="center"/>
                </w:tcPr>
                <w:p>
                  <w:pPr>
                    <w:autoSpaceDE w:val="0"/>
                    <w:autoSpaceDN w:val="0"/>
                    <w:jc w:val="center"/>
                    <w:rPr>
                      <w:color w:val="auto"/>
                    </w:rPr>
                  </w:pPr>
                  <w:r>
                    <w:rPr>
                      <w:rFonts w:hint="eastAsia"/>
                      <w:color w:val="auto"/>
                    </w:rPr>
                    <w:t>Y</w:t>
                  </w:r>
                </w:p>
              </w:tc>
              <w:tc>
                <w:tcPr>
                  <w:tcW w:w="1209" w:type="dxa"/>
                  <w:vMerge w:val="continue"/>
                  <w:tcBorders>
                    <w:tl2br w:val="nil"/>
                    <w:tr2bl w:val="nil"/>
                  </w:tcBorders>
                  <w:vAlign w:val="center"/>
                </w:tcPr>
                <w:p>
                  <w:pPr>
                    <w:jc w:val="center"/>
                    <w:rPr>
                      <w:color w:val="auto"/>
                    </w:rPr>
                  </w:pPr>
                </w:p>
              </w:tc>
              <w:tc>
                <w:tcPr>
                  <w:tcW w:w="2603" w:type="dxa"/>
                  <w:gridSpan w:val="2"/>
                  <w:vMerge w:val="continue"/>
                  <w:tcBorders>
                    <w:tl2br w:val="nil"/>
                    <w:tr2bl w:val="nil"/>
                  </w:tcBorders>
                  <w:vAlign w:val="center"/>
                </w:tcPr>
                <w:p>
                  <w:pPr>
                    <w:jc w:val="center"/>
                    <w:rPr>
                      <w:color w:val="auto"/>
                    </w:rPr>
                  </w:pPr>
                </w:p>
              </w:tc>
              <w:tc>
                <w:tcPr>
                  <w:tcW w:w="1095" w:type="dxa"/>
                  <w:vMerge w:val="continue"/>
                  <w:tcBorders>
                    <w:tl2br w:val="nil"/>
                    <w:tr2bl w:val="nil"/>
                  </w:tcBorders>
                  <w:vAlign w:val="center"/>
                </w:tcPr>
                <w:p>
                  <w:pPr>
                    <w:jc w:val="center"/>
                    <w:rPr>
                      <w:color w:val="auto"/>
                    </w:rPr>
                  </w:pPr>
                </w:p>
              </w:tc>
              <w:tc>
                <w:tcPr>
                  <w:tcW w:w="1065" w:type="dxa"/>
                  <w:vMerge w:val="continue"/>
                  <w:tcBorders>
                    <w:tl2br w:val="nil"/>
                    <w:tr2bl w:val="nil"/>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344" w:type="dxa"/>
                  <w:vMerge w:val="restart"/>
                  <w:tcBorders>
                    <w:tl2br w:val="nil"/>
                    <w:tr2bl w:val="nil"/>
                  </w:tcBorders>
                  <w:vAlign w:val="center"/>
                </w:tcPr>
                <w:p>
                  <w:pPr>
                    <w:pStyle w:val="2"/>
                    <w:jc w:val="center"/>
                    <w:rPr>
                      <w:rFonts w:hint="eastAsia" w:eastAsia="宋体"/>
                      <w:color w:val="auto"/>
                      <w:sz w:val="21"/>
                      <w:szCs w:val="21"/>
                      <w:lang w:eastAsia="zh-CN"/>
                    </w:rPr>
                  </w:pPr>
                  <w:r>
                    <w:rPr>
                      <w:rFonts w:hint="eastAsia" w:ascii="Times New Roman" w:cs="Times New Roman"/>
                      <w:color w:val="auto"/>
                      <w:sz w:val="21"/>
                      <w:szCs w:val="21"/>
                    </w:rPr>
                    <w:t>开平市水口镇怡泰五金厂</w:t>
                  </w:r>
                  <w:r>
                    <w:rPr>
                      <w:rFonts w:hint="eastAsia" w:ascii="Times New Roman" w:cs="Times New Roman"/>
                      <w:color w:val="auto"/>
                      <w:sz w:val="21"/>
                      <w:szCs w:val="21"/>
                      <w:lang w:eastAsia="zh-CN"/>
                    </w:rPr>
                    <w:t>所在地</w:t>
                  </w:r>
                </w:p>
              </w:tc>
              <w:tc>
                <w:tcPr>
                  <w:tcW w:w="844" w:type="dxa"/>
                  <w:vMerge w:val="restart"/>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-1379</w:t>
                  </w:r>
                </w:p>
              </w:tc>
              <w:tc>
                <w:tcPr>
                  <w:tcW w:w="814" w:type="dxa"/>
                  <w:vMerge w:val="restart"/>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1448</w:t>
                  </w:r>
                </w:p>
              </w:tc>
              <w:tc>
                <w:tcPr>
                  <w:tcW w:w="1209" w:type="dxa"/>
                  <w:vMerge w:val="restart"/>
                  <w:tcBorders>
                    <w:tl2br w:val="nil"/>
                    <w:tr2bl w:val="nil"/>
                  </w:tcBorders>
                  <w:vAlign w:val="center"/>
                </w:tcPr>
                <w:p>
                  <w:pPr>
                    <w:jc w:val="center"/>
                    <w:rPr>
                      <w:color w:val="auto"/>
                      <w:szCs w:val="21"/>
                    </w:rPr>
                  </w:pPr>
                  <w:r>
                    <w:rPr>
                      <w:rFonts w:hint="eastAsia"/>
                      <w:color w:val="auto"/>
                      <w:szCs w:val="21"/>
                    </w:rPr>
                    <w:t>非甲烷总烃</w:t>
                  </w:r>
                </w:p>
              </w:tc>
              <w:tc>
                <w:tcPr>
                  <w:tcW w:w="1268" w:type="dxa"/>
                  <w:vMerge w:val="restart"/>
                  <w:tcBorders>
                    <w:tl2br w:val="nil"/>
                    <w:tr2bl w:val="nil"/>
                  </w:tcBorders>
                  <w:vAlign w:val="center"/>
                </w:tcPr>
                <w:p>
                  <w:pPr>
                    <w:jc w:val="center"/>
                    <w:rPr>
                      <w:color w:val="auto"/>
                      <w:szCs w:val="21"/>
                    </w:rPr>
                  </w:pPr>
                  <w:r>
                    <w:rPr>
                      <w:rFonts w:eastAsiaTheme="minorEastAsia"/>
                      <w:color w:val="auto"/>
                      <w:szCs w:val="21"/>
                    </w:rPr>
                    <w:t>2019/06/24</w:t>
                  </w:r>
                </w:p>
              </w:tc>
              <w:tc>
                <w:tcPr>
                  <w:tcW w:w="1335" w:type="dxa"/>
                  <w:tcBorders>
                    <w:tl2br w:val="nil"/>
                    <w:tr2bl w:val="nil"/>
                  </w:tcBorders>
                  <w:vAlign w:val="center"/>
                </w:tcPr>
                <w:p>
                  <w:pPr>
                    <w:jc w:val="center"/>
                    <w:rPr>
                      <w:color w:val="auto"/>
                      <w:szCs w:val="21"/>
                    </w:rPr>
                  </w:pPr>
                  <w:r>
                    <w:rPr>
                      <w:rFonts w:eastAsiaTheme="minorEastAsia"/>
                      <w:color w:val="auto"/>
                      <w:szCs w:val="21"/>
                    </w:rPr>
                    <w:t>02:00-03:00</w:t>
                  </w:r>
                </w:p>
              </w:tc>
              <w:tc>
                <w:tcPr>
                  <w:tcW w:w="1095" w:type="dxa"/>
                  <w:vMerge w:val="restart"/>
                  <w:tcBorders>
                    <w:tl2br w:val="nil"/>
                    <w:tr2bl w:val="nil"/>
                  </w:tcBorders>
                  <w:vAlign w:val="center"/>
                </w:tcPr>
                <w:p>
                  <w:pPr>
                    <w:pStyle w:val="153"/>
                    <w:tabs>
                      <w:tab w:val="left" w:pos="-2848"/>
                    </w:tabs>
                    <w:rPr>
                      <w:rFonts w:hint="eastAsia" w:eastAsia="宋体"/>
                      <w:color w:val="auto"/>
                      <w:szCs w:val="21"/>
                      <w:lang w:eastAsia="zh-CN"/>
                    </w:rPr>
                  </w:pPr>
                  <w:r>
                    <w:rPr>
                      <w:rFonts w:hint="eastAsia"/>
                      <w:color w:val="auto"/>
                      <w:szCs w:val="21"/>
                      <w:lang w:eastAsia="zh-CN"/>
                    </w:rPr>
                    <w:t>西北面</w:t>
                  </w:r>
                </w:p>
              </w:tc>
              <w:tc>
                <w:tcPr>
                  <w:tcW w:w="1065" w:type="dxa"/>
                  <w:vMerge w:val="restart"/>
                  <w:tcBorders>
                    <w:tl2br w:val="nil"/>
                    <w:tr2bl w:val="nil"/>
                  </w:tcBorders>
                  <w:vAlign w:val="center"/>
                </w:tcPr>
                <w:p>
                  <w:pPr>
                    <w:jc w:val="center"/>
                    <w:rPr>
                      <w:color w:val="auto"/>
                      <w:szCs w:val="21"/>
                    </w:rPr>
                  </w:pPr>
                  <w:r>
                    <w:rPr>
                      <w:rFonts w:hint="eastAsia"/>
                      <w:color w:val="auto"/>
                      <w:szCs w:val="21"/>
                    </w:rPr>
                    <w:t>1980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08:00-09:00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14:00-15:00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20:00-21:00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restart"/>
                  <w:tcBorders>
                    <w:tl2br w:val="nil"/>
                    <w:tr2bl w:val="nil"/>
                  </w:tcBorders>
                  <w:vAlign w:val="center"/>
                </w:tcPr>
                <w:p>
                  <w:pPr>
                    <w:jc w:val="center"/>
                    <w:rPr>
                      <w:color w:val="auto"/>
                      <w:szCs w:val="21"/>
                    </w:rPr>
                  </w:pPr>
                  <w:r>
                    <w:rPr>
                      <w:rFonts w:eastAsiaTheme="minorEastAsia"/>
                      <w:color w:val="auto"/>
                      <w:szCs w:val="21"/>
                    </w:rPr>
                    <w:t>2019/06/25</w:t>
                  </w:r>
                </w:p>
              </w:tc>
              <w:tc>
                <w:tcPr>
                  <w:tcW w:w="1335" w:type="dxa"/>
                  <w:tcBorders>
                    <w:tl2br w:val="nil"/>
                    <w:tr2bl w:val="nil"/>
                  </w:tcBorders>
                  <w:vAlign w:val="center"/>
                </w:tcPr>
                <w:p>
                  <w:pPr>
                    <w:jc w:val="center"/>
                    <w:rPr>
                      <w:color w:val="auto"/>
                      <w:szCs w:val="21"/>
                    </w:rPr>
                  </w:pPr>
                  <w:r>
                    <w:rPr>
                      <w:rFonts w:eastAsiaTheme="minorEastAsia"/>
                      <w:color w:val="auto"/>
                      <w:szCs w:val="21"/>
                    </w:rPr>
                    <w:t>02:00-03:00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08:00-09:00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14:00-15:00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20:00-21:00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restart"/>
                  <w:tcBorders>
                    <w:tl2br w:val="nil"/>
                    <w:tr2bl w:val="nil"/>
                  </w:tcBorders>
                  <w:vAlign w:val="center"/>
                </w:tcPr>
                <w:p>
                  <w:pPr>
                    <w:jc w:val="center"/>
                    <w:rPr>
                      <w:color w:val="auto"/>
                      <w:szCs w:val="21"/>
                    </w:rPr>
                  </w:pPr>
                  <w:r>
                    <w:rPr>
                      <w:rFonts w:eastAsiaTheme="minorEastAsia"/>
                      <w:color w:val="auto"/>
                      <w:szCs w:val="21"/>
                    </w:rPr>
                    <w:t>2019/06/26</w:t>
                  </w:r>
                </w:p>
              </w:tc>
              <w:tc>
                <w:tcPr>
                  <w:tcW w:w="1335" w:type="dxa"/>
                  <w:tcBorders>
                    <w:tl2br w:val="nil"/>
                    <w:tr2bl w:val="nil"/>
                  </w:tcBorders>
                  <w:vAlign w:val="center"/>
                </w:tcPr>
                <w:p>
                  <w:pPr>
                    <w:jc w:val="center"/>
                    <w:rPr>
                      <w:color w:val="auto"/>
                      <w:szCs w:val="21"/>
                    </w:rPr>
                  </w:pPr>
                  <w:r>
                    <w:rPr>
                      <w:rFonts w:eastAsiaTheme="minorEastAsia"/>
                      <w:color w:val="auto"/>
                      <w:szCs w:val="21"/>
                    </w:rPr>
                    <w:t>02:00-03:00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08:00-09:00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14:00-15:00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20:00-21:00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restart"/>
                  <w:tcBorders>
                    <w:tl2br w:val="nil"/>
                    <w:tr2bl w:val="nil"/>
                  </w:tcBorders>
                  <w:vAlign w:val="center"/>
                </w:tcPr>
                <w:p>
                  <w:pPr>
                    <w:jc w:val="center"/>
                    <w:rPr>
                      <w:color w:val="auto"/>
                      <w:szCs w:val="21"/>
                    </w:rPr>
                  </w:pPr>
                  <w:r>
                    <w:rPr>
                      <w:rFonts w:eastAsiaTheme="minorEastAsia"/>
                      <w:color w:val="auto"/>
                      <w:szCs w:val="21"/>
                    </w:rPr>
                    <w:t>2019/06/27</w:t>
                  </w:r>
                </w:p>
              </w:tc>
              <w:tc>
                <w:tcPr>
                  <w:tcW w:w="1335" w:type="dxa"/>
                  <w:tcBorders>
                    <w:tl2br w:val="nil"/>
                    <w:tr2bl w:val="nil"/>
                  </w:tcBorders>
                  <w:vAlign w:val="center"/>
                </w:tcPr>
                <w:p>
                  <w:pPr>
                    <w:jc w:val="center"/>
                    <w:rPr>
                      <w:color w:val="auto"/>
                      <w:szCs w:val="21"/>
                    </w:rPr>
                  </w:pPr>
                  <w:r>
                    <w:rPr>
                      <w:rFonts w:eastAsiaTheme="minorEastAsia"/>
                      <w:color w:val="auto"/>
                      <w:szCs w:val="21"/>
                    </w:rPr>
                    <w:t>02:00-03:00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08:00-09:00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14:00-15:00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20:00-21:00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restart"/>
                  <w:tcBorders>
                    <w:tl2br w:val="nil"/>
                    <w:tr2bl w:val="nil"/>
                  </w:tcBorders>
                  <w:vAlign w:val="center"/>
                </w:tcPr>
                <w:p>
                  <w:pPr>
                    <w:jc w:val="center"/>
                    <w:rPr>
                      <w:color w:val="auto"/>
                      <w:szCs w:val="21"/>
                    </w:rPr>
                  </w:pPr>
                  <w:r>
                    <w:rPr>
                      <w:rFonts w:eastAsiaTheme="minorEastAsia"/>
                      <w:color w:val="auto"/>
                      <w:szCs w:val="21"/>
                    </w:rPr>
                    <w:t>2019/06/28</w:t>
                  </w:r>
                </w:p>
              </w:tc>
              <w:tc>
                <w:tcPr>
                  <w:tcW w:w="1335" w:type="dxa"/>
                  <w:tcBorders>
                    <w:tl2br w:val="nil"/>
                    <w:tr2bl w:val="nil"/>
                  </w:tcBorders>
                  <w:vAlign w:val="center"/>
                </w:tcPr>
                <w:p>
                  <w:pPr>
                    <w:jc w:val="center"/>
                    <w:rPr>
                      <w:color w:val="auto"/>
                      <w:szCs w:val="21"/>
                    </w:rPr>
                  </w:pPr>
                  <w:r>
                    <w:rPr>
                      <w:rFonts w:eastAsiaTheme="minorEastAsia"/>
                      <w:color w:val="auto"/>
                      <w:szCs w:val="21"/>
                    </w:rPr>
                    <w:t>02:00-03:00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08:00-09:00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14:00-15:00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20:00-21:00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restart"/>
                  <w:tcBorders>
                    <w:tl2br w:val="nil"/>
                    <w:tr2bl w:val="nil"/>
                  </w:tcBorders>
                  <w:vAlign w:val="center"/>
                </w:tcPr>
                <w:p>
                  <w:pPr>
                    <w:jc w:val="center"/>
                    <w:rPr>
                      <w:color w:val="auto"/>
                      <w:szCs w:val="21"/>
                    </w:rPr>
                  </w:pPr>
                  <w:r>
                    <w:rPr>
                      <w:rFonts w:eastAsiaTheme="minorEastAsia"/>
                      <w:color w:val="auto"/>
                      <w:szCs w:val="21"/>
                    </w:rPr>
                    <w:t>2019/06/29</w:t>
                  </w:r>
                </w:p>
              </w:tc>
              <w:tc>
                <w:tcPr>
                  <w:tcW w:w="1335" w:type="dxa"/>
                  <w:tcBorders>
                    <w:tl2br w:val="nil"/>
                    <w:tr2bl w:val="nil"/>
                  </w:tcBorders>
                  <w:vAlign w:val="center"/>
                </w:tcPr>
                <w:p>
                  <w:pPr>
                    <w:jc w:val="center"/>
                    <w:rPr>
                      <w:color w:val="auto"/>
                      <w:szCs w:val="21"/>
                    </w:rPr>
                  </w:pPr>
                  <w:r>
                    <w:rPr>
                      <w:rFonts w:eastAsiaTheme="minorEastAsia"/>
                      <w:color w:val="auto"/>
                      <w:szCs w:val="21"/>
                    </w:rPr>
                    <w:t>02:00-03:00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08:00-09:00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14:00-15:00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20:00-21:00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restart"/>
                  <w:tcBorders>
                    <w:tl2br w:val="nil"/>
                    <w:tr2bl w:val="nil"/>
                  </w:tcBorders>
                  <w:vAlign w:val="center"/>
                </w:tcPr>
                <w:p>
                  <w:pPr>
                    <w:jc w:val="center"/>
                    <w:rPr>
                      <w:color w:val="auto"/>
                      <w:szCs w:val="21"/>
                    </w:rPr>
                  </w:pPr>
                  <w:r>
                    <w:rPr>
                      <w:rFonts w:eastAsiaTheme="minorEastAsia"/>
                      <w:color w:val="auto"/>
                      <w:szCs w:val="21"/>
                    </w:rPr>
                    <w:t>2019/06/30</w:t>
                  </w:r>
                </w:p>
              </w:tc>
              <w:tc>
                <w:tcPr>
                  <w:tcW w:w="1335" w:type="dxa"/>
                  <w:tcBorders>
                    <w:tl2br w:val="nil"/>
                    <w:tr2bl w:val="nil"/>
                  </w:tcBorders>
                  <w:vAlign w:val="center"/>
                </w:tcPr>
                <w:p>
                  <w:pPr>
                    <w:jc w:val="center"/>
                    <w:rPr>
                      <w:color w:val="auto"/>
                      <w:szCs w:val="21"/>
                    </w:rPr>
                  </w:pPr>
                  <w:r>
                    <w:rPr>
                      <w:rFonts w:eastAsiaTheme="minorEastAsia"/>
                      <w:color w:val="auto"/>
                      <w:szCs w:val="21"/>
                    </w:rPr>
                    <w:t>02:00-03:00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08:00-09:00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14:00-15:00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1268" w:type="dxa"/>
                  <w:vMerge w:val="continue"/>
                  <w:tcBorders>
                    <w:tl2br w:val="nil"/>
                    <w:tr2bl w:val="nil"/>
                  </w:tcBorders>
                  <w:vAlign w:val="center"/>
                </w:tcPr>
                <w:p>
                  <w:pPr>
                    <w:jc w:val="center"/>
                    <w:rPr>
                      <w:color w:val="auto"/>
                      <w:szCs w:val="21"/>
                    </w:rPr>
                  </w:pPr>
                </w:p>
              </w:tc>
              <w:tc>
                <w:tcPr>
                  <w:tcW w:w="1335" w:type="dxa"/>
                  <w:tcBorders>
                    <w:tl2br w:val="nil"/>
                    <w:tr2bl w:val="nil"/>
                  </w:tcBorders>
                  <w:vAlign w:val="center"/>
                </w:tcPr>
                <w:p>
                  <w:pPr>
                    <w:jc w:val="center"/>
                    <w:rPr>
                      <w:color w:val="auto"/>
                      <w:szCs w:val="21"/>
                    </w:rPr>
                  </w:pPr>
                  <w:r>
                    <w:rPr>
                      <w:rFonts w:eastAsiaTheme="minorEastAsia"/>
                      <w:color w:val="auto"/>
                      <w:szCs w:val="21"/>
                    </w:rPr>
                    <w:t>20:00-21:00</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restart"/>
                  <w:tcBorders>
                    <w:tl2br w:val="nil"/>
                    <w:tr2bl w:val="nil"/>
                  </w:tcBorders>
                  <w:vAlign w:val="center"/>
                </w:tcPr>
                <w:p>
                  <w:pPr>
                    <w:widowControl w:val="0"/>
                    <w:autoSpaceDE w:val="0"/>
                    <w:autoSpaceDN w:val="0"/>
                    <w:adjustRightInd w:val="0"/>
                    <w:jc w:val="center"/>
                    <w:rPr>
                      <w:rFonts w:ascii="Times New Roman" w:cs="Times New Roman"/>
                      <w:color w:val="auto"/>
                      <w:sz w:val="21"/>
                      <w:szCs w:val="21"/>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p>
              </w:tc>
              <w:tc>
                <w:tcPr>
                  <w:tcW w:w="844" w:type="dxa"/>
                  <w:vMerge w:val="restart"/>
                  <w:tcBorders>
                    <w:tl2br w:val="nil"/>
                    <w:tr2bl w:val="nil"/>
                  </w:tcBorders>
                  <w:vAlign w:val="center"/>
                </w:tcPr>
                <w:p>
                  <w:pPr>
                    <w:widowControl w:val="0"/>
                    <w:spacing w:after="0" w:line="240" w:lineRule="auto"/>
                    <w:jc w:val="center"/>
                    <w:rPr>
                      <w:color w:val="auto"/>
                      <w:szCs w:val="21"/>
                    </w:rPr>
                  </w:pPr>
                  <w:r>
                    <w:rPr>
                      <w:rFonts w:hint="eastAsia" w:ascii="Times New Roman" w:hAnsi="Times New Roman" w:eastAsia="宋体" w:cs="Times New Roman"/>
                      <w:color w:val="auto"/>
                      <w:kern w:val="2"/>
                      <w:sz w:val="21"/>
                      <w:szCs w:val="21"/>
                      <w:highlight w:val="none"/>
                      <w:lang w:val="en-US" w:eastAsia="zh-CN"/>
                    </w:rPr>
                    <w:t>297</w:t>
                  </w:r>
                </w:p>
              </w:tc>
              <w:tc>
                <w:tcPr>
                  <w:tcW w:w="814" w:type="dxa"/>
                  <w:vMerge w:val="restart"/>
                  <w:tcBorders>
                    <w:tl2br w:val="nil"/>
                    <w:tr2bl w:val="nil"/>
                  </w:tcBorders>
                  <w:vAlign w:val="center"/>
                </w:tcPr>
                <w:p>
                  <w:pPr>
                    <w:widowControl w:val="0"/>
                    <w:spacing w:after="0" w:line="240" w:lineRule="auto"/>
                    <w:jc w:val="center"/>
                    <w:rPr>
                      <w:color w:val="auto"/>
                      <w:szCs w:val="21"/>
                    </w:rPr>
                  </w:pPr>
                  <w:r>
                    <w:rPr>
                      <w:rFonts w:hint="eastAsia" w:ascii="Times New Roman" w:hAnsi="Times New Roman" w:eastAsia="宋体" w:cs="Times New Roman"/>
                      <w:color w:val="auto"/>
                      <w:kern w:val="2"/>
                      <w:sz w:val="21"/>
                      <w:szCs w:val="21"/>
                      <w:highlight w:val="none"/>
                      <w:lang w:val="en-US" w:eastAsia="zh-CN"/>
                    </w:rPr>
                    <w:t>-474</w:t>
                  </w:r>
                </w:p>
              </w:tc>
              <w:tc>
                <w:tcPr>
                  <w:tcW w:w="1209" w:type="dxa"/>
                  <w:vMerge w:val="restart"/>
                  <w:tcBorders>
                    <w:tl2br w:val="nil"/>
                    <w:tr2bl w:val="nil"/>
                  </w:tcBorders>
                  <w:vAlign w:val="center"/>
                </w:tcPr>
                <w:p>
                  <w:pPr>
                    <w:widowControl w:val="0"/>
                    <w:spacing w:after="0" w:line="240" w:lineRule="auto"/>
                    <w:jc w:val="center"/>
                    <w:rPr>
                      <w:color w:val="auto"/>
                      <w:szCs w:val="21"/>
                    </w:rPr>
                  </w:pPr>
                  <w:r>
                    <w:rPr>
                      <w:rFonts w:hint="eastAsia" w:ascii="Times New Roman" w:hAnsi="Times New Roman" w:eastAsia="宋体" w:cs="Times New Roman"/>
                      <w:color w:val="auto"/>
                      <w:kern w:val="2"/>
                      <w:sz w:val="21"/>
                      <w:szCs w:val="21"/>
                      <w:highlight w:val="none"/>
                      <w:lang w:val="en-US" w:eastAsia="zh-CN"/>
                    </w:rPr>
                    <w:t>TSP</w:t>
                  </w: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rPr>
                  </w:pPr>
                  <w:r>
                    <w:rPr>
                      <w:rFonts w:hint="default" w:ascii="Times New Roman" w:hAnsi="Times New Roman" w:cs="Times New Roman"/>
                      <w:color w:val="auto"/>
                      <w:sz w:val="21"/>
                      <w:szCs w:val="21"/>
                    </w:rPr>
                    <w:t>2018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08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13</w:t>
                  </w:r>
                </w:p>
              </w:tc>
              <w:tc>
                <w:tcPr>
                  <w:tcW w:w="1095" w:type="dxa"/>
                  <w:vMerge w:val="restart"/>
                  <w:tcBorders>
                    <w:tl2br w:val="nil"/>
                    <w:tr2bl w:val="nil"/>
                  </w:tcBorders>
                  <w:vAlign w:val="center"/>
                </w:tcPr>
                <w:p>
                  <w:pPr>
                    <w:widowControl w:val="0"/>
                    <w:tabs>
                      <w:tab w:val="left" w:pos="-2848"/>
                    </w:tabs>
                    <w:jc w:val="center"/>
                    <w:rPr>
                      <w:color w:val="auto"/>
                      <w:szCs w:val="21"/>
                    </w:rPr>
                  </w:pPr>
                  <w:r>
                    <w:rPr>
                      <w:rFonts w:hint="eastAsia" w:ascii="Times New Roman" w:hAnsi="Times New Roman" w:eastAsia="宋体" w:cs="Times New Roman"/>
                      <w:color w:val="auto"/>
                      <w:kern w:val="44"/>
                      <w:sz w:val="21"/>
                      <w:szCs w:val="21"/>
                      <w:highlight w:val="none"/>
                      <w:lang w:val="en-US" w:eastAsia="zh-CN" w:bidi="ar-SA"/>
                    </w:rPr>
                    <w:t>东</w:t>
                  </w:r>
                  <w:r>
                    <w:rPr>
                      <w:rFonts w:hint="eastAsia" w:cs="Times New Roman"/>
                      <w:color w:val="auto"/>
                      <w:kern w:val="44"/>
                      <w:sz w:val="21"/>
                      <w:szCs w:val="21"/>
                      <w:highlight w:val="none"/>
                      <w:lang w:val="en-US" w:eastAsia="zh-CN" w:bidi="ar-SA"/>
                    </w:rPr>
                    <w:t>北</w:t>
                  </w:r>
                  <w:r>
                    <w:rPr>
                      <w:rFonts w:hint="eastAsia" w:ascii="Times New Roman" w:hAnsi="Times New Roman" w:eastAsia="宋体" w:cs="Times New Roman"/>
                      <w:color w:val="auto"/>
                      <w:kern w:val="44"/>
                      <w:sz w:val="21"/>
                      <w:szCs w:val="21"/>
                      <w:highlight w:val="none"/>
                      <w:lang w:val="en-US" w:eastAsia="zh-CN" w:bidi="ar-SA"/>
                    </w:rPr>
                    <w:t>面</w:t>
                  </w:r>
                </w:p>
              </w:tc>
              <w:tc>
                <w:tcPr>
                  <w:tcW w:w="1065" w:type="dxa"/>
                  <w:vMerge w:val="restart"/>
                  <w:tcBorders>
                    <w:tl2br w:val="nil"/>
                    <w:tr2bl w:val="nil"/>
                  </w:tcBorders>
                  <w:vAlign w:val="center"/>
                </w:tcPr>
                <w:p>
                  <w:pPr>
                    <w:widowControl w:val="0"/>
                    <w:spacing w:after="0" w:line="240" w:lineRule="auto"/>
                    <w:jc w:val="center"/>
                    <w:rPr>
                      <w:rFonts w:hint="default"/>
                      <w:color w:val="auto"/>
                      <w:szCs w:val="21"/>
                      <w:lang w:val="en-US"/>
                    </w:rPr>
                  </w:pPr>
                  <w:r>
                    <w:rPr>
                      <w:rFonts w:hint="eastAsia" w:cs="Times New Roman"/>
                      <w:color w:val="auto"/>
                      <w:kern w:val="2"/>
                      <w:sz w:val="21"/>
                      <w:szCs w:val="21"/>
                      <w:highlight w:val="none"/>
                      <w:lang w:val="en-US" w:eastAsia="zh-CN"/>
                    </w:rPr>
                    <w:t>1160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rPr>
                  </w:pPr>
                  <w:r>
                    <w:rPr>
                      <w:rFonts w:hint="default" w:ascii="Times New Roman" w:hAnsi="Times New Roman" w:cs="Times New Roman"/>
                      <w:color w:val="auto"/>
                      <w:sz w:val="21"/>
                      <w:szCs w:val="21"/>
                    </w:rPr>
                    <w:t>2018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08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14</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rPr>
                  </w:pPr>
                  <w:r>
                    <w:rPr>
                      <w:rFonts w:hint="default" w:ascii="Times New Roman" w:hAnsi="Times New Roman" w:cs="Times New Roman"/>
                      <w:color w:val="auto"/>
                      <w:sz w:val="21"/>
                      <w:szCs w:val="21"/>
                    </w:rPr>
                    <w:t>2018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08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15</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rPr>
                  </w:pPr>
                  <w:r>
                    <w:rPr>
                      <w:rFonts w:hint="default" w:ascii="Times New Roman" w:hAnsi="Times New Roman" w:cs="Times New Roman"/>
                      <w:color w:val="auto"/>
                      <w:sz w:val="21"/>
                      <w:szCs w:val="21"/>
                    </w:rPr>
                    <w:t>2018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08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16</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rPr>
                  </w:pPr>
                  <w:r>
                    <w:rPr>
                      <w:rFonts w:hint="default" w:ascii="Times New Roman" w:hAnsi="Times New Roman" w:cs="Times New Roman"/>
                      <w:color w:val="auto"/>
                      <w:sz w:val="21"/>
                      <w:szCs w:val="21"/>
                    </w:rPr>
                    <w:t>2018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08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17</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rPr>
                  </w:pPr>
                  <w:r>
                    <w:rPr>
                      <w:rFonts w:hint="default" w:ascii="Times New Roman" w:hAnsi="Times New Roman" w:cs="Times New Roman"/>
                      <w:color w:val="auto"/>
                      <w:sz w:val="21"/>
                      <w:szCs w:val="21"/>
                    </w:rPr>
                    <w:t>2018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08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18</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344" w:type="dxa"/>
                  <w:vMerge w:val="continue"/>
                  <w:tcBorders>
                    <w:tl2br w:val="nil"/>
                    <w:tr2bl w:val="nil"/>
                  </w:tcBorders>
                  <w:vAlign w:val="center"/>
                </w:tcPr>
                <w:p>
                  <w:pPr>
                    <w:pStyle w:val="2"/>
                    <w:jc w:val="center"/>
                    <w:rPr>
                      <w:rFonts w:ascii="Times New Roman" w:cs="Times New Roman"/>
                      <w:color w:val="auto"/>
                      <w:sz w:val="21"/>
                      <w:szCs w:val="21"/>
                    </w:rPr>
                  </w:pPr>
                </w:p>
              </w:tc>
              <w:tc>
                <w:tcPr>
                  <w:tcW w:w="844" w:type="dxa"/>
                  <w:vMerge w:val="continue"/>
                  <w:tcBorders>
                    <w:tl2br w:val="nil"/>
                    <w:tr2bl w:val="nil"/>
                  </w:tcBorders>
                  <w:vAlign w:val="center"/>
                </w:tcPr>
                <w:p>
                  <w:pPr>
                    <w:jc w:val="center"/>
                    <w:rPr>
                      <w:color w:val="auto"/>
                      <w:szCs w:val="21"/>
                    </w:rPr>
                  </w:pPr>
                </w:p>
              </w:tc>
              <w:tc>
                <w:tcPr>
                  <w:tcW w:w="814" w:type="dxa"/>
                  <w:vMerge w:val="continue"/>
                  <w:tcBorders>
                    <w:tl2br w:val="nil"/>
                    <w:tr2bl w:val="nil"/>
                  </w:tcBorders>
                  <w:vAlign w:val="center"/>
                </w:tcPr>
                <w:p>
                  <w:pPr>
                    <w:jc w:val="center"/>
                    <w:rPr>
                      <w:color w:val="auto"/>
                      <w:szCs w:val="21"/>
                    </w:rPr>
                  </w:pPr>
                </w:p>
              </w:tc>
              <w:tc>
                <w:tcPr>
                  <w:tcW w:w="1209" w:type="dxa"/>
                  <w:vMerge w:val="continue"/>
                  <w:tcBorders>
                    <w:tl2br w:val="nil"/>
                    <w:tr2bl w:val="nil"/>
                  </w:tcBorders>
                  <w:vAlign w:val="center"/>
                </w:tcPr>
                <w:p>
                  <w:pPr>
                    <w:jc w:val="center"/>
                    <w:rPr>
                      <w:color w:val="auto"/>
                      <w:szCs w:val="21"/>
                    </w:rPr>
                  </w:pPr>
                </w:p>
              </w:tc>
              <w:tc>
                <w:tcPr>
                  <w:tcW w:w="2603" w:type="dxa"/>
                  <w:gridSpan w:val="2"/>
                  <w:tcBorders>
                    <w:tl2br w:val="nil"/>
                    <w:tr2bl w:val="nil"/>
                  </w:tcBorders>
                  <w:vAlign w:val="center"/>
                </w:tcPr>
                <w:p>
                  <w:pPr>
                    <w:widowControl w:val="0"/>
                    <w:spacing w:after="0" w:line="240" w:lineRule="auto"/>
                    <w:jc w:val="center"/>
                    <w:rPr>
                      <w:rFonts w:eastAsiaTheme="minorEastAsia"/>
                      <w:color w:val="auto"/>
                      <w:szCs w:val="21"/>
                    </w:rPr>
                  </w:pPr>
                  <w:r>
                    <w:rPr>
                      <w:rFonts w:hint="default" w:ascii="Times New Roman" w:hAnsi="Times New Roman" w:cs="Times New Roman"/>
                      <w:color w:val="auto"/>
                      <w:sz w:val="21"/>
                      <w:szCs w:val="21"/>
                    </w:rPr>
                    <w:t>2018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08</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19</w:t>
                  </w:r>
                </w:p>
              </w:tc>
              <w:tc>
                <w:tcPr>
                  <w:tcW w:w="1095" w:type="dxa"/>
                  <w:vMerge w:val="continue"/>
                  <w:tcBorders>
                    <w:tl2br w:val="nil"/>
                    <w:tr2bl w:val="nil"/>
                  </w:tcBorders>
                  <w:vAlign w:val="center"/>
                </w:tcPr>
                <w:p>
                  <w:pPr>
                    <w:pStyle w:val="153"/>
                    <w:tabs>
                      <w:tab w:val="left" w:pos="-2848"/>
                    </w:tabs>
                    <w:rPr>
                      <w:color w:val="auto"/>
                      <w:szCs w:val="21"/>
                    </w:rPr>
                  </w:pPr>
                </w:p>
              </w:tc>
              <w:tc>
                <w:tcPr>
                  <w:tcW w:w="1065" w:type="dxa"/>
                  <w:vMerge w:val="continue"/>
                  <w:tcBorders>
                    <w:tl2br w:val="nil"/>
                    <w:tr2bl w:val="nil"/>
                  </w:tcBorders>
                  <w:vAlign w:val="center"/>
                </w:tcPr>
                <w:p>
                  <w:pPr>
                    <w:jc w:val="center"/>
                    <w:rPr>
                      <w:color w:val="auto"/>
                      <w:szCs w:val="21"/>
                    </w:rPr>
                  </w:pP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 xml:space="preserve">非甲烷总烃环境质量现状（监测结果）表 </w:t>
            </w:r>
          </w:p>
          <w:tbl>
            <w:tblPr>
              <w:tblStyle w:val="44"/>
              <w:tblW w:w="9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7"/>
              <w:gridCol w:w="720"/>
              <w:gridCol w:w="653"/>
              <w:gridCol w:w="735"/>
              <w:gridCol w:w="710"/>
              <w:gridCol w:w="1080"/>
              <w:gridCol w:w="1335"/>
              <w:gridCol w:w="945"/>
              <w:gridCol w:w="870"/>
              <w:gridCol w:w="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blHeader/>
                <w:jc w:val="center"/>
              </w:trPr>
              <w:tc>
                <w:tcPr>
                  <w:tcW w:w="1307" w:type="dxa"/>
                  <w:vMerge w:val="restart"/>
                  <w:tcBorders>
                    <w:tl2br w:val="nil"/>
                    <w:tr2bl w:val="nil"/>
                  </w:tcBorders>
                  <w:vAlign w:val="center"/>
                </w:tcPr>
                <w:p>
                  <w:pPr>
                    <w:jc w:val="center"/>
                    <w:rPr>
                      <w:b/>
                      <w:color w:val="auto"/>
                      <w:szCs w:val="21"/>
                    </w:rPr>
                  </w:pPr>
                  <w:r>
                    <w:rPr>
                      <w:rFonts w:hint="eastAsia"/>
                      <w:b/>
                      <w:color w:val="auto"/>
                      <w:szCs w:val="21"/>
                    </w:rPr>
                    <w:t>监测点位</w:t>
                  </w:r>
                </w:p>
              </w:tc>
              <w:tc>
                <w:tcPr>
                  <w:tcW w:w="1373" w:type="dxa"/>
                  <w:gridSpan w:val="2"/>
                  <w:tcBorders>
                    <w:tl2br w:val="nil"/>
                    <w:tr2bl w:val="nil"/>
                  </w:tcBorders>
                  <w:vAlign w:val="center"/>
                </w:tcPr>
                <w:p>
                  <w:pPr>
                    <w:autoSpaceDE w:val="0"/>
                    <w:autoSpaceDN w:val="0"/>
                    <w:jc w:val="center"/>
                    <w:rPr>
                      <w:b/>
                      <w:color w:val="auto"/>
                      <w:szCs w:val="21"/>
                    </w:rPr>
                  </w:pPr>
                  <w:r>
                    <w:rPr>
                      <w:rFonts w:hint="eastAsia"/>
                      <w:b/>
                      <w:color w:val="auto"/>
                      <w:szCs w:val="21"/>
                    </w:rPr>
                    <w:t>监测点坐标/m</w:t>
                  </w:r>
                </w:p>
              </w:tc>
              <w:tc>
                <w:tcPr>
                  <w:tcW w:w="735" w:type="dxa"/>
                  <w:vMerge w:val="restart"/>
                  <w:tcBorders>
                    <w:tl2br w:val="nil"/>
                    <w:tr2bl w:val="nil"/>
                  </w:tcBorders>
                  <w:vAlign w:val="center"/>
                </w:tcPr>
                <w:p>
                  <w:pPr>
                    <w:jc w:val="center"/>
                    <w:rPr>
                      <w:b/>
                      <w:color w:val="auto"/>
                      <w:szCs w:val="21"/>
                    </w:rPr>
                  </w:pPr>
                  <w:r>
                    <w:rPr>
                      <w:rFonts w:hint="eastAsia"/>
                      <w:b/>
                      <w:color w:val="auto"/>
                      <w:szCs w:val="21"/>
                    </w:rPr>
                    <w:t>污染物</w:t>
                  </w:r>
                </w:p>
              </w:tc>
              <w:tc>
                <w:tcPr>
                  <w:tcW w:w="710" w:type="dxa"/>
                  <w:vMerge w:val="restart"/>
                  <w:tcBorders>
                    <w:tl2br w:val="nil"/>
                    <w:tr2bl w:val="nil"/>
                  </w:tcBorders>
                  <w:vAlign w:val="center"/>
                </w:tcPr>
                <w:p>
                  <w:pPr>
                    <w:jc w:val="center"/>
                    <w:rPr>
                      <w:b/>
                      <w:color w:val="auto"/>
                      <w:szCs w:val="21"/>
                    </w:rPr>
                  </w:pPr>
                  <w:r>
                    <w:rPr>
                      <w:rFonts w:hint="eastAsia"/>
                      <w:b/>
                      <w:color w:val="auto"/>
                      <w:szCs w:val="21"/>
                    </w:rPr>
                    <w:t>平均时间</w:t>
                  </w:r>
                </w:p>
              </w:tc>
              <w:tc>
                <w:tcPr>
                  <w:tcW w:w="1080" w:type="dxa"/>
                  <w:vMerge w:val="restart"/>
                  <w:tcBorders>
                    <w:tl2br w:val="nil"/>
                    <w:tr2bl w:val="nil"/>
                  </w:tcBorders>
                  <w:vAlign w:val="center"/>
                </w:tcPr>
                <w:p>
                  <w:pPr>
                    <w:jc w:val="center"/>
                    <w:rPr>
                      <w:b/>
                      <w:bCs/>
                      <w:color w:val="auto"/>
                      <w:szCs w:val="21"/>
                    </w:rPr>
                  </w:pPr>
                  <w:r>
                    <w:rPr>
                      <w:rFonts w:hint="eastAsia"/>
                      <w:b/>
                      <w:bCs/>
                      <w:color w:val="auto"/>
                      <w:szCs w:val="21"/>
                    </w:rPr>
                    <w:t>评价</w:t>
                  </w:r>
                  <w:r>
                    <w:rPr>
                      <w:b/>
                      <w:bCs/>
                      <w:color w:val="auto"/>
                      <w:szCs w:val="21"/>
                    </w:rPr>
                    <w:t>标准</w:t>
                  </w:r>
                </w:p>
                <w:p>
                  <w:pPr>
                    <w:jc w:val="center"/>
                    <w:rPr>
                      <w:b/>
                      <w:color w:val="auto"/>
                      <w:szCs w:val="21"/>
                    </w:rPr>
                  </w:pPr>
                  <w:r>
                    <w:rPr>
                      <w:rFonts w:hint="eastAsia"/>
                      <w:b/>
                      <w:color w:val="auto"/>
                      <w:szCs w:val="21"/>
                    </w:rPr>
                    <w:t>/（</w:t>
                  </w:r>
                  <w:r>
                    <w:rPr>
                      <w:b/>
                      <w:color w:val="auto"/>
                      <w:szCs w:val="21"/>
                    </w:rPr>
                    <w:t>μg/m³</w:t>
                  </w:r>
                  <w:r>
                    <w:rPr>
                      <w:rFonts w:hint="eastAsia"/>
                      <w:b/>
                      <w:color w:val="auto"/>
                      <w:szCs w:val="21"/>
                    </w:rPr>
                    <w:t>）</w:t>
                  </w:r>
                </w:p>
              </w:tc>
              <w:tc>
                <w:tcPr>
                  <w:tcW w:w="1335" w:type="dxa"/>
                  <w:vMerge w:val="restart"/>
                  <w:tcBorders>
                    <w:tl2br w:val="nil"/>
                    <w:tr2bl w:val="nil"/>
                  </w:tcBorders>
                  <w:vAlign w:val="center"/>
                </w:tcPr>
                <w:p>
                  <w:pPr>
                    <w:jc w:val="center"/>
                    <w:rPr>
                      <w:b/>
                      <w:color w:val="auto"/>
                      <w:szCs w:val="21"/>
                    </w:rPr>
                  </w:pPr>
                  <w:r>
                    <w:rPr>
                      <w:rFonts w:hint="eastAsia"/>
                      <w:b/>
                      <w:color w:val="auto"/>
                      <w:szCs w:val="21"/>
                    </w:rPr>
                    <w:t>监测浓度范围/（</w:t>
                  </w:r>
                  <w:r>
                    <w:rPr>
                      <w:b/>
                      <w:color w:val="auto"/>
                      <w:szCs w:val="21"/>
                    </w:rPr>
                    <w:t>μg/m³</w:t>
                  </w:r>
                  <w:r>
                    <w:rPr>
                      <w:rFonts w:hint="eastAsia"/>
                      <w:b/>
                      <w:color w:val="auto"/>
                      <w:szCs w:val="21"/>
                    </w:rPr>
                    <w:t>）</w:t>
                  </w:r>
                </w:p>
              </w:tc>
              <w:tc>
                <w:tcPr>
                  <w:tcW w:w="945" w:type="dxa"/>
                  <w:vMerge w:val="restart"/>
                  <w:tcBorders>
                    <w:tl2br w:val="nil"/>
                    <w:tr2bl w:val="nil"/>
                  </w:tcBorders>
                  <w:vAlign w:val="center"/>
                </w:tcPr>
                <w:p>
                  <w:pPr>
                    <w:jc w:val="center"/>
                    <w:rPr>
                      <w:color w:val="auto"/>
                    </w:rPr>
                  </w:pPr>
                  <w:r>
                    <w:rPr>
                      <w:rFonts w:hint="eastAsia"/>
                      <w:b/>
                      <w:color w:val="auto"/>
                      <w:szCs w:val="21"/>
                    </w:rPr>
                    <w:t>最大浓度占标率/%</w:t>
                  </w:r>
                </w:p>
              </w:tc>
              <w:tc>
                <w:tcPr>
                  <w:tcW w:w="870" w:type="dxa"/>
                  <w:vMerge w:val="restart"/>
                  <w:tcBorders>
                    <w:tl2br w:val="nil"/>
                    <w:tr2bl w:val="nil"/>
                  </w:tcBorders>
                  <w:vAlign w:val="center"/>
                </w:tcPr>
                <w:p>
                  <w:pPr>
                    <w:jc w:val="center"/>
                    <w:rPr>
                      <w:b/>
                      <w:color w:val="auto"/>
                      <w:szCs w:val="21"/>
                    </w:rPr>
                  </w:pPr>
                  <w:r>
                    <w:rPr>
                      <w:rFonts w:hint="eastAsia"/>
                      <w:b/>
                      <w:color w:val="auto"/>
                      <w:szCs w:val="21"/>
                    </w:rPr>
                    <w:t>超标频率/%</w:t>
                  </w:r>
                </w:p>
              </w:tc>
              <w:tc>
                <w:tcPr>
                  <w:tcW w:w="787" w:type="dxa"/>
                  <w:vMerge w:val="restart"/>
                  <w:tcBorders>
                    <w:tl2br w:val="nil"/>
                    <w:tr2bl w:val="nil"/>
                  </w:tcBorders>
                  <w:vAlign w:val="center"/>
                </w:tcPr>
                <w:p>
                  <w:pPr>
                    <w:jc w:val="center"/>
                    <w:rPr>
                      <w:b/>
                      <w:color w:val="auto"/>
                      <w:szCs w:val="21"/>
                    </w:rPr>
                  </w:pPr>
                  <w:r>
                    <w:rPr>
                      <w:rFonts w:hint="eastAsia"/>
                      <w:b/>
                      <w:color w:val="auto"/>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blHeader/>
                <w:jc w:val="center"/>
              </w:trPr>
              <w:tc>
                <w:tcPr>
                  <w:tcW w:w="1307" w:type="dxa"/>
                  <w:vMerge w:val="continue"/>
                  <w:tcBorders>
                    <w:tl2br w:val="nil"/>
                    <w:tr2bl w:val="nil"/>
                  </w:tcBorders>
                  <w:vAlign w:val="center"/>
                </w:tcPr>
                <w:p>
                  <w:pPr>
                    <w:jc w:val="center"/>
                    <w:rPr>
                      <w:color w:val="auto"/>
                    </w:rPr>
                  </w:pPr>
                </w:p>
              </w:tc>
              <w:tc>
                <w:tcPr>
                  <w:tcW w:w="720" w:type="dxa"/>
                  <w:tcBorders>
                    <w:tl2br w:val="nil"/>
                    <w:tr2bl w:val="nil"/>
                  </w:tcBorders>
                  <w:vAlign w:val="center"/>
                </w:tcPr>
                <w:p>
                  <w:pPr>
                    <w:autoSpaceDE w:val="0"/>
                    <w:autoSpaceDN w:val="0"/>
                    <w:jc w:val="center"/>
                    <w:rPr>
                      <w:color w:val="auto"/>
                    </w:rPr>
                  </w:pPr>
                  <w:r>
                    <w:rPr>
                      <w:rFonts w:hint="eastAsia"/>
                      <w:color w:val="auto"/>
                    </w:rPr>
                    <w:t>X</w:t>
                  </w:r>
                </w:p>
              </w:tc>
              <w:tc>
                <w:tcPr>
                  <w:tcW w:w="653" w:type="dxa"/>
                  <w:tcBorders>
                    <w:tl2br w:val="nil"/>
                    <w:tr2bl w:val="nil"/>
                  </w:tcBorders>
                  <w:vAlign w:val="center"/>
                </w:tcPr>
                <w:p>
                  <w:pPr>
                    <w:autoSpaceDE w:val="0"/>
                    <w:autoSpaceDN w:val="0"/>
                    <w:jc w:val="center"/>
                    <w:rPr>
                      <w:color w:val="auto"/>
                    </w:rPr>
                  </w:pPr>
                  <w:r>
                    <w:rPr>
                      <w:rFonts w:hint="eastAsia"/>
                      <w:color w:val="auto"/>
                    </w:rPr>
                    <w:t>Y</w:t>
                  </w:r>
                </w:p>
              </w:tc>
              <w:tc>
                <w:tcPr>
                  <w:tcW w:w="735" w:type="dxa"/>
                  <w:vMerge w:val="continue"/>
                  <w:tcBorders>
                    <w:tl2br w:val="nil"/>
                    <w:tr2bl w:val="nil"/>
                  </w:tcBorders>
                  <w:vAlign w:val="center"/>
                </w:tcPr>
                <w:p>
                  <w:pPr>
                    <w:jc w:val="center"/>
                    <w:rPr>
                      <w:color w:val="auto"/>
                    </w:rPr>
                  </w:pPr>
                </w:p>
              </w:tc>
              <w:tc>
                <w:tcPr>
                  <w:tcW w:w="710" w:type="dxa"/>
                  <w:vMerge w:val="continue"/>
                  <w:tcBorders>
                    <w:tl2br w:val="nil"/>
                    <w:tr2bl w:val="nil"/>
                  </w:tcBorders>
                  <w:vAlign w:val="center"/>
                </w:tcPr>
                <w:p>
                  <w:pPr>
                    <w:jc w:val="center"/>
                    <w:rPr>
                      <w:color w:val="auto"/>
                    </w:rPr>
                  </w:pPr>
                </w:p>
              </w:tc>
              <w:tc>
                <w:tcPr>
                  <w:tcW w:w="1080" w:type="dxa"/>
                  <w:vMerge w:val="continue"/>
                  <w:tcBorders>
                    <w:tl2br w:val="nil"/>
                    <w:tr2bl w:val="nil"/>
                  </w:tcBorders>
                  <w:vAlign w:val="center"/>
                </w:tcPr>
                <w:p>
                  <w:pPr>
                    <w:jc w:val="center"/>
                    <w:rPr>
                      <w:color w:val="auto"/>
                    </w:rPr>
                  </w:pPr>
                </w:p>
              </w:tc>
              <w:tc>
                <w:tcPr>
                  <w:tcW w:w="1335" w:type="dxa"/>
                  <w:vMerge w:val="continue"/>
                  <w:tcBorders>
                    <w:tl2br w:val="nil"/>
                    <w:tr2bl w:val="nil"/>
                  </w:tcBorders>
                  <w:vAlign w:val="center"/>
                </w:tcPr>
                <w:p>
                  <w:pPr>
                    <w:jc w:val="center"/>
                    <w:rPr>
                      <w:color w:val="auto"/>
                    </w:rPr>
                  </w:pPr>
                </w:p>
              </w:tc>
              <w:tc>
                <w:tcPr>
                  <w:tcW w:w="945" w:type="dxa"/>
                  <w:vMerge w:val="continue"/>
                  <w:tcBorders>
                    <w:tl2br w:val="nil"/>
                    <w:tr2bl w:val="nil"/>
                  </w:tcBorders>
                  <w:vAlign w:val="center"/>
                </w:tcPr>
                <w:p>
                  <w:pPr>
                    <w:jc w:val="center"/>
                    <w:rPr>
                      <w:color w:val="auto"/>
                    </w:rPr>
                  </w:pPr>
                </w:p>
              </w:tc>
              <w:tc>
                <w:tcPr>
                  <w:tcW w:w="870" w:type="dxa"/>
                  <w:vMerge w:val="continue"/>
                  <w:tcBorders>
                    <w:tl2br w:val="nil"/>
                    <w:tr2bl w:val="nil"/>
                  </w:tcBorders>
                  <w:vAlign w:val="center"/>
                </w:tcPr>
                <w:p>
                  <w:pPr>
                    <w:jc w:val="center"/>
                    <w:rPr>
                      <w:color w:val="auto"/>
                    </w:rPr>
                  </w:pPr>
                </w:p>
              </w:tc>
              <w:tc>
                <w:tcPr>
                  <w:tcW w:w="787" w:type="dxa"/>
                  <w:vMerge w:val="continue"/>
                  <w:tcBorders>
                    <w:tl2br w:val="nil"/>
                    <w:tr2bl w:val="nil"/>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307" w:type="dxa"/>
                  <w:tcBorders>
                    <w:tl2br w:val="nil"/>
                    <w:tr2bl w:val="nil"/>
                  </w:tcBorders>
                  <w:vAlign w:val="center"/>
                </w:tcPr>
                <w:p>
                  <w:pPr>
                    <w:pStyle w:val="2"/>
                    <w:jc w:val="center"/>
                    <w:rPr>
                      <w:rFonts w:hint="eastAsia" w:eastAsia="宋体"/>
                      <w:color w:val="auto"/>
                      <w:sz w:val="21"/>
                      <w:szCs w:val="21"/>
                      <w:lang w:eastAsia="zh-CN"/>
                    </w:rPr>
                  </w:pPr>
                  <w:r>
                    <w:rPr>
                      <w:rFonts w:hint="eastAsia" w:ascii="Times New Roman" w:cs="Times New Roman"/>
                      <w:color w:val="auto"/>
                      <w:sz w:val="21"/>
                      <w:szCs w:val="21"/>
                    </w:rPr>
                    <w:t>开平市水口镇怡泰五金厂</w:t>
                  </w:r>
                  <w:r>
                    <w:rPr>
                      <w:rFonts w:hint="eastAsia" w:ascii="Times New Roman" w:cs="Times New Roman"/>
                      <w:color w:val="auto"/>
                      <w:sz w:val="21"/>
                      <w:szCs w:val="21"/>
                      <w:lang w:eastAsia="zh-CN"/>
                    </w:rPr>
                    <w:t>所在地</w:t>
                  </w:r>
                </w:p>
              </w:tc>
              <w:tc>
                <w:tcPr>
                  <w:tcW w:w="720" w:type="dxa"/>
                  <w:tcBorders>
                    <w:tl2br w:val="nil"/>
                    <w:tr2bl w:val="nil"/>
                  </w:tcBorders>
                  <w:vAlign w:val="center"/>
                </w:tcPr>
                <w:p>
                  <w:pPr>
                    <w:jc w:val="center"/>
                    <w:rPr>
                      <w:color w:val="auto"/>
                      <w:szCs w:val="21"/>
                    </w:rPr>
                  </w:pPr>
                  <w:r>
                    <w:rPr>
                      <w:rFonts w:hint="eastAsia"/>
                      <w:color w:val="auto"/>
                      <w:szCs w:val="21"/>
                      <w:lang w:val="en-US" w:eastAsia="zh-CN"/>
                    </w:rPr>
                    <w:t>-1379</w:t>
                  </w:r>
                </w:p>
              </w:tc>
              <w:tc>
                <w:tcPr>
                  <w:tcW w:w="653" w:type="dxa"/>
                  <w:tcBorders>
                    <w:tl2br w:val="nil"/>
                    <w:tr2bl w:val="nil"/>
                  </w:tcBorders>
                  <w:vAlign w:val="center"/>
                </w:tcPr>
                <w:p>
                  <w:pPr>
                    <w:jc w:val="center"/>
                    <w:rPr>
                      <w:color w:val="auto"/>
                      <w:szCs w:val="21"/>
                    </w:rPr>
                  </w:pPr>
                  <w:r>
                    <w:rPr>
                      <w:rFonts w:hint="eastAsia"/>
                      <w:color w:val="auto"/>
                      <w:szCs w:val="21"/>
                      <w:lang w:val="en-US" w:eastAsia="zh-CN"/>
                    </w:rPr>
                    <w:t>1448</w:t>
                  </w:r>
                </w:p>
              </w:tc>
              <w:tc>
                <w:tcPr>
                  <w:tcW w:w="735" w:type="dxa"/>
                  <w:tcBorders>
                    <w:tl2br w:val="nil"/>
                    <w:tr2bl w:val="nil"/>
                  </w:tcBorders>
                  <w:vAlign w:val="center"/>
                </w:tcPr>
                <w:p>
                  <w:pPr>
                    <w:jc w:val="center"/>
                    <w:rPr>
                      <w:color w:val="auto"/>
                      <w:szCs w:val="21"/>
                    </w:rPr>
                  </w:pPr>
                  <w:r>
                    <w:rPr>
                      <w:rFonts w:hint="eastAsia"/>
                      <w:color w:val="auto"/>
                      <w:szCs w:val="21"/>
                    </w:rPr>
                    <w:t>非甲烷总烃</w:t>
                  </w:r>
                </w:p>
              </w:tc>
              <w:tc>
                <w:tcPr>
                  <w:tcW w:w="710" w:type="dxa"/>
                  <w:tcBorders>
                    <w:tl2br w:val="nil"/>
                    <w:tr2bl w:val="nil"/>
                  </w:tcBorders>
                  <w:vAlign w:val="center"/>
                </w:tcPr>
                <w:p>
                  <w:pPr>
                    <w:jc w:val="center"/>
                    <w:rPr>
                      <w:color w:val="auto"/>
                      <w:szCs w:val="21"/>
                    </w:rPr>
                  </w:pPr>
                  <w:r>
                    <w:rPr>
                      <w:rFonts w:hint="eastAsia"/>
                      <w:color w:val="auto"/>
                    </w:rPr>
                    <w:t>1h</w:t>
                  </w:r>
                </w:p>
              </w:tc>
              <w:tc>
                <w:tcPr>
                  <w:tcW w:w="1080" w:type="dxa"/>
                  <w:tcBorders>
                    <w:tl2br w:val="nil"/>
                    <w:tr2bl w:val="nil"/>
                  </w:tcBorders>
                  <w:vAlign w:val="center"/>
                </w:tcPr>
                <w:p>
                  <w:pPr>
                    <w:pStyle w:val="153"/>
                    <w:tabs>
                      <w:tab w:val="left" w:pos="-2848"/>
                    </w:tabs>
                    <w:rPr>
                      <w:rFonts w:hint="default" w:eastAsia="宋体"/>
                      <w:color w:val="auto"/>
                      <w:szCs w:val="21"/>
                      <w:lang w:val="en-US" w:eastAsia="zh-CN"/>
                    </w:rPr>
                  </w:pPr>
                  <w:r>
                    <w:rPr>
                      <w:rFonts w:hint="eastAsia"/>
                      <w:color w:val="auto"/>
                      <w:szCs w:val="21"/>
                      <w:lang w:val="en-US" w:eastAsia="zh-CN"/>
                    </w:rPr>
                    <w:t>2000</w:t>
                  </w:r>
                </w:p>
              </w:tc>
              <w:tc>
                <w:tcPr>
                  <w:tcW w:w="133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80</w:t>
                  </w:r>
                  <w:r>
                    <w:rPr>
                      <w:rFonts w:hint="eastAsia"/>
                      <w:color w:val="auto"/>
                      <w:szCs w:val="21"/>
                    </w:rPr>
                    <w:t>~</w:t>
                  </w:r>
                  <w:r>
                    <w:rPr>
                      <w:rFonts w:hint="eastAsia"/>
                      <w:color w:val="auto"/>
                      <w:szCs w:val="21"/>
                      <w:lang w:val="en-US" w:eastAsia="zh-CN"/>
                    </w:rPr>
                    <w:t>120</w:t>
                  </w:r>
                </w:p>
              </w:tc>
              <w:tc>
                <w:tcPr>
                  <w:tcW w:w="945" w:type="dxa"/>
                  <w:tcBorders>
                    <w:tl2br w:val="nil"/>
                    <w:tr2bl w:val="nil"/>
                  </w:tcBorders>
                  <w:vAlign w:val="center"/>
                </w:tcPr>
                <w:p>
                  <w:pPr>
                    <w:jc w:val="center"/>
                    <w:rPr>
                      <w:rFonts w:eastAsia="仿宋_GB2312"/>
                      <w:color w:val="auto"/>
                    </w:rPr>
                  </w:pPr>
                  <w:r>
                    <w:rPr>
                      <w:rFonts w:hint="eastAsia" w:eastAsia="仿宋_GB2312"/>
                      <w:color w:val="auto"/>
                    </w:rPr>
                    <w:t>6</w:t>
                  </w:r>
                </w:p>
              </w:tc>
              <w:tc>
                <w:tcPr>
                  <w:tcW w:w="870" w:type="dxa"/>
                  <w:tcBorders>
                    <w:tl2br w:val="nil"/>
                    <w:tr2bl w:val="nil"/>
                  </w:tcBorders>
                  <w:vAlign w:val="center"/>
                </w:tcPr>
                <w:p>
                  <w:pPr>
                    <w:autoSpaceDE w:val="0"/>
                    <w:autoSpaceDN w:val="0"/>
                    <w:jc w:val="center"/>
                    <w:rPr>
                      <w:color w:val="auto"/>
                      <w:szCs w:val="21"/>
                    </w:rPr>
                  </w:pPr>
                  <w:r>
                    <w:rPr>
                      <w:rFonts w:hint="eastAsia"/>
                      <w:color w:val="auto"/>
                      <w:szCs w:val="21"/>
                    </w:rPr>
                    <w:t>/</w:t>
                  </w:r>
                </w:p>
              </w:tc>
              <w:tc>
                <w:tcPr>
                  <w:tcW w:w="787" w:type="dxa"/>
                  <w:tcBorders>
                    <w:tl2br w:val="nil"/>
                    <w:tr2bl w:val="nil"/>
                  </w:tcBorders>
                  <w:vAlign w:val="center"/>
                </w:tcPr>
                <w:p>
                  <w:pPr>
                    <w:autoSpaceDE w:val="0"/>
                    <w:autoSpaceDN w:val="0"/>
                    <w:jc w:val="center"/>
                    <w:rPr>
                      <w:color w:val="auto"/>
                      <w:szCs w:val="21"/>
                    </w:rPr>
                  </w:pPr>
                  <w:r>
                    <w:rPr>
                      <w:rFonts w:hint="eastAsia"/>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307" w:type="dxa"/>
                  <w:tcBorders>
                    <w:tl2br w:val="nil"/>
                    <w:tr2bl w:val="nil"/>
                  </w:tcBorders>
                  <w:vAlign w:val="center"/>
                </w:tcPr>
                <w:p>
                  <w:pPr>
                    <w:widowControl w:val="0"/>
                    <w:autoSpaceDE w:val="0"/>
                    <w:autoSpaceDN w:val="0"/>
                    <w:adjustRightInd w:val="0"/>
                    <w:spacing w:line="240" w:lineRule="auto"/>
                    <w:jc w:val="center"/>
                    <w:rPr>
                      <w:rFonts w:hint="eastAsia" w:ascii="Times New Roman" w:cs="Times New Roman"/>
                      <w:color w:val="auto"/>
                      <w:sz w:val="21"/>
                      <w:szCs w:val="21"/>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p>
              </w:tc>
              <w:tc>
                <w:tcPr>
                  <w:tcW w:w="720" w:type="dxa"/>
                  <w:tcBorders>
                    <w:tl2br w:val="nil"/>
                    <w:tr2bl w:val="nil"/>
                  </w:tcBorders>
                  <w:vAlign w:val="center"/>
                </w:tcPr>
                <w:p>
                  <w:pPr>
                    <w:widowControl w:val="0"/>
                    <w:spacing w:after="0" w:line="240" w:lineRule="auto"/>
                    <w:jc w:val="center"/>
                    <w:rPr>
                      <w:rFonts w:hint="default"/>
                      <w:color w:val="auto"/>
                      <w:szCs w:val="21"/>
                      <w:lang w:val="en-US"/>
                    </w:rPr>
                  </w:pPr>
                  <w:r>
                    <w:rPr>
                      <w:rFonts w:hint="eastAsia" w:cs="Times New Roman"/>
                      <w:color w:val="auto"/>
                      <w:kern w:val="2"/>
                      <w:sz w:val="21"/>
                      <w:szCs w:val="21"/>
                      <w:highlight w:val="none"/>
                      <w:lang w:val="en-US" w:eastAsia="zh-CN"/>
                    </w:rPr>
                    <w:t>418</w:t>
                  </w:r>
                </w:p>
              </w:tc>
              <w:tc>
                <w:tcPr>
                  <w:tcW w:w="653" w:type="dxa"/>
                  <w:tcBorders>
                    <w:tl2br w:val="nil"/>
                    <w:tr2bl w:val="nil"/>
                  </w:tcBorders>
                  <w:vAlign w:val="center"/>
                </w:tcPr>
                <w:p>
                  <w:pPr>
                    <w:widowControl w:val="0"/>
                    <w:spacing w:after="0" w:line="240" w:lineRule="auto"/>
                    <w:jc w:val="center"/>
                    <w:rPr>
                      <w:rFonts w:hint="default"/>
                      <w:color w:val="auto"/>
                      <w:szCs w:val="21"/>
                      <w:lang w:val="en-US"/>
                    </w:rPr>
                  </w:pPr>
                  <w:r>
                    <w:rPr>
                      <w:rFonts w:hint="eastAsia" w:cs="Times New Roman"/>
                      <w:color w:val="auto"/>
                      <w:kern w:val="2"/>
                      <w:sz w:val="21"/>
                      <w:szCs w:val="21"/>
                      <w:highlight w:val="none"/>
                      <w:lang w:val="en-US" w:eastAsia="zh-CN"/>
                    </w:rPr>
                    <w:t>1060</w:t>
                  </w:r>
                </w:p>
              </w:tc>
              <w:tc>
                <w:tcPr>
                  <w:tcW w:w="735" w:type="dxa"/>
                  <w:tcBorders>
                    <w:tl2br w:val="nil"/>
                    <w:tr2bl w:val="nil"/>
                  </w:tcBorders>
                  <w:vAlign w:val="center"/>
                </w:tcPr>
                <w:p>
                  <w:pPr>
                    <w:widowControl w:val="0"/>
                    <w:spacing w:after="0" w:line="240" w:lineRule="auto"/>
                    <w:jc w:val="center"/>
                    <w:rPr>
                      <w:rFonts w:hint="eastAsia"/>
                      <w:color w:val="auto"/>
                      <w:szCs w:val="21"/>
                    </w:rPr>
                  </w:pPr>
                  <w:r>
                    <w:rPr>
                      <w:rFonts w:hint="eastAsia" w:ascii="Times New Roman" w:hAnsi="Times New Roman" w:eastAsia="宋体" w:cs="Times New Roman"/>
                      <w:color w:val="auto"/>
                      <w:kern w:val="2"/>
                      <w:sz w:val="21"/>
                      <w:szCs w:val="21"/>
                      <w:highlight w:val="none"/>
                      <w:lang w:val="en-US" w:eastAsia="zh-CN"/>
                    </w:rPr>
                    <w:t>TSP</w:t>
                  </w:r>
                </w:p>
              </w:tc>
              <w:tc>
                <w:tcPr>
                  <w:tcW w:w="710" w:type="dxa"/>
                  <w:tcBorders>
                    <w:tl2br w:val="nil"/>
                    <w:tr2bl w:val="nil"/>
                  </w:tcBorders>
                  <w:vAlign w:val="center"/>
                </w:tcPr>
                <w:p>
                  <w:pPr>
                    <w:widowControl w:val="0"/>
                    <w:spacing w:after="0" w:line="240" w:lineRule="auto"/>
                    <w:jc w:val="center"/>
                    <w:rPr>
                      <w:rFonts w:hint="eastAsia"/>
                      <w:color w:val="auto"/>
                    </w:rPr>
                  </w:pPr>
                  <w:r>
                    <w:rPr>
                      <w:rFonts w:hint="eastAsia" w:ascii="Times New Roman" w:hAnsi="Times New Roman" w:eastAsia="宋体" w:cs="Times New Roman"/>
                      <w:color w:val="auto"/>
                      <w:kern w:val="2"/>
                      <w:sz w:val="21"/>
                      <w:szCs w:val="24"/>
                      <w:highlight w:val="none"/>
                      <w:lang w:val="en-US" w:eastAsia="zh-CN"/>
                    </w:rPr>
                    <w:t>24h</w:t>
                  </w:r>
                </w:p>
              </w:tc>
              <w:tc>
                <w:tcPr>
                  <w:tcW w:w="1080" w:type="dxa"/>
                  <w:tcBorders>
                    <w:tl2br w:val="nil"/>
                    <w:tr2bl w:val="nil"/>
                  </w:tcBorders>
                  <w:vAlign w:val="center"/>
                </w:tcPr>
                <w:p>
                  <w:pPr>
                    <w:widowControl w:val="0"/>
                    <w:tabs>
                      <w:tab w:val="left" w:pos="-2848"/>
                    </w:tabs>
                    <w:spacing w:line="240" w:lineRule="auto"/>
                    <w:jc w:val="center"/>
                    <w:rPr>
                      <w:rFonts w:hint="eastAsia"/>
                      <w:color w:val="auto"/>
                      <w:szCs w:val="21"/>
                      <w:lang w:val="en-US" w:eastAsia="zh-CN"/>
                    </w:rPr>
                  </w:pPr>
                  <w:r>
                    <w:rPr>
                      <w:rFonts w:hint="eastAsia" w:ascii="Times New Roman" w:hAnsi="Times New Roman" w:eastAsia="宋体" w:cs="Times New Roman"/>
                      <w:color w:val="auto"/>
                      <w:kern w:val="44"/>
                      <w:sz w:val="21"/>
                      <w:szCs w:val="21"/>
                      <w:highlight w:val="none"/>
                      <w:lang w:val="en-US" w:eastAsia="zh-CN" w:bidi="ar-SA"/>
                    </w:rPr>
                    <w:t>300</w:t>
                  </w:r>
                </w:p>
              </w:tc>
              <w:tc>
                <w:tcPr>
                  <w:tcW w:w="1335" w:type="dxa"/>
                  <w:tcBorders>
                    <w:tl2br w:val="nil"/>
                    <w:tr2bl w:val="nil"/>
                  </w:tcBorders>
                  <w:vAlign w:val="center"/>
                </w:tcPr>
                <w:p>
                  <w:pPr>
                    <w:widowControl w:val="0"/>
                    <w:spacing w:after="0" w:line="240" w:lineRule="auto"/>
                    <w:jc w:val="center"/>
                    <w:rPr>
                      <w:rFonts w:hint="eastAsia"/>
                      <w:color w:val="auto"/>
                      <w:szCs w:val="21"/>
                      <w:lang w:val="en-US" w:eastAsia="zh-CN"/>
                    </w:rPr>
                  </w:pPr>
                  <w:r>
                    <w:rPr>
                      <w:rFonts w:hint="eastAsia" w:ascii="Times New Roman" w:hAnsi="Times New Roman" w:eastAsia="宋体" w:cs="Times New Roman"/>
                      <w:color w:val="auto"/>
                      <w:kern w:val="2"/>
                      <w:sz w:val="21"/>
                      <w:szCs w:val="21"/>
                      <w:highlight w:val="none"/>
                      <w:lang w:val="en-US" w:eastAsia="zh-CN"/>
                    </w:rPr>
                    <w:t>110~128</w:t>
                  </w:r>
                </w:p>
              </w:tc>
              <w:tc>
                <w:tcPr>
                  <w:tcW w:w="945" w:type="dxa"/>
                  <w:tcBorders>
                    <w:tl2br w:val="nil"/>
                    <w:tr2bl w:val="nil"/>
                  </w:tcBorders>
                  <w:vAlign w:val="center"/>
                </w:tcPr>
                <w:p>
                  <w:pPr>
                    <w:widowControl w:val="0"/>
                    <w:spacing w:after="0" w:line="240" w:lineRule="auto"/>
                    <w:jc w:val="center"/>
                    <w:rPr>
                      <w:rFonts w:hint="eastAsia" w:eastAsia="仿宋_GB2312"/>
                      <w:color w:val="auto"/>
                    </w:rPr>
                  </w:pPr>
                  <w:r>
                    <w:rPr>
                      <w:rFonts w:hint="eastAsia" w:ascii="Times New Roman" w:hAnsi="Times New Roman" w:eastAsia="仿宋_GB2312" w:cs="Times New Roman"/>
                      <w:color w:val="auto"/>
                      <w:kern w:val="2"/>
                      <w:sz w:val="21"/>
                      <w:szCs w:val="24"/>
                      <w:highlight w:val="none"/>
                      <w:lang w:val="en-US" w:eastAsia="zh-CN"/>
                    </w:rPr>
                    <w:t>42.7</w:t>
                  </w:r>
                </w:p>
              </w:tc>
              <w:tc>
                <w:tcPr>
                  <w:tcW w:w="870" w:type="dxa"/>
                  <w:tcBorders>
                    <w:tl2br w:val="nil"/>
                    <w:tr2bl w:val="nil"/>
                  </w:tcBorders>
                  <w:vAlign w:val="center"/>
                </w:tcPr>
                <w:p>
                  <w:pPr>
                    <w:widowControl w:val="0"/>
                    <w:autoSpaceDE w:val="0"/>
                    <w:autoSpaceDN w:val="0"/>
                    <w:spacing w:after="0" w:line="240" w:lineRule="auto"/>
                    <w:jc w:val="center"/>
                    <w:rPr>
                      <w:rFonts w:hint="eastAsia"/>
                      <w:color w:val="auto"/>
                      <w:szCs w:val="21"/>
                    </w:rPr>
                  </w:pPr>
                  <w:r>
                    <w:rPr>
                      <w:rFonts w:hint="default" w:ascii="Times New Roman" w:hAnsi="Times New Roman" w:eastAsia="宋体" w:cs="Times New Roman"/>
                      <w:color w:val="auto"/>
                      <w:kern w:val="2"/>
                      <w:sz w:val="21"/>
                      <w:szCs w:val="21"/>
                      <w:highlight w:val="none"/>
                    </w:rPr>
                    <w:t>/</w:t>
                  </w:r>
                </w:p>
              </w:tc>
              <w:tc>
                <w:tcPr>
                  <w:tcW w:w="787" w:type="dxa"/>
                  <w:tcBorders>
                    <w:tl2br w:val="nil"/>
                    <w:tr2bl w:val="nil"/>
                  </w:tcBorders>
                  <w:vAlign w:val="center"/>
                </w:tcPr>
                <w:p>
                  <w:pPr>
                    <w:widowControl w:val="0"/>
                    <w:autoSpaceDE w:val="0"/>
                    <w:autoSpaceDN w:val="0"/>
                    <w:spacing w:after="0" w:line="240" w:lineRule="auto"/>
                    <w:jc w:val="center"/>
                    <w:rPr>
                      <w:rFonts w:hint="eastAsia"/>
                      <w:color w:val="auto"/>
                      <w:szCs w:val="21"/>
                    </w:rPr>
                  </w:pPr>
                  <w:r>
                    <w:rPr>
                      <w:rFonts w:hint="default" w:ascii="Times New Roman" w:hAnsi="Times New Roman" w:eastAsia="宋体" w:cs="Times New Roman"/>
                      <w:color w:val="auto"/>
                      <w:kern w:val="2"/>
                      <w:sz w:val="21"/>
                      <w:szCs w:val="21"/>
                      <w:highlight w:val="none"/>
                    </w:rPr>
                    <w:t>达标</w:t>
                  </w:r>
                </w:p>
              </w:tc>
            </w:tr>
          </w:tbl>
          <w:p>
            <w:pPr>
              <w:widowControl w:val="0"/>
              <w:spacing w:after="0" w:line="360" w:lineRule="auto"/>
              <w:ind w:firstLine="422" w:firstLineChars="200"/>
              <w:jc w:val="left"/>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说明：坐标原点为本项目所在厂区。</w:t>
            </w:r>
          </w:p>
          <w:p>
            <w:pPr>
              <w:widowControl w:val="0"/>
              <w:spacing w:after="0" w:line="360" w:lineRule="auto"/>
              <w:ind w:firstLine="480" w:firstLineChars="200"/>
              <w:jc w:val="left"/>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监测结果表明，项目所在地非甲烷总烃符合《大气污染物综合排放标准详解》中解释标准，</w:t>
            </w:r>
            <w:r>
              <w:rPr>
                <w:rFonts w:hint="eastAsia" w:ascii="Times New Roman" w:hAnsi="Times New Roman" w:eastAsia="宋体" w:cs="Times New Roman"/>
                <w:color w:val="auto"/>
                <w:kern w:val="2"/>
                <w:sz w:val="24"/>
                <w:szCs w:val="24"/>
                <w:highlight w:val="none"/>
                <w:lang w:val="en-US" w:eastAsia="zh-CN"/>
              </w:rPr>
              <w:t>TSP</w:t>
            </w:r>
            <w:r>
              <w:rPr>
                <w:rFonts w:hint="default" w:ascii="Times New Roman" w:hAnsi="Times New Roman" w:cs="Times New Roman" w:eastAsiaTheme="minorEastAsia"/>
                <w:b w:val="0"/>
                <w:bCs/>
                <w:color w:val="auto"/>
                <w:kern w:val="24"/>
                <w:sz w:val="24"/>
                <w:szCs w:val="20"/>
                <w:highlight w:val="none"/>
                <w:lang w:val="en-US" w:eastAsia="zh-CN" w:bidi="ar-SA"/>
              </w:rPr>
              <w:t>满足</w:t>
            </w:r>
            <w:r>
              <w:rPr>
                <w:rFonts w:hint="eastAsia" w:cs="Times New Roman" w:eastAsiaTheme="minorEastAsia"/>
                <w:b w:val="0"/>
                <w:bCs/>
                <w:color w:val="auto"/>
                <w:kern w:val="24"/>
                <w:sz w:val="24"/>
                <w:szCs w:val="20"/>
                <w:highlight w:val="none"/>
                <w:lang w:val="en-US" w:eastAsia="zh-CN" w:bidi="ar-SA"/>
              </w:rPr>
              <w:t>《环境空气质量标准》（GB3095-2012）及”2018修改单”二级标准要求</w:t>
            </w:r>
            <w:r>
              <w:rPr>
                <w:rFonts w:hint="default" w:ascii="Times New Roman" w:hAnsi="Times New Roman" w:eastAsia="宋体" w:cs="Times New Roman"/>
                <w:color w:val="auto"/>
                <w:kern w:val="2"/>
                <w:sz w:val="24"/>
                <w:szCs w:val="24"/>
                <w:highlight w:val="none"/>
              </w:rPr>
              <w:t>。</w:t>
            </w:r>
          </w:p>
          <w:p>
            <w:pPr>
              <w:pStyle w:val="15"/>
              <w:spacing w:before="0" w:after="0" w:line="360" w:lineRule="auto"/>
              <w:ind w:firstLine="470" w:firstLineChars="196"/>
              <w:rPr>
                <w:rFonts w:ascii="Times New Roman" w:hAnsi="Times New Roman" w:eastAsiaTheme="minorEastAsia"/>
                <w:color w:val="auto"/>
                <w:szCs w:val="24"/>
              </w:rPr>
            </w:pPr>
            <w:r>
              <w:rPr>
                <w:rFonts w:ascii="Times New Roman" w:hAnsi="Times New Roman" w:eastAsiaTheme="minorEastAsia"/>
                <w:b w:val="0"/>
                <w:bCs/>
                <w:color w:val="auto"/>
                <w:szCs w:val="24"/>
              </w:rPr>
              <w:t>综上所述，本项目所在区域为环境空气质量不达标区域；SO</w:t>
            </w:r>
            <w:r>
              <w:rPr>
                <w:rFonts w:ascii="Times New Roman" w:hAnsi="Times New Roman" w:eastAsiaTheme="minorEastAsia"/>
                <w:b w:val="0"/>
                <w:bCs/>
                <w:color w:val="auto"/>
                <w:szCs w:val="24"/>
                <w:vertAlign w:val="subscript"/>
              </w:rPr>
              <w:t>2</w:t>
            </w:r>
            <w:r>
              <w:rPr>
                <w:rFonts w:ascii="Times New Roman" w:hAnsi="Times New Roman" w:eastAsiaTheme="minorEastAsia"/>
                <w:b w:val="0"/>
                <w:bCs/>
                <w:color w:val="auto"/>
                <w:szCs w:val="24"/>
              </w:rPr>
              <w:t>、NO</w:t>
            </w:r>
            <w:r>
              <w:rPr>
                <w:rFonts w:ascii="Times New Roman" w:hAnsi="Times New Roman" w:eastAsiaTheme="minorEastAsia"/>
                <w:b w:val="0"/>
                <w:bCs/>
                <w:color w:val="auto"/>
                <w:szCs w:val="24"/>
                <w:vertAlign w:val="subscript"/>
              </w:rPr>
              <w:t>2</w:t>
            </w:r>
            <w:r>
              <w:rPr>
                <w:rFonts w:ascii="Times New Roman" w:hAnsi="Times New Roman" w:eastAsiaTheme="minorEastAsia"/>
                <w:b w:val="0"/>
                <w:bCs/>
                <w:color w:val="auto"/>
                <w:szCs w:val="24"/>
              </w:rPr>
              <w:t>、PM</w:t>
            </w:r>
            <w:r>
              <w:rPr>
                <w:rFonts w:ascii="Times New Roman" w:hAnsi="Times New Roman" w:eastAsiaTheme="minorEastAsia"/>
                <w:b w:val="0"/>
                <w:bCs/>
                <w:color w:val="auto"/>
                <w:szCs w:val="24"/>
                <w:vertAlign w:val="subscript"/>
              </w:rPr>
              <w:t>10</w:t>
            </w:r>
            <w:r>
              <w:rPr>
                <w:rFonts w:ascii="Times New Roman" w:hAnsi="Times New Roman" w:eastAsiaTheme="minorEastAsia"/>
                <w:b w:val="0"/>
                <w:bCs/>
                <w:color w:val="auto"/>
                <w:szCs w:val="24"/>
              </w:rPr>
              <w:t>、PM</w:t>
            </w:r>
            <w:r>
              <w:rPr>
                <w:rFonts w:ascii="Times New Roman" w:hAnsi="Times New Roman" w:eastAsiaTheme="minorEastAsia"/>
                <w:b w:val="0"/>
                <w:bCs/>
                <w:color w:val="auto"/>
                <w:szCs w:val="24"/>
                <w:vertAlign w:val="subscript"/>
              </w:rPr>
              <w:t>2.5</w:t>
            </w:r>
            <w:r>
              <w:rPr>
                <w:rFonts w:ascii="Times New Roman" w:hAnsi="Times New Roman" w:eastAsiaTheme="minorEastAsia"/>
                <w:b w:val="0"/>
                <w:bCs/>
                <w:color w:val="auto"/>
                <w:szCs w:val="24"/>
              </w:rPr>
              <w:t>年平均质量浓度以及CO日均值第95百分位数浓度均满足《环境空气质量标准》（GB3095-2012）及”2018修改单”二级标准要求，O</w:t>
            </w:r>
            <w:r>
              <w:rPr>
                <w:rFonts w:ascii="Times New Roman" w:hAnsi="Times New Roman" w:eastAsiaTheme="minorEastAsia"/>
                <w:b w:val="0"/>
                <w:bCs/>
                <w:color w:val="auto"/>
                <w:szCs w:val="24"/>
                <w:vertAlign w:val="subscript"/>
              </w:rPr>
              <w:t>3</w:t>
            </w:r>
            <w:r>
              <w:rPr>
                <w:rFonts w:ascii="Times New Roman" w:hAnsi="Times New Roman" w:eastAsiaTheme="minorEastAsia"/>
                <w:b w:val="0"/>
                <w:bCs/>
                <w:color w:val="auto"/>
                <w:szCs w:val="24"/>
              </w:rPr>
              <w:t>日最大8小时平均第90百分位数不能满足《环境空气质量标准》（GB3095-2012）及”2018修改单”二级标准要求</w:t>
            </w:r>
            <w:r>
              <w:rPr>
                <w:rFonts w:hint="eastAsia" w:ascii="Times New Roman" w:hAnsi="Times New Roman" w:eastAsiaTheme="minorEastAsia"/>
                <w:b w:val="0"/>
                <w:bCs/>
                <w:color w:val="auto"/>
                <w:szCs w:val="24"/>
              </w:rPr>
              <w:t>；非甲烷总烃满足《大气污染物综合排放标准详解》中解释标准</w:t>
            </w:r>
            <w:r>
              <w:rPr>
                <w:rFonts w:hint="eastAsia" w:ascii="Times New Roman" w:hAnsi="Times New Roman" w:eastAsiaTheme="minorEastAsia"/>
                <w:b w:val="0"/>
                <w:bCs/>
                <w:color w:val="auto"/>
                <w:szCs w:val="24"/>
                <w:lang w:eastAsia="zh-CN"/>
              </w:rPr>
              <w:t>；TSP满足《环境空气质量标准》（GB3095-2012）及”2018修改单”二级标准要求</w:t>
            </w:r>
            <w:r>
              <w:rPr>
                <w:rFonts w:hint="eastAsia" w:ascii="Times New Roman" w:hAnsi="Times New Roman" w:eastAsiaTheme="minorEastAsia"/>
                <w:b w:val="0"/>
                <w:bCs/>
                <w:color w:val="auto"/>
                <w:szCs w:val="24"/>
              </w:rPr>
              <w:t>。说明项目所在地环境质量现状一般。</w:t>
            </w:r>
          </w:p>
          <w:p>
            <w:pPr>
              <w:pStyle w:val="15"/>
              <w:spacing w:before="0" w:after="0" w:line="360" w:lineRule="auto"/>
              <w:ind w:firstLine="470" w:firstLineChars="196"/>
              <w:rPr>
                <w:rFonts w:hint="default" w:ascii="Times New Roman" w:hAnsi="Times New Roman" w:cs="Times New Roman" w:eastAsiaTheme="minorEastAsia"/>
                <w:b w:val="0"/>
                <w:bCs/>
                <w:color w:val="auto"/>
                <w:sz w:val="24"/>
                <w:highlight w:val="none"/>
              </w:rPr>
            </w:pPr>
            <w:r>
              <w:rPr>
                <w:rFonts w:hint="default" w:ascii="Times New Roman" w:hAnsi="Times New Roman" w:cs="Times New Roman" w:eastAsiaTheme="minorEastAsia"/>
                <w:b w:val="0"/>
                <w:bCs/>
                <w:color w:val="auto"/>
                <w:sz w:val="24"/>
                <w:highlight w:val="none"/>
              </w:rPr>
              <w:t>为改善环境质量，江门市已印发《江门市环境空气质量限期达标规划（2018-2020年）》，通过调整产业结构、优化工业布局；优化能源结构，提高清洁能源使用率；强化环境监管，加大工业园减排力度；调整运输结构，强化移动原污染防治；加强精细化管理，深化面源污染治理；强化能力建设，提高环境管理水平；健全法律法规体系，完善 环境管理政策等大气污染防治强化措施，实行区域内2020年环境空气质量全面达标，环境空气质量指标能稳定达到《环境空气质量标准》（GB3095-2012）及”2018修改单”二级标准要求。</w:t>
            </w:r>
          </w:p>
          <w:p>
            <w:pPr>
              <w:pStyle w:val="15"/>
              <w:spacing w:before="0" w:after="0" w:line="360" w:lineRule="auto"/>
              <w:ind w:firstLine="472" w:firstLineChars="196"/>
              <w:rPr>
                <w:rFonts w:ascii="Times New Roman" w:hAnsi="Times New Roman" w:eastAsia="宋体"/>
                <w:color w:val="auto"/>
                <w:szCs w:val="24"/>
              </w:rPr>
            </w:pPr>
            <w:r>
              <w:rPr>
                <w:rFonts w:ascii="Times New Roman" w:hAnsi="Times New Roman" w:eastAsia="宋体"/>
                <w:color w:val="auto"/>
                <w:szCs w:val="24"/>
              </w:rPr>
              <w:t>二、地表水环境质量现状</w:t>
            </w:r>
          </w:p>
          <w:p>
            <w:pPr>
              <w:pStyle w:val="15"/>
              <w:spacing w:before="0" w:after="0" w:line="360" w:lineRule="auto"/>
              <w:ind w:firstLine="470" w:firstLineChars="196"/>
              <w:rPr>
                <w:rFonts w:ascii="Times New Roman" w:hAnsi="Times New Roman" w:eastAsia="宋体"/>
                <w:b w:val="0"/>
                <w:bCs/>
                <w:color w:val="auto"/>
                <w:szCs w:val="24"/>
              </w:rPr>
            </w:pPr>
            <w:r>
              <w:rPr>
                <w:rFonts w:hint="eastAsia" w:ascii="Times New Roman" w:hAnsi="Times New Roman" w:eastAsia="宋体"/>
                <w:b w:val="0"/>
                <w:bCs/>
                <w:color w:val="auto"/>
                <w:szCs w:val="24"/>
              </w:rPr>
              <w:t>本项目所在地属水口污水处理厂纳污范围，生活污水经三级化粪池预处理后排入水口污水处理厂集中处理，根据《开平市水口污水处理厂提标改造工程项目环境影响评价报告表》与其批复（开环批[2018]168号），污水处理厂尾水排入潭江。根据《关于印发&lt;广东省地表水环境功能区划&gt;的通知》（粤环[2011]14号），潭江执行《地表水环境质量标准》（GB3838-2002）中的II类标准。</w:t>
            </w:r>
          </w:p>
          <w:p>
            <w:pPr>
              <w:spacing w:line="360" w:lineRule="auto"/>
              <w:ind w:firstLine="480" w:firstLineChars="200"/>
              <w:rPr>
                <w:color w:val="auto"/>
                <w:sz w:val="24"/>
                <w:szCs w:val="22"/>
              </w:rPr>
            </w:pPr>
            <w:r>
              <w:rPr>
                <w:rFonts w:hint="eastAsia"/>
                <w:bCs/>
                <w:color w:val="auto"/>
                <w:sz w:val="24"/>
              </w:rPr>
              <w:t>项目与开平市水口镇明明五金加工店的纳污水体均为潭江，</w:t>
            </w:r>
            <w:r>
              <w:rPr>
                <w:color w:val="auto"/>
                <w:sz w:val="24"/>
                <w:szCs w:val="22"/>
              </w:rPr>
              <w:t>为了解</w:t>
            </w:r>
            <w:r>
              <w:rPr>
                <w:rFonts w:hint="eastAsia"/>
                <w:color w:val="auto"/>
                <w:sz w:val="24"/>
              </w:rPr>
              <w:t>潭江</w:t>
            </w:r>
            <w:r>
              <w:rPr>
                <w:color w:val="auto"/>
                <w:sz w:val="24"/>
                <w:szCs w:val="22"/>
              </w:rPr>
              <w:t>水体环境质量现状，</w:t>
            </w:r>
            <w:r>
              <w:rPr>
                <w:color w:val="auto"/>
                <w:sz w:val="24"/>
              </w:rPr>
              <w:t>采用广州市恒力检测股份有限公司于2018 年8 月13日-15日对《</w:t>
            </w:r>
            <w:r>
              <w:rPr>
                <w:rFonts w:hint="eastAsia"/>
                <w:bCs/>
                <w:color w:val="auto"/>
                <w:sz w:val="24"/>
              </w:rPr>
              <w:t>开平市水口镇明明五金加工店</w:t>
            </w:r>
            <w:r>
              <w:rPr>
                <w:color w:val="auto"/>
                <w:sz w:val="24"/>
              </w:rPr>
              <w:t>建设项目的检测报告》</w:t>
            </w:r>
            <w:r>
              <w:rPr>
                <w:color w:val="auto"/>
                <w:sz w:val="24"/>
                <w:szCs w:val="22"/>
              </w:rPr>
              <w:t>。监测数据结果见下表</w:t>
            </w:r>
            <w:r>
              <w:rPr>
                <w:rFonts w:hint="eastAsia"/>
                <w:color w:val="auto"/>
                <w:sz w:val="24"/>
                <w:szCs w:val="22"/>
              </w:rPr>
              <w:t>：</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地表水</w:t>
            </w:r>
            <w:r>
              <w:rPr>
                <w:rFonts w:eastAsia="宋体" w:cs="Times New Roman"/>
                <w:b/>
                <w:color w:val="auto"/>
                <w:sz w:val="21"/>
                <w:szCs w:val="21"/>
              </w:rPr>
              <w:t xml:space="preserve">现状监测结果 </w:t>
            </w:r>
            <w:r>
              <w:rPr>
                <w:rFonts w:hint="eastAsia" w:eastAsia="宋体" w:cs="Times New Roman"/>
                <w:b/>
                <w:color w:val="auto"/>
                <w:sz w:val="21"/>
                <w:szCs w:val="21"/>
              </w:rPr>
              <w:t xml:space="preserve"> 单位：mg/L</w:t>
            </w:r>
          </w:p>
          <w:tbl>
            <w:tblPr>
              <w:tblStyle w:val="44"/>
              <w:tblW w:w="83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3"/>
              <w:gridCol w:w="1000"/>
              <w:gridCol w:w="815"/>
              <w:gridCol w:w="950"/>
              <w:gridCol w:w="951"/>
              <w:gridCol w:w="921"/>
              <w:gridCol w:w="863"/>
              <w:gridCol w:w="850"/>
              <w:gridCol w:w="7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3" w:type="dxa"/>
                </w:tcPr>
                <w:p>
                  <w:pPr>
                    <w:pStyle w:val="145"/>
                    <w:jc w:val="center"/>
                    <w:rPr>
                      <w:b/>
                      <w:bCs/>
                      <w:color w:val="auto"/>
                    </w:rPr>
                  </w:pPr>
                  <w:r>
                    <w:rPr>
                      <w:b/>
                      <w:bCs/>
                      <w:color w:val="auto"/>
                    </w:rPr>
                    <w:t>监测日期</w:t>
                  </w:r>
                </w:p>
              </w:tc>
              <w:tc>
                <w:tcPr>
                  <w:tcW w:w="1000" w:type="dxa"/>
                </w:tcPr>
                <w:p>
                  <w:pPr>
                    <w:pStyle w:val="145"/>
                    <w:spacing w:line="320" w:lineRule="exact"/>
                    <w:ind w:left="80"/>
                    <w:jc w:val="center"/>
                    <w:rPr>
                      <w:b/>
                      <w:bCs/>
                      <w:color w:val="auto"/>
                    </w:rPr>
                  </w:pPr>
                  <w:r>
                    <w:rPr>
                      <w:b/>
                      <w:bCs/>
                      <w:color w:val="auto"/>
                    </w:rPr>
                    <w:t>采样断面</w:t>
                  </w:r>
                </w:p>
              </w:tc>
              <w:tc>
                <w:tcPr>
                  <w:tcW w:w="815" w:type="dxa"/>
                </w:tcPr>
                <w:p>
                  <w:pPr>
                    <w:pStyle w:val="145"/>
                    <w:spacing w:before="49"/>
                    <w:jc w:val="center"/>
                    <w:rPr>
                      <w:rFonts w:ascii="Times New Roman"/>
                      <w:b/>
                      <w:bCs/>
                      <w:color w:val="auto"/>
                    </w:rPr>
                  </w:pPr>
                  <w:r>
                    <w:rPr>
                      <w:rFonts w:ascii="Times New Roman"/>
                      <w:b/>
                      <w:bCs/>
                      <w:color w:val="auto"/>
                    </w:rPr>
                    <w:t>pH</w:t>
                  </w:r>
                </w:p>
              </w:tc>
              <w:tc>
                <w:tcPr>
                  <w:tcW w:w="950" w:type="dxa"/>
                </w:tcPr>
                <w:p>
                  <w:pPr>
                    <w:pStyle w:val="145"/>
                    <w:spacing w:before="49"/>
                    <w:ind w:left="231" w:right="219"/>
                    <w:jc w:val="center"/>
                    <w:rPr>
                      <w:color w:val="auto"/>
                    </w:rPr>
                  </w:pPr>
                  <w:r>
                    <w:rPr>
                      <w:rFonts w:ascii="Times New Roman"/>
                      <w:b/>
                      <w:bCs/>
                      <w:color w:val="auto"/>
                    </w:rPr>
                    <w:t>DO</w:t>
                  </w:r>
                </w:p>
              </w:tc>
              <w:tc>
                <w:tcPr>
                  <w:tcW w:w="951" w:type="dxa"/>
                </w:tcPr>
                <w:p>
                  <w:pPr>
                    <w:pStyle w:val="145"/>
                    <w:spacing w:before="49"/>
                    <w:ind w:left="97" w:right="85"/>
                    <w:jc w:val="center"/>
                    <w:rPr>
                      <w:color w:val="auto"/>
                    </w:rPr>
                  </w:pPr>
                  <w:r>
                    <w:rPr>
                      <w:rFonts w:ascii="Times New Roman"/>
                      <w:b/>
                      <w:bCs/>
                      <w:color w:val="auto"/>
                    </w:rPr>
                    <w:t>COD</w:t>
                  </w:r>
                  <w:r>
                    <w:rPr>
                      <w:rFonts w:ascii="Times New Roman"/>
                      <w:b/>
                      <w:bCs/>
                      <w:color w:val="auto"/>
                      <w:vertAlign w:val="subscript"/>
                    </w:rPr>
                    <w:t>cr</w:t>
                  </w:r>
                </w:p>
              </w:tc>
              <w:tc>
                <w:tcPr>
                  <w:tcW w:w="921" w:type="dxa"/>
                </w:tcPr>
                <w:p>
                  <w:pPr>
                    <w:pStyle w:val="145"/>
                    <w:spacing w:before="49"/>
                    <w:ind w:left="94" w:right="85"/>
                    <w:jc w:val="center"/>
                    <w:rPr>
                      <w:rFonts w:ascii="Times New Roman"/>
                      <w:b/>
                      <w:bCs/>
                      <w:color w:val="auto"/>
                    </w:rPr>
                  </w:pPr>
                  <w:r>
                    <w:rPr>
                      <w:rFonts w:ascii="Times New Roman"/>
                      <w:b/>
                      <w:bCs/>
                      <w:color w:val="auto"/>
                    </w:rPr>
                    <w:t>BOD</w:t>
                  </w:r>
                  <w:r>
                    <w:rPr>
                      <w:rFonts w:ascii="Times New Roman"/>
                      <w:b/>
                      <w:bCs/>
                      <w:color w:val="auto"/>
                      <w:vertAlign w:val="subscript"/>
                    </w:rPr>
                    <w:t>5</w:t>
                  </w:r>
                </w:p>
              </w:tc>
              <w:tc>
                <w:tcPr>
                  <w:tcW w:w="863" w:type="dxa"/>
                </w:tcPr>
                <w:p>
                  <w:pPr>
                    <w:pStyle w:val="145"/>
                    <w:spacing w:line="320" w:lineRule="exact"/>
                    <w:jc w:val="center"/>
                    <w:rPr>
                      <w:b/>
                      <w:bCs/>
                      <w:color w:val="auto"/>
                    </w:rPr>
                  </w:pPr>
                  <w:r>
                    <w:rPr>
                      <w:b/>
                      <w:bCs/>
                      <w:color w:val="auto"/>
                    </w:rPr>
                    <w:t>氨氮</w:t>
                  </w:r>
                </w:p>
              </w:tc>
              <w:tc>
                <w:tcPr>
                  <w:tcW w:w="850" w:type="dxa"/>
                </w:tcPr>
                <w:p>
                  <w:pPr>
                    <w:pStyle w:val="145"/>
                    <w:spacing w:line="320" w:lineRule="exact"/>
                    <w:ind w:right="182"/>
                    <w:jc w:val="center"/>
                    <w:rPr>
                      <w:b/>
                      <w:bCs/>
                      <w:color w:val="auto"/>
                    </w:rPr>
                  </w:pPr>
                  <w:r>
                    <w:rPr>
                      <w:b/>
                      <w:bCs/>
                      <w:color w:val="auto"/>
                    </w:rPr>
                    <w:t>总磷</w:t>
                  </w:r>
                </w:p>
              </w:tc>
              <w:tc>
                <w:tcPr>
                  <w:tcW w:w="787" w:type="dxa"/>
                </w:tcPr>
                <w:p>
                  <w:pPr>
                    <w:pStyle w:val="145"/>
                    <w:spacing w:before="49"/>
                    <w:ind w:left="18"/>
                    <w:jc w:val="center"/>
                    <w:rPr>
                      <w:rFonts w:ascii="Times New Roman"/>
                      <w:b/>
                      <w:bCs/>
                      <w:color w:val="auto"/>
                    </w:rPr>
                  </w:pPr>
                  <w:r>
                    <w:rPr>
                      <w:rFonts w:hint="eastAsia" w:ascii="Times New Roman" w:eastAsia="宋体"/>
                      <w:b/>
                      <w:bCs/>
                      <w:color w:val="auto"/>
                    </w:rPr>
                    <w:t>S</w:t>
                  </w:r>
                  <w:r>
                    <w:rPr>
                      <w:rFonts w:ascii="Times New Roman"/>
                      <w:b/>
                      <w:bCs/>
                      <w:color w:val="auto"/>
                    </w:rPr>
                    <w:t>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3" w:type="dxa"/>
                  <w:tcBorders>
                    <w:right w:val="single" w:color="auto" w:sz="4" w:space="0"/>
                  </w:tcBorders>
                  <w:vAlign w:val="center"/>
                </w:tcPr>
                <w:p>
                  <w:pPr>
                    <w:jc w:val="center"/>
                    <w:rPr>
                      <w:color w:val="auto"/>
                    </w:rPr>
                  </w:pPr>
                  <w:r>
                    <w:rPr>
                      <w:rFonts w:hint="eastAsia" w:hAnsi="宋体"/>
                      <w:color w:val="auto"/>
                      <w:szCs w:val="21"/>
                    </w:rPr>
                    <w:t>2018.08.13</w:t>
                  </w:r>
                </w:p>
              </w:tc>
              <w:tc>
                <w:tcPr>
                  <w:tcW w:w="1000" w:type="dxa"/>
                  <w:vMerge w:val="restart"/>
                  <w:tcBorders>
                    <w:left w:val="single" w:color="auto" w:sz="4" w:space="0"/>
                  </w:tcBorders>
                </w:tcPr>
                <w:p>
                  <w:pPr>
                    <w:pStyle w:val="145"/>
                    <w:spacing w:line="320" w:lineRule="exact"/>
                    <w:jc w:val="center"/>
                    <w:rPr>
                      <w:rFonts w:ascii="Times New Roman"/>
                      <w:color w:val="auto"/>
                    </w:rPr>
                  </w:pPr>
                </w:p>
                <w:p>
                  <w:pPr>
                    <w:pStyle w:val="145"/>
                    <w:spacing w:line="320" w:lineRule="exact"/>
                    <w:jc w:val="center"/>
                    <w:rPr>
                      <w:rFonts w:hint="eastAsia" w:eastAsia="宋体"/>
                      <w:color w:val="auto"/>
                    </w:rPr>
                  </w:pPr>
                  <w:r>
                    <w:rPr>
                      <w:rFonts w:ascii="Times New Roman"/>
                      <w:color w:val="auto"/>
                    </w:rPr>
                    <w:t>W</w:t>
                  </w:r>
                  <w:r>
                    <w:rPr>
                      <w:rFonts w:hint="eastAsia" w:ascii="Times New Roman"/>
                      <w:color w:val="auto"/>
                    </w:rPr>
                    <w:t>2</w:t>
                  </w:r>
                </w:p>
              </w:tc>
              <w:tc>
                <w:tcPr>
                  <w:tcW w:w="815" w:type="dxa"/>
                  <w:vAlign w:val="center"/>
                </w:tcPr>
                <w:p>
                  <w:pPr>
                    <w:spacing w:before="24" w:beforeLines="10" w:after="24" w:afterLines="10"/>
                    <w:jc w:val="center"/>
                    <w:rPr>
                      <w:color w:val="auto"/>
                    </w:rPr>
                  </w:pPr>
                  <w:r>
                    <w:rPr>
                      <w:rFonts w:hint="eastAsia"/>
                      <w:color w:val="auto"/>
                      <w:szCs w:val="21"/>
                    </w:rPr>
                    <w:t>6.96</w:t>
                  </w:r>
                </w:p>
              </w:tc>
              <w:tc>
                <w:tcPr>
                  <w:tcW w:w="950" w:type="dxa"/>
                  <w:vAlign w:val="center"/>
                </w:tcPr>
                <w:p>
                  <w:pPr>
                    <w:spacing w:before="24" w:beforeLines="10" w:after="24" w:afterLines="10"/>
                    <w:jc w:val="center"/>
                    <w:rPr>
                      <w:color w:val="auto"/>
                    </w:rPr>
                  </w:pPr>
                  <w:r>
                    <w:rPr>
                      <w:rFonts w:hint="eastAsia"/>
                      <w:color w:val="auto"/>
                      <w:szCs w:val="21"/>
                    </w:rPr>
                    <w:t>6.1</w:t>
                  </w:r>
                </w:p>
              </w:tc>
              <w:tc>
                <w:tcPr>
                  <w:tcW w:w="951" w:type="dxa"/>
                  <w:vAlign w:val="center"/>
                </w:tcPr>
                <w:p>
                  <w:pPr>
                    <w:spacing w:before="24" w:beforeLines="10" w:after="24" w:afterLines="10"/>
                    <w:jc w:val="center"/>
                    <w:rPr>
                      <w:color w:val="auto"/>
                    </w:rPr>
                  </w:pPr>
                  <w:r>
                    <w:rPr>
                      <w:rFonts w:hint="eastAsia"/>
                      <w:color w:val="auto"/>
                      <w:szCs w:val="21"/>
                    </w:rPr>
                    <w:t>14</w:t>
                  </w:r>
                </w:p>
              </w:tc>
              <w:tc>
                <w:tcPr>
                  <w:tcW w:w="921" w:type="dxa"/>
                  <w:vAlign w:val="center"/>
                </w:tcPr>
                <w:p>
                  <w:pPr>
                    <w:spacing w:before="24" w:beforeLines="10" w:after="24" w:afterLines="10"/>
                    <w:jc w:val="center"/>
                    <w:rPr>
                      <w:color w:val="auto"/>
                    </w:rPr>
                  </w:pPr>
                  <w:r>
                    <w:rPr>
                      <w:rFonts w:hint="eastAsia"/>
                      <w:color w:val="auto"/>
                      <w:szCs w:val="21"/>
                    </w:rPr>
                    <w:t>3.2</w:t>
                  </w:r>
                </w:p>
              </w:tc>
              <w:tc>
                <w:tcPr>
                  <w:tcW w:w="863" w:type="dxa"/>
                  <w:vAlign w:val="center"/>
                </w:tcPr>
                <w:p>
                  <w:pPr>
                    <w:spacing w:before="24" w:beforeLines="10" w:after="24" w:afterLines="10"/>
                    <w:jc w:val="center"/>
                    <w:rPr>
                      <w:color w:val="auto"/>
                    </w:rPr>
                  </w:pPr>
                  <w:r>
                    <w:rPr>
                      <w:rFonts w:hint="eastAsia"/>
                      <w:color w:val="auto"/>
                      <w:szCs w:val="21"/>
                    </w:rPr>
                    <w:t>0.40</w:t>
                  </w:r>
                </w:p>
              </w:tc>
              <w:tc>
                <w:tcPr>
                  <w:tcW w:w="850" w:type="dxa"/>
                  <w:vAlign w:val="center"/>
                </w:tcPr>
                <w:p>
                  <w:pPr>
                    <w:spacing w:before="24" w:beforeLines="10" w:after="24" w:afterLines="10"/>
                    <w:jc w:val="center"/>
                    <w:rPr>
                      <w:color w:val="auto"/>
                      <w:w w:val="95"/>
                    </w:rPr>
                  </w:pPr>
                  <w:r>
                    <w:rPr>
                      <w:rFonts w:hint="eastAsia"/>
                      <w:color w:val="auto"/>
                      <w:szCs w:val="21"/>
                    </w:rPr>
                    <w:t>0.06</w:t>
                  </w:r>
                </w:p>
              </w:tc>
              <w:tc>
                <w:tcPr>
                  <w:tcW w:w="787" w:type="dxa"/>
                  <w:vAlign w:val="center"/>
                </w:tcPr>
                <w:p>
                  <w:pPr>
                    <w:spacing w:before="24" w:beforeLines="10" w:after="24" w:afterLines="10"/>
                    <w:jc w:val="center"/>
                    <w:rPr>
                      <w:color w:val="auto"/>
                    </w:rPr>
                  </w:pPr>
                  <w:r>
                    <w:rPr>
                      <w:rFonts w:hint="eastAsia"/>
                      <w:color w:val="auto"/>
                      <w:szCs w:val="21"/>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3" w:type="dxa"/>
                  <w:tcBorders>
                    <w:right w:val="single" w:color="auto" w:sz="4" w:space="0"/>
                  </w:tcBorders>
                  <w:vAlign w:val="center"/>
                </w:tcPr>
                <w:p>
                  <w:pPr>
                    <w:jc w:val="center"/>
                    <w:rPr>
                      <w:color w:val="auto"/>
                    </w:rPr>
                  </w:pPr>
                  <w:r>
                    <w:rPr>
                      <w:rFonts w:hint="eastAsia" w:hAnsi="宋体"/>
                      <w:color w:val="auto"/>
                      <w:szCs w:val="21"/>
                    </w:rPr>
                    <w:t>2018.08.14</w:t>
                  </w:r>
                </w:p>
              </w:tc>
              <w:tc>
                <w:tcPr>
                  <w:tcW w:w="1000" w:type="dxa"/>
                  <w:vMerge w:val="continue"/>
                  <w:tcBorders>
                    <w:left w:val="single" w:color="auto" w:sz="4" w:space="0"/>
                  </w:tcBorders>
                </w:tcPr>
                <w:p>
                  <w:pPr>
                    <w:pStyle w:val="145"/>
                    <w:spacing w:line="320" w:lineRule="exact"/>
                    <w:jc w:val="center"/>
                    <w:rPr>
                      <w:rFonts w:hint="eastAsia" w:eastAsia="宋体"/>
                      <w:color w:val="auto"/>
                    </w:rPr>
                  </w:pPr>
                </w:p>
              </w:tc>
              <w:tc>
                <w:tcPr>
                  <w:tcW w:w="815" w:type="dxa"/>
                  <w:vAlign w:val="center"/>
                </w:tcPr>
                <w:p>
                  <w:pPr>
                    <w:spacing w:before="24" w:beforeLines="10" w:after="24" w:afterLines="10"/>
                    <w:jc w:val="center"/>
                    <w:rPr>
                      <w:color w:val="auto"/>
                    </w:rPr>
                  </w:pPr>
                  <w:r>
                    <w:rPr>
                      <w:rFonts w:hint="eastAsia"/>
                      <w:color w:val="auto"/>
                      <w:szCs w:val="21"/>
                    </w:rPr>
                    <w:t>6.89</w:t>
                  </w:r>
                </w:p>
              </w:tc>
              <w:tc>
                <w:tcPr>
                  <w:tcW w:w="950" w:type="dxa"/>
                  <w:vAlign w:val="center"/>
                </w:tcPr>
                <w:p>
                  <w:pPr>
                    <w:spacing w:before="24" w:beforeLines="10" w:after="24" w:afterLines="10"/>
                    <w:jc w:val="center"/>
                    <w:rPr>
                      <w:color w:val="auto"/>
                    </w:rPr>
                  </w:pPr>
                  <w:r>
                    <w:rPr>
                      <w:rFonts w:hint="eastAsia"/>
                      <w:color w:val="auto"/>
                      <w:szCs w:val="21"/>
                    </w:rPr>
                    <w:t>6.0</w:t>
                  </w:r>
                </w:p>
              </w:tc>
              <w:tc>
                <w:tcPr>
                  <w:tcW w:w="951" w:type="dxa"/>
                  <w:vAlign w:val="center"/>
                </w:tcPr>
                <w:p>
                  <w:pPr>
                    <w:spacing w:before="24" w:beforeLines="10" w:after="24" w:afterLines="10"/>
                    <w:jc w:val="center"/>
                    <w:rPr>
                      <w:color w:val="auto"/>
                    </w:rPr>
                  </w:pPr>
                  <w:r>
                    <w:rPr>
                      <w:rFonts w:hint="eastAsia"/>
                      <w:color w:val="auto"/>
                      <w:szCs w:val="21"/>
                    </w:rPr>
                    <w:t>14</w:t>
                  </w:r>
                </w:p>
              </w:tc>
              <w:tc>
                <w:tcPr>
                  <w:tcW w:w="921" w:type="dxa"/>
                  <w:vAlign w:val="center"/>
                </w:tcPr>
                <w:p>
                  <w:pPr>
                    <w:spacing w:before="24" w:beforeLines="10" w:after="24" w:afterLines="10"/>
                    <w:jc w:val="center"/>
                    <w:rPr>
                      <w:color w:val="auto"/>
                    </w:rPr>
                  </w:pPr>
                  <w:r>
                    <w:rPr>
                      <w:rFonts w:hint="eastAsia"/>
                      <w:color w:val="auto"/>
                      <w:szCs w:val="21"/>
                    </w:rPr>
                    <w:t>3.1</w:t>
                  </w:r>
                </w:p>
              </w:tc>
              <w:tc>
                <w:tcPr>
                  <w:tcW w:w="863" w:type="dxa"/>
                  <w:vAlign w:val="center"/>
                </w:tcPr>
                <w:p>
                  <w:pPr>
                    <w:spacing w:before="24" w:beforeLines="10" w:after="24" w:afterLines="10"/>
                    <w:jc w:val="center"/>
                    <w:rPr>
                      <w:color w:val="auto"/>
                    </w:rPr>
                  </w:pPr>
                  <w:r>
                    <w:rPr>
                      <w:rFonts w:hint="eastAsia"/>
                      <w:color w:val="auto"/>
                      <w:szCs w:val="21"/>
                    </w:rPr>
                    <w:t>0.43</w:t>
                  </w:r>
                </w:p>
              </w:tc>
              <w:tc>
                <w:tcPr>
                  <w:tcW w:w="850" w:type="dxa"/>
                  <w:vAlign w:val="center"/>
                </w:tcPr>
                <w:p>
                  <w:pPr>
                    <w:spacing w:before="24" w:beforeLines="10" w:after="24" w:afterLines="10"/>
                    <w:jc w:val="center"/>
                    <w:rPr>
                      <w:color w:val="auto"/>
                      <w:w w:val="95"/>
                    </w:rPr>
                  </w:pPr>
                  <w:r>
                    <w:rPr>
                      <w:rFonts w:hint="eastAsia"/>
                      <w:color w:val="auto"/>
                      <w:szCs w:val="21"/>
                    </w:rPr>
                    <w:t>0.07</w:t>
                  </w:r>
                </w:p>
              </w:tc>
              <w:tc>
                <w:tcPr>
                  <w:tcW w:w="787" w:type="dxa"/>
                  <w:vAlign w:val="center"/>
                </w:tcPr>
                <w:p>
                  <w:pPr>
                    <w:spacing w:before="24" w:beforeLines="10" w:after="24" w:afterLines="10"/>
                    <w:jc w:val="center"/>
                    <w:rPr>
                      <w:color w:val="auto"/>
                    </w:rPr>
                  </w:pPr>
                  <w:r>
                    <w:rPr>
                      <w:rFonts w:hint="eastAsia"/>
                      <w:color w:val="auto"/>
                      <w:szCs w:val="21"/>
                    </w:rPr>
                    <w:t>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3" w:type="dxa"/>
                  <w:tcBorders>
                    <w:right w:val="single" w:color="auto" w:sz="4" w:space="0"/>
                  </w:tcBorders>
                  <w:vAlign w:val="center"/>
                </w:tcPr>
                <w:p>
                  <w:pPr>
                    <w:jc w:val="center"/>
                    <w:rPr>
                      <w:color w:val="auto"/>
                    </w:rPr>
                  </w:pPr>
                  <w:r>
                    <w:rPr>
                      <w:rFonts w:hint="eastAsia" w:hAnsi="宋体"/>
                      <w:color w:val="auto"/>
                      <w:szCs w:val="21"/>
                    </w:rPr>
                    <w:t>2018.08.15</w:t>
                  </w:r>
                </w:p>
              </w:tc>
              <w:tc>
                <w:tcPr>
                  <w:tcW w:w="1000" w:type="dxa"/>
                  <w:vMerge w:val="continue"/>
                  <w:tcBorders>
                    <w:left w:val="single" w:color="auto" w:sz="4" w:space="0"/>
                  </w:tcBorders>
                </w:tcPr>
                <w:p>
                  <w:pPr>
                    <w:pStyle w:val="145"/>
                    <w:spacing w:line="320" w:lineRule="exact"/>
                    <w:ind w:left="690"/>
                    <w:jc w:val="left"/>
                    <w:rPr>
                      <w:color w:val="auto"/>
                    </w:rPr>
                  </w:pPr>
                </w:p>
              </w:tc>
              <w:tc>
                <w:tcPr>
                  <w:tcW w:w="815" w:type="dxa"/>
                  <w:vAlign w:val="center"/>
                </w:tcPr>
                <w:p>
                  <w:pPr>
                    <w:spacing w:before="24" w:beforeLines="10" w:after="24" w:afterLines="10"/>
                    <w:jc w:val="center"/>
                    <w:rPr>
                      <w:color w:val="auto"/>
                    </w:rPr>
                  </w:pPr>
                  <w:r>
                    <w:rPr>
                      <w:rFonts w:hint="eastAsia"/>
                      <w:color w:val="auto"/>
                      <w:szCs w:val="21"/>
                    </w:rPr>
                    <w:t>6.90</w:t>
                  </w:r>
                </w:p>
              </w:tc>
              <w:tc>
                <w:tcPr>
                  <w:tcW w:w="950" w:type="dxa"/>
                  <w:vAlign w:val="center"/>
                </w:tcPr>
                <w:p>
                  <w:pPr>
                    <w:spacing w:before="24" w:beforeLines="10" w:after="24" w:afterLines="10"/>
                    <w:jc w:val="center"/>
                    <w:rPr>
                      <w:color w:val="auto"/>
                    </w:rPr>
                  </w:pPr>
                  <w:r>
                    <w:rPr>
                      <w:rFonts w:hint="eastAsia"/>
                      <w:color w:val="auto"/>
                      <w:szCs w:val="21"/>
                    </w:rPr>
                    <w:t>6.2</w:t>
                  </w:r>
                </w:p>
              </w:tc>
              <w:tc>
                <w:tcPr>
                  <w:tcW w:w="951" w:type="dxa"/>
                  <w:vAlign w:val="center"/>
                </w:tcPr>
                <w:p>
                  <w:pPr>
                    <w:spacing w:before="24" w:beforeLines="10" w:after="24" w:afterLines="10"/>
                    <w:jc w:val="center"/>
                    <w:rPr>
                      <w:color w:val="auto"/>
                    </w:rPr>
                  </w:pPr>
                  <w:r>
                    <w:rPr>
                      <w:rFonts w:hint="eastAsia"/>
                      <w:color w:val="auto"/>
                      <w:szCs w:val="21"/>
                    </w:rPr>
                    <w:t>15</w:t>
                  </w:r>
                </w:p>
              </w:tc>
              <w:tc>
                <w:tcPr>
                  <w:tcW w:w="921" w:type="dxa"/>
                  <w:vAlign w:val="center"/>
                </w:tcPr>
                <w:p>
                  <w:pPr>
                    <w:spacing w:before="24" w:beforeLines="10" w:after="24" w:afterLines="10"/>
                    <w:jc w:val="center"/>
                    <w:rPr>
                      <w:color w:val="auto"/>
                    </w:rPr>
                  </w:pPr>
                  <w:r>
                    <w:rPr>
                      <w:rFonts w:hint="eastAsia"/>
                      <w:color w:val="auto"/>
                      <w:szCs w:val="21"/>
                    </w:rPr>
                    <w:t>3.1</w:t>
                  </w:r>
                </w:p>
              </w:tc>
              <w:tc>
                <w:tcPr>
                  <w:tcW w:w="863" w:type="dxa"/>
                  <w:vAlign w:val="center"/>
                </w:tcPr>
                <w:p>
                  <w:pPr>
                    <w:spacing w:before="24" w:beforeLines="10" w:after="24" w:afterLines="10"/>
                    <w:jc w:val="center"/>
                    <w:rPr>
                      <w:color w:val="auto"/>
                    </w:rPr>
                  </w:pPr>
                  <w:r>
                    <w:rPr>
                      <w:rFonts w:hint="eastAsia"/>
                      <w:color w:val="auto"/>
                      <w:szCs w:val="21"/>
                    </w:rPr>
                    <w:t>0.44</w:t>
                  </w:r>
                </w:p>
              </w:tc>
              <w:tc>
                <w:tcPr>
                  <w:tcW w:w="850" w:type="dxa"/>
                  <w:vAlign w:val="center"/>
                </w:tcPr>
                <w:p>
                  <w:pPr>
                    <w:spacing w:before="24" w:beforeLines="10" w:after="24" w:afterLines="10"/>
                    <w:jc w:val="center"/>
                    <w:rPr>
                      <w:color w:val="auto"/>
                      <w:w w:val="95"/>
                    </w:rPr>
                  </w:pPr>
                  <w:r>
                    <w:rPr>
                      <w:rFonts w:hint="eastAsia"/>
                      <w:color w:val="auto"/>
                      <w:szCs w:val="21"/>
                    </w:rPr>
                    <w:t>0.06</w:t>
                  </w:r>
                </w:p>
              </w:tc>
              <w:tc>
                <w:tcPr>
                  <w:tcW w:w="787" w:type="dxa"/>
                  <w:vAlign w:val="center"/>
                </w:tcPr>
                <w:p>
                  <w:pPr>
                    <w:spacing w:before="24" w:beforeLines="10" w:after="24" w:afterLines="10"/>
                    <w:jc w:val="center"/>
                    <w:rPr>
                      <w:color w:val="auto"/>
                    </w:rPr>
                  </w:pPr>
                  <w:r>
                    <w:rPr>
                      <w:rFonts w:hint="eastAsia"/>
                      <w:color w:val="auto"/>
                      <w:szCs w:val="21"/>
                    </w:rPr>
                    <w:t>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183" w:type="dxa"/>
                  <w:gridSpan w:val="2"/>
                  <w:tcBorders>
                    <w:bottom w:val="single" w:color="000000" w:sz="8" w:space="0"/>
                  </w:tcBorders>
                </w:tcPr>
                <w:p>
                  <w:pPr>
                    <w:pStyle w:val="145"/>
                    <w:spacing w:line="320" w:lineRule="exact"/>
                    <w:ind w:left="690"/>
                    <w:jc w:val="left"/>
                    <w:rPr>
                      <w:color w:val="auto"/>
                    </w:rPr>
                  </w:pPr>
                  <w:r>
                    <w:rPr>
                      <w:rFonts w:hint="eastAsia"/>
                      <w:color w:val="auto"/>
                    </w:rPr>
                    <w:t>Ⅱ类标准</w:t>
                  </w:r>
                </w:p>
              </w:tc>
              <w:tc>
                <w:tcPr>
                  <w:tcW w:w="815" w:type="dxa"/>
                  <w:tcBorders>
                    <w:bottom w:val="single" w:color="000000" w:sz="8" w:space="0"/>
                  </w:tcBorders>
                </w:tcPr>
                <w:p>
                  <w:pPr>
                    <w:pStyle w:val="145"/>
                    <w:spacing w:before="47"/>
                    <w:jc w:val="center"/>
                    <w:rPr>
                      <w:rFonts w:ascii="Times New Roman"/>
                      <w:color w:val="auto"/>
                    </w:rPr>
                  </w:pPr>
                  <w:r>
                    <w:rPr>
                      <w:rFonts w:ascii="Times New Roman"/>
                      <w:color w:val="auto"/>
                    </w:rPr>
                    <w:t>6-9</w:t>
                  </w:r>
                </w:p>
              </w:tc>
              <w:tc>
                <w:tcPr>
                  <w:tcW w:w="950" w:type="dxa"/>
                  <w:tcBorders>
                    <w:bottom w:val="single" w:color="000000" w:sz="8" w:space="0"/>
                  </w:tcBorders>
                </w:tcPr>
                <w:p>
                  <w:pPr>
                    <w:pStyle w:val="145"/>
                    <w:spacing w:line="320" w:lineRule="exact"/>
                    <w:ind w:left="231" w:right="218"/>
                    <w:jc w:val="center"/>
                    <w:rPr>
                      <w:color w:val="auto"/>
                    </w:rPr>
                  </w:pPr>
                  <w:r>
                    <w:rPr>
                      <w:color w:val="auto"/>
                    </w:rPr>
                    <w:t>≥</w:t>
                  </w:r>
                  <w:r>
                    <w:rPr>
                      <w:rFonts w:hint="eastAsia" w:ascii="Times New Roman" w:hAnsi="Times New Roman" w:eastAsia="宋体"/>
                      <w:color w:val="auto"/>
                    </w:rPr>
                    <w:t>6</w:t>
                  </w:r>
                </w:p>
              </w:tc>
              <w:tc>
                <w:tcPr>
                  <w:tcW w:w="951" w:type="dxa"/>
                  <w:tcBorders>
                    <w:bottom w:val="single" w:color="000000" w:sz="8" w:space="0"/>
                  </w:tcBorders>
                </w:tcPr>
                <w:p>
                  <w:pPr>
                    <w:pStyle w:val="145"/>
                    <w:spacing w:before="47"/>
                    <w:ind w:left="96" w:right="85"/>
                    <w:jc w:val="center"/>
                    <w:rPr>
                      <w:color w:val="auto"/>
                    </w:rPr>
                  </w:pPr>
                  <w:r>
                    <w:rPr>
                      <w:rFonts w:ascii="Times New Roman" w:hAnsi="Times New Roman"/>
                      <w:color w:val="auto"/>
                    </w:rPr>
                    <w:t>≤</w:t>
                  </w:r>
                  <w:r>
                    <w:rPr>
                      <w:rFonts w:hint="eastAsia" w:ascii="Times New Roman" w:hAnsi="Times New Roman" w:eastAsia="宋体"/>
                      <w:color w:val="auto"/>
                    </w:rPr>
                    <w:t>15</w:t>
                  </w:r>
                </w:p>
              </w:tc>
              <w:tc>
                <w:tcPr>
                  <w:tcW w:w="921" w:type="dxa"/>
                  <w:tcBorders>
                    <w:bottom w:val="single" w:color="000000" w:sz="8" w:space="0"/>
                  </w:tcBorders>
                </w:tcPr>
                <w:p>
                  <w:pPr>
                    <w:pStyle w:val="145"/>
                    <w:spacing w:before="47"/>
                    <w:ind w:left="94" w:right="85"/>
                    <w:jc w:val="center"/>
                    <w:rPr>
                      <w:rFonts w:ascii="Times New Roman" w:hAnsi="Times New Roman" w:eastAsia="宋体"/>
                      <w:color w:val="auto"/>
                    </w:rPr>
                  </w:pPr>
                  <w:r>
                    <w:rPr>
                      <w:rFonts w:ascii="Times New Roman" w:hAnsi="Times New Roman"/>
                      <w:color w:val="auto"/>
                    </w:rPr>
                    <w:t>≤</w:t>
                  </w:r>
                  <w:r>
                    <w:rPr>
                      <w:rFonts w:hint="eastAsia" w:ascii="Times New Roman" w:hAnsi="Times New Roman" w:eastAsia="宋体"/>
                      <w:color w:val="auto"/>
                    </w:rPr>
                    <w:t>3</w:t>
                  </w:r>
                </w:p>
              </w:tc>
              <w:tc>
                <w:tcPr>
                  <w:tcW w:w="863" w:type="dxa"/>
                  <w:tcBorders>
                    <w:bottom w:val="single" w:color="000000" w:sz="8" w:space="0"/>
                  </w:tcBorders>
                </w:tcPr>
                <w:p>
                  <w:pPr>
                    <w:pStyle w:val="145"/>
                    <w:spacing w:before="47"/>
                    <w:jc w:val="center"/>
                    <w:rPr>
                      <w:rFonts w:ascii="Times New Roman" w:hAnsi="Times New Roman" w:eastAsia="宋体"/>
                      <w:color w:val="auto"/>
                    </w:rPr>
                  </w:pPr>
                  <w:r>
                    <w:rPr>
                      <w:rFonts w:ascii="Times New Roman" w:hAnsi="Times New Roman"/>
                      <w:color w:val="auto"/>
                    </w:rPr>
                    <w:t>≤</w:t>
                  </w:r>
                  <w:r>
                    <w:rPr>
                      <w:rFonts w:hint="eastAsia" w:ascii="Times New Roman" w:hAnsi="Times New Roman" w:eastAsia="宋体"/>
                      <w:color w:val="auto"/>
                    </w:rPr>
                    <w:t>0.5</w:t>
                  </w:r>
                </w:p>
              </w:tc>
              <w:tc>
                <w:tcPr>
                  <w:tcW w:w="850" w:type="dxa"/>
                  <w:tcBorders>
                    <w:bottom w:val="single" w:color="000000" w:sz="8" w:space="0"/>
                  </w:tcBorders>
                </w:tcPr>
                <w:p>
                  <w:pPr>
                    <w:pStyle w:val="145"/>
                    <w:spacing w:before="47"/>
                    <w:ind w:right="204"/>
                    <w:jc w:val="center"/>
                    <w:rPr>
                      <w:rFonts w:ascii="Times New Roman" w:hAnsi="Times New Roman" w:eastAsia="宋体"/>
                      <w:color w:val="auto"/>
                      <w:w w:val="95"/>
                    </w:rPr>
                  </w:pPr>
                  <w:r>
                    <w:rPr>
                      <w:rFonts w:hint="eastAsia" w:ascii="Times New Roman" w:hAnsi="Times New Roman" w:eastAsia="宋体"/>
                      <w:color w:val="auto"/>
                      <w:w w:val="95"/>
                    </w:rPr>
                    <w:t xml:space="preserve">  </w:t>
                  </w:r>
                  <w:r>
                    <w:rPr>
                      <w:rFonts w:ascii="Times New Roman" w:hAnsi="Times New Roman"/>
                      <w:color w:val="auto"/>
                      <w:w w:val="95"/>
                    </w:rPr>
                    <w:t>≤</w:t>
                  </w:r>
                  <w:r>
                    <w:rPr>
                      <w:rFonts w:hint="eastAsia" w:ascii="Times New Roman" w:hAnsi="Times New Roman" w:eastAsia="宋体"/>
                      <w:color w:val="auto"/>
                      <w:w w:val="95"/>
                    </w:rPr>
                    <w:t>0.1</w:t>
                  </w:r>
                </w:p>
              </w:tc>
              <w:tc>
                <w:tcPr>
                  <w:tcW w:w="787" w:type="dxa"/>
                  <w:tcBorders>
                    <w:bottom w:val="single" w:color="000000" w:sz="8" w:space="0"/>
                  </w:tcBorders>
                </w:tcPr>
                <w:p>
                  <w:pPr>
                    <w:pStyle w:val="145"/>
                    <w:spacing w:before="47"/>
                    <w:ind w:left="20"/>
                    <w:jc w:val="center"/>
                    <w:rPr>
                      <w:rFonts w:ascii="Times New Roman" w:hAnsi="Times New Roman" w:eastAsia="宋体"/>
                      <w:color w:val="auto"/>
                    </w:rPr>
                  </w:pPr>
                  <w:r>
                    <w:rPr>
                      <w:rFonts w:hint="eastAsia" w:ascii="Times New Roman" w:hAnsi="Times New Roman" w:eastAsia="宋体"/>
                      <w:color w:val="auto"/>
                    </w:rPr>
                    <w:t>/</w:t>
                  </w:r>
                </w:p>
              </w:tc>
            </w:tr>
          </w:tbl>
          <w:p>
            <w:pPr>
              <w:pStyle w:val="15"/>
              <w:spacing w:before="0" w:after="0" w:line="360" w:lineRule="auto"/>
              <w:ind w:firstLine="470" w:firstLineChars="196"/>
              <w:rPr>
                <w:rFonts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rPr>
              <w:t>监测结果表明，潭江BOD</w:t>
            </w:r>
            <w:r>
              <w:rPr>
                <w:rFonts w:hint="eastAsia" w:ascii="Times New Roman" w:hAnsi="Times New Roman" w:eastAsia="宋体"/>
                <w:b w:val="0"/>
                <w:bCs/>
                <w:color w:val="auto"/>
                <w:szCs w:val="24"/>
                <w:vertAlign w:val="subscript"/>
              </w:rPr>
              <w:t>5</w:t>
            </w:r>
            <w:r>
              <w:rPr>
                <w:rFonts w:hint="eastAsia" w:ascii="Times New Roman" w:hAnsi="Times New Roman" w:eastAsia="宋体"/>
                <w:b w:val="0"/>
                <w:bCs/>
                <w:color w:val="auto"/>
                <w:szCs w:val="24"/>
              </w:rPr>
              <w:t xml:space="preserve"> 监测指标超出《地表水环境质量标准》（GB3838-2002）Ⅱ类标准限值要求，说明水环境质量现状一般，</w:t>
            </w:r>
            <w:r>
              <w:rPr>
                <w:rFonts w:hint="eastAsia" w:ascii="宋体" w:hAnsi="宋体" w:eastAsia="宋体"/>
                <w:b w:val="0"/>
                <w:bCs/>
                <w:color w:val="auto"/>
                <w:sz w:val="24"/>
                <w:highlight w:val="none"/>
              </w:rPr>
              <w:t>故该区域为</w:t>
            </w:r>
            <w:r>
              <w:rPr>
                <w:rFonts w:hint="eastAsia" w:hAnsi="宋体" w:eastAsia="宋体"/>
                <w:b w:val="0"/>
                <w:bCs/>
                <w:color w:val="auto"/>
                <w:sz w:val="24"/>
                <w:highlight w:val="none"/>
                <w:lang w:eastAsia="zh-CN"/>
              </w:rPr>
              <w:t>地表水环境</w:t>
            </w:r>
            <w:r>
              <w:rPr>
                <w:rFonts w:hint="eastAsia" w:ascii="宋体" w:hAnsi="宋体" w:eastAsia="宋体"/>
                <w:b w:val="0"/>
                <w:bCs/>
                <w:color w:val="auto"/>
                <w:sz w:val="24"/>
                <w:highlight w:val="none"/>
              </w:rPr>
              <w:t>质量不达标区域</w:t>
            </w:r>
            <w:r>
              <w:rPr>
                <w:rFonts w:ascii="Times New Roman" w:hAnsi="Times New Roman" w:eastAsia="宋体"/>
                <w:b w:val="0"/>
                <w:bCs/>
                <w:color w:val="auto"/>
                <w:szCs w:val="24"/>
                <w:shd w:val="clear" w:color="auto" w:fill="auto"/>
              </w:rPr>
              <w:t>。</w:t>
            </w:r>
          </w:p>
          <w:p>
            <w:pPr>
              <w:pStyle w:val="15"/>
              <w:spacing w:before="0" w:after="0" w:line="360" w:lineRule="auto"/>
              <w:ind w:firstLine="470" w:firstLineChars="196"/>
              <w:rPr>
                <w:rFonts w:hint="eastAsia"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shd w:val="clear" w:color="auto" w:fill="auto"/>
              </w:rPr>
              <w:t>鉴于项目区域水质较差，地方政府一方面应加快城镇生活污水处理厂及其管网的建设，另一方面环保部门需加强工业污染源的监管，确保水质达标：</w:t>
            </w:r>
          </w:p>
          <w:p>
            <w:pPr>
              <w:pStyle w:val="15"/>
              <w:numPr>
                <w:ilvl w:val="0"/>
                <w:numId w:val="7"/>
              </w:numPr>
              <w:spacing w:before="0" w:after="0" w:line="360" w:lineRule="auto"/>
              <w:ind w:firstLine="470" w:firstLineChars="196"/>
              <w:rPr>
                <w:rFonts w:hint="eastAsia"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shd w:val="clear" w:color="auto" w:fill="auto"/>
              </w:rPr>
              <w:t>加快片区生活污水处理厂建设进度。</w:t>
            </w:r>
          </w:p>
          <w:p>
            <w:pPr>
              <w:pStyle w:val="15"/>
              <w:numPr>
                <w:ilvl w:val="0"/>
                <w:numId w:val="7"/>
              </w:numPr>
              <w:spacing w:before="0" w:after="0" w:line="360" w:lineRule="auto"/>
              <w:ind w:firstLine="470" w:firstLineChars="196"/>
              <w:rPr>
                <w:rFonts w:hint="eastAsia"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shd w:val="clear" w:color="auto" w:fill="auto"/>
              </w:rPr>
              <w:t>清理河涌淤泥，并妥善处理处置。</w:t>
            </w:r>
          </w:p>
          <w:p>
            <w:pPr>
              <w:pStyle w:val="15"/>
              <w:spacing w:before="0" w:after="0" w:line="360" w:lineRule="auto"/>
              <w:ind w:firstLine="470" w:firstLineChars="196"/>
              <w:rPr>
                <w:rFonts w:hint="eastAsia"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shd w:val="clear" w:color="auto" w:fill="auto"/>
              </w:rPr>
              <w:t>3、促进企业实施清洁生产，尽可能将处理后的废水回用于绿化、冲厕等方面，减少废水的产生和排放。</w:t>
            </w:r>
          </w:p>
          <w:p>
            <w:pPr>
              <w:pStyle w:val="15"/>
              <w:spacing w:before="0" w:after="0" w:line="360" w:lineRule="auto"/>
              <w:ind w:firstLine="470" w:firstLineChars="196"/>
              <w:rPr>
                <w:rFonts w:hint="eastAsia"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shd w:val="clear" w:color="auto" w:fill="auto"/>
              </w:rPr>
              <w:t>4、加强</w:t>
            </w:r>
            <w:r>
              <w:rPr>
                <w:rFonts w:hint="eastAsia" w:ascii="Times New Roman" w:hAnsi="Times New Roman" w:eastAsia="宋体"/>
                <w:b w:val="0"/>
                <w:bCs/>
                <w:color w:val="auto"/>
                <w:szCs w:val="24"/>
                <w:shd w:val="clear" w:color="auto" w:fill="auto"/>
                <w:lang w:eastAsia="zh-CN"/>
              </w:rPr>
              <w:t>水口镇</w:t>
            </w:r>
            <w:r>
              <w:rPr>
                <w:rFonts w:hint="eastAsia" w:ascii="Times New Roman" w:hAnsi="Times New Roman" w:eastAsia="宋体"/>
                <w:b w:val="0"/>
                <w:bCs/>
                <w:color w:val="auto"/>
                <w:szCs w:val="24"/>
                <w:shd w:val="clear" w:color="auto" w:fill="auto"/>
              </w:rPr>
              <w:t>工业企业环境管理。</w:t>
            </w:r>
            <w:r>
              <w:rPr>
                <w:rFonts w:hint="eastAsia" w:ascii="Times New Roman" w:hAnsi="Times New Roman" w:eastAsia="宋体"/>
                <w:b w:val="0"/>
                <w:bCs/>
                <w:color w:val="auto"/>
                <w:szCs w:val="24"/>
                <w:shd w:val="clear" w:color="auto" w:fill="auto"/>
                <w:lang w:eastAsia="zh-CN"/>
              </w:rPr>
              <w:t>水口镇</w:t>
            </w:r>
            <w:r>
              <w:rPr>
                <w:rFonts w:hint="eastAsia" w:ascii="Times New Roman" w:hAnsi="Times New Roman" w:eastAsia="宋体"/>
                <w:b w:val="0"/>
                <w:bCs/>
                <w:color w:val="auto"/>
                <w:szCs w:val="24"/>
                <w:shd w:val="clear" w:color="auto" w:fill="auto"/>
              </w:rPr>
              <w:t>排污企业偷排、漏排不达标污水以及超水量排放污水也是造成镇海水污染的主要因素之一，因此，环境监察部门应严查严惩</w:t>
            </w:r>
            <w:r>
              <w:rPr>
                <w:rFonts w:hint="eastAsia" w:ascii="Times New Roman" w:hAnsi="Times New Roman" w:eastAsia="宋体"/>
                <w:b w:val="0"/>
                <w:bCs/>
                <w:color w:val="auto"/>
                <w:szCs w:val="24"/>
                <w:shd w:val="clear" w:color="auto" w:fill="auto"/>
                <w:lang w:eastAsia="zh-CN"/>
              </w:rPr>
              <w:t>水口镇</w:t>
            </w:r>
            <w:r>
              <w:rPr>
                <w:rFonts w:hint="eastAsia" w:ascii="Times New Roman" w:hAnsi="Times New Roman" w:eastAsia="宋体"/>
                <w:b w:val="0"/>
                <w:bCs/>
                <w:color w:val="auto"/>
                <w:szCs w:val="24"/>
                <w:shd w:val="clear" w:color="auto" w:fill="auto"/>
              </w:rPr>
              <w:t>偷排漏排企业，使企业做到达标且不超水量排放。</w:t>
            </w:r>
          </w:p>
          <w:p>
            <w:pPr>
              <w:pStyle w:val="15"/>
              <w:spacing w:before="0" w:after="0" w:line="360" w:lineRule="auto"/>
              <w:ind w:firstLine="472" w:firstLineChars="196"/>
              <w:rPr>
                <w:rFonts w:ascii="Times New Roman" w:hAnsi="Times New Roman" w:eastAsia="宋体"/>
                <w:color w:val="auto"/>
                <w:szCs w:val="24"/>
              </w:rPr>
            </w:pPr>
            <w:r>
              <w:rPr>
                <w:rFonts w:ascii="Times New Roman" w:hAnsi="Times New Roman" w:eastAsia="宋体"/>
                <w:color w:val="auto"/>
                <w:szCs w:val="24"/>
              </w:rPr>
              <w:t>三、声环境质量现状</w:t>
            </w:r>
          </w:p>
          <w:p>
            <w:pPr>
              <w:spacing w:line="360" w:lineRule="auto"/>
              <w:ind w:firstLine="480" w:firstLineChars="200"/>
              <w:rPr>
                <w:color w:val="auto"/>
                <w:sz w:val="24"/>
              </w:rPr>
            </w:pPr>
            <w:r>
              <w:rPr>
                <w:rFonts w:hint="eastAsia"/>
                <w:color w:val="auto"/>
                <w:sz w:val="24"/>
              </w:rPr>
              <w:t>根据《声环境质量标准》（GB3096-2008）、《声环境功能区划分技术规范》（GB/T159190-2014）的相关规定，项目东南面、西南面和东北面属2类声功能区，执行《声环境质量标准》（GB3096-2008）2类标准；西北面约8m为城市主干路，属4a类声功能区，执行4a类标准。</w:t>
            </w:r>
            <w:r>
              <w:rPr>
                <w:color w:val="auto"/>
                <w:sz w:val="24"/>
              </w:rPr>
              <w:t>为了解项目</w:t>
            </w:r>
            <w:r>
              <w:rPr>
                <w:rFonts w:hint="eastAsia"/>
                <w:color w:val="auto"/>
                <w:sz w:val="24"/>
              </w:rPr>
              <w:t>所在地</w:t>
            </w:r>
            <w:r>
              <w:rPr>
                <w:color w:val="auto"/>
                <w:sz w:val="24"/>
              </w:rPr>
              <w:t>声环境</w:t>
            </w:r>
            <w:r>
              <w:rPr>
                <w:rFonts w:hint="eastAsia"/>
                <w:color w:val="auto"/>
                <w:sz w:val="24"/>
              </w:rPr>
              <w:t>质量</w:t>
            </w:r>
            <w:r>
              <w:rPr>
                <w:color w:val="auto"/>
                <w:sz w:val="24"/>
              </w:rPr>
              <w:t>情况，委托</w:t>
            </w:r>
            <w:r>
              <w:rPr>
                <w:rFonts w:hint="eastAsia"/>
                <w:color w:val="auto"/>
                <w:sz w:val="24"/>
              </w:rPr>
              <w:t>云浮市盈安检测技术有限公司于2019年7月21日-22日对项目四周进行声环境质量现状监测，监测结果如下表：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项目所在地环境噪声监测结果（单位：dB(A)）</w:t>
            </w:r>
          </w:p>
          <w:tbl>
            <w:tblPr>
              <w:tblStyle w:val="44"/>
              <w:tblW w:w="8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1897"/>
              <w:gridCol w:w="1191"/>
              <w:gridCol w:w="1549"/>
              <w:gridCol w:w="1549"/>
              <w:gridCol w:w="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vMerge w:val="restart"/>
                  <w:shd w:val="clear" w:color="auto" w:fill="auto"/>
                  <w:vAlign w:val="center"/>
                </w:tcPr>
                <w:p>
                  <w:pPr>
                    <w:spacing w:line="360" w:lineRule="auto"/>
                    <w:jc w:val="center"/>
                    <w:rPr>
                      <w:b/>
                      <w:bCs/>
                      <w:color w:val="auto"/>
                      <w:szCs w:val="21"/>
                    </w:rPr>
                  </w:pPr>
                  <w:bookmarkStart w:id="17" w:name="OLE_LINK14" w:colFirst="0" w:colLast="4"/>
                  <w:r>
                    <w:rPr>
                      <w:b/>
                      <w:bCs/>
                      <w:color w:val="auto"/>
                      <w:szCs w:val="21"/>
                    </w:rPr>
                    <w:t>测点编号</w:t>
                  </w:r>
                </w:p>
              </w:tc>
              <w:tc>
                <w:tcPr>
                  <w:tcW w:w="1897" w:type="dxa"/>
                  <w:vMerge w:val="restart"/>
                  <w:shd w:val="clear" w:color="auto" w:fill="auto"/>
                  <w:vAlign w:val="center"/>
                </w:tcPr>
                <w:p>
                  <w:pPr>
                    <w:spacing w:line="360" w:lineRule="auto"/>
                    <w:jc w:val="center"/>
                    <w:rPr>
                      <w:b/>
                      <w:bCs/>
                      <w:color w:val="auto"/>
                      <w:szCs w:val="21"/>
                    </w:rPr>
                  </w:pPr>
                  <w:r>
                    <w:rPr>
                      <w:b/>
                      <w:bCs/>
                      <w:color w:val="auto"/>
                      <w:szCs w:val="21"/>
                    </w:rPr>
                    <w:t>监测点位</w:t>
                  </w:r>
                </w:p>
              </w:tc>
              <w:tc>
                <w:tcPr>
                  <w:tcW w:w="5698" w:type="dxa"/>
                  <w:gridSpan w:val="4"/>
                  <w:shd w:val="clear" w:color="auto" w:fill="auto"/>
                  <w:vAlign w:val="center"/>
                </w:tcPr>
                <w:p>
                  <w:pPr>
                    <w:spacing w:line="360" w:lineRule="auto"/>
                    <w:jc w:val="center"/>
                    <w:rPr>
                      <w:b/>
                      <w:bCs/>
                      <w:color w:val="auto"/>
                      <w:szCs w:val="21"/>
                    </w:rPr>
                  </w:pPr>
                  <w:r>
                    <w:rPr>
                      <w:b/>
                      <w:bCs/>
                      <w:color w:val="auto"/>
                      <w:szCs w:val="21"/>
                    </w:rPr>
                    <w:t>监测日期及监测结果：Leq[dB(A)]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43" w:type="dxa"/>
                  <w:vMerge w:val="continue"/>
                  <w:shd w:val="clear" w:color="auto" w:fill="auto"/>
                  <w:vAlign w:val="center"/>
                </w:tcPr>
                <w:p>
                  <w:pPr>
                    <w:spacing w:line="360" w:lineRule="auto"/>
                    <w:jc w:val="center"/>
                    <w:rPr>
                      <w:b/>
                      <w:bCs/>
                      <w:color w:val="auto"/>
                      <w:szCs w:val="21"/>
                    </w:rPr>
                  </w:pPr>
                </w:p>
              </w:tc>
              <w:tc>
                <w:tcPr>
                  <w:tcW w:w="1897" w:type="dxa"/>
                  <w:vMerge w:val="continue"/>
                  <w:shd w:val="clear" w:color="auto" w:fill="auto"/>
                  <w:vAlign w:val="center"/>
                </w:tcPr>
                <w:p>
                  <w:pPr>
                    <w:spacing w:line="360" w:lineRule="auto"/>
                    <w:jc w:val="center"/>
                    <w:rPr>
                      <w:b/>
                      <w:bCs/>
                      <w:color w:val="auto"/>
                      <w:szCs w:val="21"/>
                    </w:rPr>
                  </w:pPr>
                </w:p>
              </w:tc>
              <w:tc>
                <w:tcPr>
                  <w:tcW w:w="2740" w:type="dxa"/>
                  <w:gridSpan w:val="2"/>
                  <w:shd w:val="clear" w:color="auto" w:fill="auto"/>
                  <w:vAlign w:val="center"/>
                </w:tcPr>
                <w:p>
                  <w:pPr>
                    <w:spacing w:line="360" w:lineRule="auto"/>
                    <w:jc w:val="center"/>
                    <w:rPr>
                      <w:b/>
                      <w:bCs/>
                      <w:color w:val="auto"/>
                      <w:szCs w:val="21"/>
                    </w:rPr>
                  </w:pPr>
                  <w:r>
                    <w:rPr>
                      <w:b/>
                      <w:bCs/>
                      <w:color w:val="auto"/>
                      <w:szCs w:val="21"/>
                    </w:rPr>
                    <w:t>201</w:t>
                  </w:r>
                  <w:r>
                    <w:rPr>
                      <w:rFonts w:hint="eastAsia"/>
                      <w:b/>
                      <w:bCs/>
                      <w:color w:val="auto"/>
                      <w:szCs w:val="21"/>
                    </w:rPr>
                    <w:t>9</w:t>
                  </w:r>
                  <w:r>
                    <w:rPr>
                      <w:b/>
                      <w:bCs/>
                      <w:color w:val="auto"/>
                      <w:szCs w:val="21"/>
                    </w:rPr>
                    <w:t>.</w:t>
                  </w:r>
                  <w:r>
                    <w:rPr>
                      <w:rFonts w:hint="eastAsia"/>
                      <w:b/>
                      <w:bCs/>
                      <w:color w:val="auto"/>
                      <w:szCs w:val="21"/>
                    </w:rPr>
                    <w:t>07</w:t>
                  </w:r>
                  <w:r>
                    <w:rPr>
                      <w:b/>
                      <w:bCs/>
                      <w:color w:val="auto"/>
                      <w:szCs w:val="21"/>
                    </w:rPr>
                    <w:t>.</w:t>
                  </w:r>
                  <w:r>
                    <w:rPr>
                      <w:rFonts w:hint="eastAsia"/>
                      <w:b/>
                      <w:bCs/>
                      <w:color w:val="auto"/>
                      <w:szCs w:val="21"/>
                    </w:rPr>
                    <w:t>21</w:t>
                  </w:r>
                </w:p>
              </w:tc>
              <w:tc>
                <w:tcPr>
                  <w:tcW w:w="2958" w:type="dxa"/>
                  <w:gridSpan w:val="2"/>
                  <w:shd w:val="clear" w:color="auto" w:fill="auto"/>
                  <w:vAlign w:val="center"/>
                </w:tcPr>
                <w:p>
                  <w:pPr>
                    <w:spacing w:line="360" w:lineRule="auto"/>
                    <w:jc w:val="center"/>
                    <w:rPr>
                      <w:b/>
                      <w:bCs/>
                      <w:color w:val="auto"/>
                      <w:szCs w:val="21"/>
                    </w:rPr>
                  </w:pPr>
                  <w:r>
                    <w:rPr>
                      <w:b/>
                      <w:bCs/>
                      <w:color w:val="auto"/>
                      <w:szCs w:val="21"/>
                    </w:rPr>
                    <w:t>201</w:t>
                  </w:r>
                  <w:r>
                    <w:rPr>
                      <w:rFonts w:hint="eastAsia"/>
                      <w:b/>
                      <w:bCs/>
                      <w:color w:val="auto"/>
                      <w:szCs w:val="21"/>
                    </w:rPr>
                    <w:t>9</w:t>
                  </w:r>
                  <w:r>
                    <w:rPr>
                      <w:b/>
                      <w:bCs/>
                      <w:color w:val="auto"/>
                      <w:szCs w:val="21"/>
                    </w:rPr>
                    <w:t>.</w:t>
                  </w:r>
                  <w:r>
                    <w:rPr>
                      <w:rFonts w:hint="eastAsia"/>
                      <w:b/>
                      <w:bCs/>
                      <w:color w:val="auto"/>
                      <w:szCs w:val="21"/>
                    </w:rPr>
                    <w:t>07</w:t>
                  </w:r>
                  <w:r>
                    <w:rPr>
                      <w:b/>
                      <w:bCs/>
                      <w:color w:val="auto"/>
                      <w:szCs w:val="21"/>
                    </w:rPr>
                    <w:t>.</w:t>
                  </w:r>
                  <w:r>
                    <w:rPr>
                      <w:rFonts w:hint="eastAsia"/>
                      <w:b/>
                      <w:bCs/>
                      <w:color w:val="auto"/>
                      <w:szCs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vMerge w:val="continue"/>
                  <w:shd w:val="clear" w:color="auto" w:fill="auto"/>
                  <w:vAlign w:val="center"/>
                </w:tcPr>
                <w:p>
                  <w:pPr>
                    <w:spacing w:line="360" w:lineRule="auto"/>
                    <w:jc w:val="center"/>
                    <w:rPr>
                      <w:b/>
                      <w:bCs/>
                      <w:color w:val="auto"/>
                      <w:szCs w:val="21"/>
                    </w:rPr>
                  </w:pPr>
                </w:p>
              </w:tc>
              <w:tc>
                <w:tcPr>
                  <w:tcW w:w="1897" w:type="dxa"/>
                  <w:vMerge w:val="continue"/>
                  <w:shd w:val="clear" w:color="auto" w:fill="auto"/>
                  <w:vAlign w:val="center"/>
                </w:tcPr>
                <w:p>
                  <w:pPr>
                    <w:spacing w:line="360" w:lineRule="auto"/>
                    <w:jc w:val="center"/>
                    <w:rPr>
                      <w:b/>
                      <w:bCs/>
                      <w:color w:val="auto"/>
                      <w:szCs w:val="21"/>
                    </w:rPr>
                  </w:pPr>
                </w:p>
              </w:tc>
              <w:tc>
                <w:tcPr>
                  <w:tcW w:w="1191" w:type="dxa"/>
                  <w:shd w:val="clear" w:color="auto" w:fill="auto"/>
                  <w:vAlign w:val="center"/>
                </w:tcPr>
                <w:p>
                  <w:pPr>
                    <w:spacing w:line="360" w:lineRule="auto"/>
                    <w:jc w:val="center"/>
                    <w:rPr>
                      <w:b/>
                      <w:bCs/>
                      <w:color w:val="auto"/>
                      <w:szCs w:val="21"/>
                    </w:rPr>
                  </w:pPr>
                  <w:r>
                    <w:rPr>
                      <w:b/>
                      <w:bCs/>
                      <w:color w:val="auto"/>
                      <w:szCs w:val="21"/>
                    </w:rPr>
                    <w:t>昼间</w:t>
                  </w:r>
                </w:p>
              </w:tc>
              <w:tc>
                <w:tcPr>
                  <w:tcW w:w="1549" w:type="dxa"/>
                  <w:shd w:val="clear" w:color="auto" w:fill="auto"/>
                  <w:vAlign w:val="center"/>
                </w:tcPr>
                <w:p>
                  <w:pPr>
                    <w:spacing w:line="360" w:lineRule="auto"/>
                    <w:jc w:val="center"/>
                    <w:rPr>
                      <w:b/>
                      <w:bCs/>
                      <w:color w:val="auto"/>
                      <w:szCs w:val="21"/>
                    </w:rPr>
                  </w:pPr>
                  <w:r>
                    <w:rPr>
                      <w:b/>
                      <w:bCs/>
                      <w:color w:val="auto"/>
                      <w:szCs w:val="21"/>
                    </w:rPr>
                    <w:t>夜间</w:t>
                  </w:r>
                </w:p>
              </w:tc>
              <w:tc>
                <w:tcPr>
                  <w:tcW w:w="1549" w:type="dxa"/>
                  <w:shd w:val="clear" w:color="auto" w:fill="auto"/>
                  <w:vAlign w:val="center"/>
                </w:tcPr>
                <w:p>
                  <w:pPr>
                    <w:spacing w:line="360" w:lineRule="auto"/>
                    <w:jc w:val="center"/>
                    <w:rPr>
                      <w:b/>
                      <w:bCs/>
                      <w:color w:val="auto"/>
                      <w:szCs w:val="21"/>
                    </w:rPr>
                  </w:pPr>
                  <w:r>
                    <w:rPr>
                      <w:b/>
                      <w:bCs/>
                      <w:color w:val="auto"/>
                      <w:szCs w:val="21"/>
                    </w:rPr>
                    <w:t>昼间</w:t>
                  </w:r>
                </w:p>
              </w:tc>
              <w:tc>
                <w:tcPr>
                  <w:tcW w:w="1409" w:type="dxa"/>
                  <w:shd w:val="clear" w:color="auto" w:fill="auto"/>
                  <w:vAlign w:val="center"/>
                </w:tcPr>
                <w:p>
                  <w:pPr>
                    <w:spacing w:line="360" w:lineRule="auto"/>
                    <w:jc w:val="center"/>
                    <w:rPr>
                      <w:b/>
                      <w:bCs/>
                      <w:color w:val="auto"/>
                      <w:szCs w:val="21"/>
                    </w:rPr>
                  </w:pPr>
                  <w:r>
                    <w:rPr>
                      <w:b/>
                      <w:bCs/>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Cs w:val="21"/>
                    </w:rPr>
                  </w:pPr>
                  <w:r>
                    <w:rPr>
                      <w:b/>
                      <w:bCs/>
                      <w:color w:val="auto"/>
                      <w:szCs w:val="21"/>
                    </w:rPr>
                    <w:t>N1</w:t>
                  </w:r>
                </w:p>
              </w:tc>
              <w:tc>
                <w:tcPr>
                  <w:tcW w:w="1897" w:type="dxa"/>
                  <w:shd w:val="clear" w:color="auto" w:fill="auto"/>
                  <w:vAlign w:val="center"/>
                </w:tcPr>
                <w:p>
                  <w:pPr>
                    <w:spacing w:before="100" w:beforeAutospacing="1" w:after="100" w:afterAutospacing="1"/>
                    <w:jc w:val="center"/>
                    <w:rPr>
                      <w:b/>
                      <w:bCs/>
                      <w:color w:val="auto"/>
                      <w:szCs w:val="21"/>
                    </w:rPr>
                  </w:pPr>
                  <w:r>
                    <w:rPr>
                      <w:rFonts w:hint="eastAsia"/>
                      <w:b/>
                      <w:bCs/>
                      <w:color w:val="auto"/>
                      <w:szCs w:val="21"/>
                    </w:rPr>
                    <w:t>厂界外东侧1米处</w:t>
                  </w:r>
                </w:p>
              </w:tc>
              <w:tc>
                <w:tcPr>
                  <w:tcW w:w="1191" w:type="dxa"/>
                  <w:shd w:val="clear" w:color="auto" w:fill="auto"/>
                  <w:vAlign w:val="center"/>
                </w:tcPr>
                <w:p>
                  <w:pPr>
                    <w:spacing w:before="100" w:beforeAutospacing="1" w:after="100" w:afterAutospacing="1"/>
                    <w:jc w:val="center"/>
                    <w:rPr>
                      <w:color w:val="auto"/>
                      <w:szCs w:val="21"/>
                    </w:rPr>
                  </w:pPr>
                  <w:r>
                    <w:rPr>
                      <w:rFonts w:hint="eastAsia"/>
                      <w:color w:val="auto"/>
                      <w:szCs w:val="21"/>
                    </w:rPr>
                    <w:t>57</w:t>
                  </w:r>
                </w:p>
              </w:tc>
              <w:tc>
                <w:tcPr>
                  <w:tcW w:w="1549" w:type="dxa"/>
                  <w:shd w:val="clear" w:color="auto" w:fill="auto"/>
                  <w:vAlign w:val="center"/>
                </w:tcPr>
                <w:p>
                  <w:pPr>
                    <w:spacing w:before="100" w:beforeAutospacing="1" w:after="100" w:afterAutospacing="1"/>
                    <w:jc w:val="center"/>
                    <w:rPr>
                      <w:color w:val="auto"/>
                      <w:szCs w:val="21"/>
                    </w:rPr>
                  </w:pPr>
                  <w:r>
                    <w:rPr>
                      <w:rFonts w:hint="eastAsia"/>
                      <w:color w:val="auto"/>
                      <w:szCs w:val="21"/>
                    </w:rPr>
                    <w:t>47</w:t>
                  </w:r>
                </w:p>
              </w:tc>
              <w:tc>
                <w:tcPr>
                  <w:tcW w:w="1549" w:type="dxa"/>
                  <w:shd w:val="clear" w:color="auto" w:fill="auto"/>
                  <w:vAlign w:val="center"/>
                </w:tcPr>
                <w:p>
                  <w:pPr>
                    <w:spacing w:before="100" w:beforeAutospacing="1" w:after="100" w:afterAutospacing="1"/>
                    <w:jc w:val="center"/>
                    <w:rPr>
                      <w:color w:val="auto"/>
                      <w:szCs w:val="21"/>
                    </w:rPr>
                  </w:pPr>
                  <w:r>
                    <w:rPr>
                      <w:rFonts w:hint="eastAsia"/>
                      <w:color w:val="auto"/>
                      <w:szCs w:val="21"/>
                    </w:rPr>
                    <w:t>57</w:t>
                  </w:r>
                </w:p>
              </w:tc>
              <w:tc>
                <w:tcPr>
                  <w:tcW w:w="1409" w:type="dxa"/>
                  <w:shd w:val="clear" w:color="auto" w:fill="auto"/>
                  <w:vAlign w:val="center"/>
                </w:tcPr>
                <w:p>
                  <w:pPr>
                    <w:spacing w:before="100" w:beforeAutospacing="1" w:after="100" w:afterAutospacing="1"/>
                    <w:jc w:val="center"/>
                    <w:rPr>
                      <w:color w:val="auto"/>
                      <w:szCs w:val="21"/>
                    </w:rPr>
                  </w:pPr>
                  <w:r>
                    <w:rPr>
                      <w:rFonts w:hint="eastAsia"/>
                      <w:color w:val="auto"/>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Cs w:val="21"/>
                    </w:rPr>
                  </w:pPr>
                  <w:r>
                    <w:rPr>
                      <w:b/>
                      <w:bCs/>
                      <w:color w:val="auto"/>
                      <w:szCs w:val="21"/>
                    </w:rPr>
                    <w:t>N2</w:t>
                  </w:r>
                </w:p>
              </w:tc>
              <w:tc>
                <w:tcPr>
                  <w:tcW w:w="1897" w:type="dxa"/>
                  <w:shd w:val="clear" w:color="auto" w:fill="auto"/>
                  <w:vAlign w:val="center"/>
                </w:tcPr>
                <w:p>
                  <w:pPr>
                    <w:spacing w:before="100" w:beforeAutospacing="1" w:after="100" w:afterAutospacing="1"/>
                    <w:jc w:val="center"/>
                    <w:rPr>
                      <w:b/>
                      <w:bCs/>
                      <w:color w:val="auto"/>
                      <w:szCs w:val="21"/>
                    </w:rPr>
                  </w:pPr>
                  <w:r>
                    <w:rPr>
                      <w:rFonts w:hint="eastAsia"/>
                      <w:b/>
                      <w:bCs/>
                      <w:color w:val="auto"/>
                      <w:szCs w:val="21"/>
                    </w:rPr>
                    <w:t>厂界外南侧1米处</w:t>
                  </w:r>
                </w:p>
              </w:tc>
              <w:tc>
                <w:tcPr>
                  <w:tcW w:w="1191" w:type="dxa"/>
                  <w:shd w:val="clear" w:color="auto" w:fill="auto"/>
                  <w:vAlign w:val="center"/>
                </w:tcPr>
                <w:p>
                  <w:pPr>
                    <w:spacing w:before="100" w:beforeAutospacing="1" w:after="100" w:afterAutospacing="1"/>
                    <w:jc w:val="center"/>
                    <w:rPr>
                      <w:color w:val="auto"/>
                      <w:szCs w:val="21"/>
                    </w:rPr>
                  </w:pPr>
                  <w:r>
                    <w:rPr>
                      <w:rFonts w:hint="eastAsia"/>
                      <w:color w:val="auto"/>
                      <w:szCs w:val="21"/>
                    </w:rPr>
                    <w:t>58</w:t>
                  </w:r>
                </w:p>
              </w:tc>
              <w:tc>
                <w:tcPr>
                  <w:tcW w:w="1549" w:type="dxa"/>
                  <w:shd w:val="clear" w:color="auto" w:fill="auto"/>
                  <w:vAlign w:val="center"/>
                </w:tcPr>
                <w:p>
                  <w:pPr>
                    <w:spacing w:before="100" w:beforeAutospacing="1" w:after="100" w:afterAutospacing="1"/>
                    <w:jc w:val="center"/>
                    <w:rPr>
                      <w:color w:val="auto"/>
                      <w:szCs w:val="21"/>
                    </w:rPr>
                  </w:pPr>
                  <w:r>
                    <w:rPr>
                      <w:rFonts w:hint="eastAsia"/>
                      <w:color w:val="auto"/>
                      <w:szCs w:val="21"/>
                    </w:rPr>
                    <w:t>48</w:t>
                  </w:r>
                </w:p>
              </w:tc>
              <w:tc>
                <w:tcPr>
                  <w:tcW w:w="1549" w:type="dxa"/>
                  <w:shd w:val="clear" w:color="auto" w:fill="auto"/>
                  <w:vAlign w:val="center"/>
                </w:tcPr>
                <w:p>
                  <w:pPr>
                    <w:spacing w:before="100" w:beforeAutospacing="1" w:after="100" w:afterAutospacing="1"/>
                    <w:jc w:val="center"/>
                    <w:rPr>
                      <w:color w:val="auto"/>
                      <w:szCs w:val="21"/>
                    </w:rPr>
                  </w:pPr>
                  <w:r>
                    <w:rPr>
                      <w:rFonts w:hint="eastAsia"/>
                      <w:color w:val="auto"/>
                      <w:szCs w:val="21"/>
                    </w:rPr>
                    <w:t>57</w:t>
                  </w:r>
                </w:p>
              </w:tc>
              <w:tc>
                <w:tcPr>
                  <w:tcW w:w="1409" w:type="dxa"/>
                  <w:shd w:val="clear" w:color="auto" w:fill="auto"/>
                  <w:vAlign w:val="center"/>
                </w:tcPr>
                <w:p>
                  <w:pPr>
                    <w:spacing w:before="100" w:beforeAutospacing="1" w:after="100" w:afterAutospacing="1"/>
                    <w:jc w:val="center"/>
                    <w:rPr>
                      <w:color w:val="auto"/>
                      <w:szCs w:val="21"/>
                    </w:rPr>
                  </w:pPr>
                  <w:r>
                    <w:rPr>
                      <w:rFonts w:hint="eastAsia"/>
                      <w:color w:val="auto"/>
                      <w:szCs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Cs w:val="21"/>
                    </w:rPr>
                  </w:pPr>
                  <w:r>
                    <w:rPr>
                      <w:b/>
                      <w:bCs/>
                      <w:color w:val="auto"/>
                      <w:szCs w:val="21"/>
                    </w:rPr>
                    <w:t>N3</w:t>
                  </w:r>
                </w:p>
              </w:tc>
              <w:tc>
                <w:tcPr>
                  <w:tcW w:w="1897" w:type="dxa"/>
                  <w:shd w:val="clear" w:color="auto" w:fill="auto"/>
                  <w:vAlign w:val="center"/>
                </w:tcPr>
                <w:p>
                  <w:pPr>
                    <w:spacing w:before="100" w:beforeAutospacing="1" w:after="100" w:afterAutospacing="1"/>
                    <w:jc w:val="center"/>
                    <w:rPr>
                      <w:b/>
                      <w:bCs/>
                      <w:color w:val="auto"/>
                      <w:szCs w:val="21"/>
                    </w:rPr>
                  </w:pPr>
                  <w:r>
                    <w:rPr>
                      <w:rFonts w:hint="eastAsia"/>
                      <w:b/>
                      <w:bCs/>
                      <w:color w:val="auto"/>
                      <w:szCs w:val="21"/>
                    </w:rPr>
                    <w:t>厂界外西侧1米处</w:t>
                  </w:r>
                </w:p>
              </w:tc>
              <w:tc>
                <w:tcPr>
                  <w:tcW w:w="1191" w:type="dxa"/>
                  <w:shd w:val="clear" w:color="auto" w:fill="auto"/>
                  <w:vAlign w:val="center"/>
                </w:tcPr>
                <w:p>
                  <w:pPr>
                    <w:spacing w:before="100" w:beforeAutospacing="1" w:after="100" w:afterAutospacing="1"/>
                    <w:jc w:val="center"/>
                    <w:rPr>
                      <w:color w:val="auto"/>
                      <w:szCs w:val="21"/>
                    </w:rPr>
                  </w:pPr>
                  <w:r>
                    <w:rPr>
                      <w:rFonts w:hint="eastAsia"/>
                      <w:color w:val="auto"/>
                      <w:szCs w:val="21"/>
                    </w:rPr>
                    <w:t>58</w:t>
                  </w:r>
                </w:p>
              </w:tc>
              <w:tc>
                <w:tcPr>
                  <w:tcW w:w="1549" w:type="dxa"/>
                  <w:shd w:val="clear" w:color="auto" w:fill="auto"/>
                  <w:vAlign w:val="center"/>
                </w:tcPr>
                <w:p>
                  <w:pPr>
                    <w:spacing w:before="100" w:beforeAutospacing="1" w:after="100" w:afterAutospacing="1"/>
                    <w:jc w:val="center"/>
                    <w:rPr>
                      <w:color w:val="auto"/>
                      <w:szCs w:val="21"/>
                    </w:rPr>
                  </w:pPr>
                  <w:r>
                    <w:rPr>
                      <w:rFonts w:hint="eastAsia"/>
                      <w:color w:val="auto"/>
                      <w:szCs w:val="21"/>
                    </w:rPr>
                    <w:t>46</w:t>
                  </w:r>
                </w:p>
              </w:tc>
              <w:tc>
                <w:tcPr>
                  <w:tcW w:w="1549" w:type="dxa"/>
                  <w:shd w:val="clear" w:color="auto" w:fill="auto"/>
                  <w:vAlign w:val="center"/>
                </w:tcPr>
                <w:p>
                  <w:pPr>
                    <w:spacing w:before="100" w:beforeAutospacing="1" w:after="100" w:afterAutospacing="1"/>
                    <w:jc w:val="center"/>
                    <w:rPr>
                      <w:color w:val="auto"/>
                      <w:szCs w:val="21"/>
                    </w:rPr>
                  </w:pPr>
                  <w:r>
                    <w:rPr>
                      <w:rFonts w:hint="eastAsia"/>
                      <w:color w:val="auto"/>
                      <w:szCs w:val="21"/>
                    </w:rPr>
                    <w:t>58</w:t>
                  </w:r>
                </w:p>
              </w:tc>
              <w:tc>
                <w:tcPr>
                  <w:tcW w:w="1409" w:type="dxa"/>
                  <w:shd w:val="clear" w:color="auto" w:fill="auto"/>
                  <w:vAlign w:val="center"/>
                </w:tcPr>
                <w:p>
                  <w:pPr>
                    <w:spacing w:before="100" w:beforeAutospacing="1" w:after="100" w:afterAutospacing="1"/>
                    <w:jc w:val="center"/>
                    <w:rPr>
                      <w:color w:val="auto"/>
                      <w:szCs w:val="21"/>
                    </w:rPr>
                  </w:pPr>
                  <w:r>
                    <w:rPr>
                      <w:rFonts w:hint="eastAsia"/>
                      <w:color w:val="auto"/>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Cs w:val="21"/>
                    </w:rPr>
                  </w:pPr>
                  <w:r>
                    <w:rPr>
                      <w:b/>
                      <w:bCs/>
                      <w:color w:val="auto"/>
                      <w:szCs w:val="21"/>
                    </w:rPr>
                    <w:t>N4</w:t>
                  </w:r>
                </w:p>
              </w:tc>
              <w:tc>
                <w:tcPr>
                  <w:tcW w:w="1897" w:type="dxa"/>
                  <w:shd w:val="clear" w:color="auto" w:fill="auto"/>
                  <w:vAlign w:val="center"/>
                </w:tcPr>
                <w:p>
                  <w:pPr>
                    <w:pStyle w:val="152"/>
                    <w:spacing w:line="240" w:lineRule="auto"/>
                    <w:rPr>
                      <w:b/>
                      <w:bCs/>
                      <w:color w:val="auto"/>
                    </w:rPr>
                  </w:pPr>
                  <w:r>
                    <w:rPr>
                      <w:rFonts w:hint="eastAsia"/>
                      <w:b/>
                      <w:bCs/>
                      <w:color w:val="auto"/>
                    </w:rPr>
                    <w:t>厂界外北侧1米处</w:t>
                  </w:r>
                </w:p>
              </w:tc>
              <w:tc>
                <w:tcPr>
                  <w:tcW w:w="1191" w:type="dxa"/>
                  <w:shd w:val="clear" w:color="auto" w:fill="auto"/>
                  <w:vAlign w:val="center"/>
                </w:tcPr>
                <w:p>
                  <w:pPr>
                    <w:spacing w:before="100" w:beforeAutospacing="1" w:after="100" w:afterAutospacing="1"/>
                    <w:jc w:val="center"/>
                    <w:rPr>
                      <w:color w:val="auto"/>
                      <w:szCs w:val="21"/>
                    </w:rPr>
                  </w:pPr>
                  <w:r>
                    <w:rPr>
                      <w:rFonts w:hint="eastAsia"/>
                      <w:color w:val="auto"/>
                      <w:szCs w:val="21"/>
                    </w:rPr>
                    <w:t>57</w:t>
                  </w:r>
                </w:p>
              </w:tc>
              <w:tc>
                <w:tcPr>
                  <w:tcW w:w="1549" w:type="dxa"/>
                  <w:shd w:val="clear" w:color="auto" w:fill="auto"/>
                  <w:vAlign w:val="center"/>
                </w:tcPr>
                <w:p>
                  <w:pPr>
                    <w:spacing w:before="100" w:beforeAutospacing="1" w:after="100" w:afterAutospacing="1"/>
                    <w:jc w:val="center"/>
                    <w:rPr>
                      <w:color w:val="auto"/>
                      <w:szCs w:val="21"/>
                    </w:rPr>
                  </w:pPr>
                  <w:r>
                    <w:rPr>
                      <w:rFonts w:hint="eastAsia"/>
                      <w:color w:val="auto"/>
                      <w:szCs w:val="21"/>
                    </w:rPr>
                    <w:t>45</w:t>
                  </w:r>
                </w:p>
              </w:tc>
              <w:tc>
                <w:tcPr>
                  <w:tcW w:w="1549" w:type="dxa"/>
                  <w:shd w:val="clear" w:color="auto" w:fill="auto"/>
                  <w:vAlign w:val="center"/>
                </w:tcPr>
                <w:p>
                  <w:pPr>
                    <w:spacing w:before="100" w:beforeAutospacing="1" w:after="100" w:afterAutospacing="1"/>
                    <w:jc w:val="center"/>
                    <w:rPr>
                      <w:color w:val="auto"/>
                      <w:szCs w:val="21"/>
                    </w:rPr>
                  </w:pPr>
                  <w:r>
                    <w:rPr>
                      <w:rFonts w:hint="eastAsia"/>
                      <w:color w:val="auto"/>
                      <w:szCs w:val="21"/>
                    </w:rPr>
                    <w:t>57</w:t>
                  </w:r>
                </w:p>
              </w:tc>
              <w:tc>
                <w:tcPr>
                  <w:tcW w:w="1409" w:type="dxa"/>
                  <w:shd w:val="clear" w:color="auto" w:fill="auto"/>
                  <w:vAlign w:val="center"/>
                </w:tcPr>
                <w:p>
                  <w:pPr>
                    <w:spacing w:before="100" w:beforeAutospacing="1" w:after="100" w:afterAutospacing="1"/>
                    <w:jc w:val="center"/>
                    <w:rPr>
                      <w:color w:val="auto"/>
                      <w:szCs w:val="21"/>
                    </w:rPr>
                  </w:pPr>
                  <w:r>
                    <w:rPr>
                      <w:rFonts w:hint="eastAsia"/>
                      <w:color w:val="auto"/>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2640" w:type="dxa"/>
                  <w:gridSpan w:val="2"/>
                  <w:shd w:val="clear" w:color="auto" w:fill="auto"/>
                  <w:vAlign w:val="center"/>
                </w:tcPr>
                <w:p>
                  <w:pPr>
                    <w:spacing w:line="240" w:lineRule="auto"/>
                    <w:jc w:val="center"/>
                    <w:rPr>
                      <w:b/>
                      <w:bCs/>
                      <w:color w:val="auto"/>
                      <w:szCs w:val="21"/>
                    </w:rPr>
                  </w:pPr>
                  <w:r>
                    <w:rPr>
                      <w:b/>
                      <w:bCs/>
                      <w:color w:val="auto"/>
                      <w:szCs w:val="21"/>
                    </w:rPr>
                    <w:t>《声环境质量标准》(GB3096-2008)</w:t>
                  </w:r>
                  <w:r>
                    <w:rPr>
                      <w:rFonts w:hint="eastAsia"/>
                      <w:b/>
                      <w:bCs/>
                      <w:color w:val="auto"/>
                      <w:szCs w:val="21"/>
                    </w:rPr>
                    <w:t>2</w:t>
                  </w:r>
                  <w:r>
                    <w:rPr>
                      <w:b/>
                      <w:bCs/>
                      <w:color w:val="auto"/>
                      <w:szCs w:val="21"/>
                    </w:rPr>
                    <w:t>类标准</w:t>
                  </w:r>
                </w:p>
              </w:tc>
              <w:tc>
                <w:tcPr>
                  <w:tcW w:w="1191" w:type="dxa"/>
                  <w:shd w:val="clear" w:color="auto" w:fill="auto"/>
                  <w:vAlign w:val="center"/>
                </w:tcPr>
                <w:p>
                  <w:pPr>
                    <w:spacing w:line="240" w:lineRule="auto"/>
                    <w:ind w:firstLine="420" w:firstLineChars="200"/>
                    <w:rPr>
                      <w:color w:val="auto"/>
                      <w:szCs w:val="21"/>
                    </w:rPr>
                  </w:pPr>
                  <w:r>
                    <w:rPr>
                      <w:color w:val="auto"/>
                      <w:szCs w:val="21"/>
                    </w:rPr>
                    <w:t>6</w:t>
                  </w:r>
                  <w:r>
                    <w:rPr>
                      <w:rFonts w:hint="eastAsia"/>
                      <w:color w:val="auto"/>
                      <w:szCs w:val="21"/>
                    </w:rPr>
                    <w:t>0</w:t>
                  </w:r>
                </w:p>
              </w:tc>
              <w:tc>
                <w:tcPr>
                  <w:tcW w:w="1549" w:type="dxa"/>
                  <w:shd w:val="clear" w:color="auto" w:fill="auto"/>
                  <w:vAlign w:val="center"/>
                </w:tcPr>
                <w:p>
                  <w:pPr>
                    <w:spacing w:line="240" w:lineRule="auto"/>
                    <w:jc w:val="center"/>
                    <w:rPr>
                      <w:color w:val="auto"/>
                      <w:szCs w:val="21"/>
                    </w:rPr>
                  </w:pPr>
                  <w:r>
                    <w:rPr>
                      <w:color w:val="auto"/>
                      <w:szCs w:val="21"/>
                    </w:rPr>
                    <w:t>5</w:t>
                  </w:r>
                  <w:r>
                    <w:rPr>
                      <w:rFonts w:hint="eastAsia"/>
                      <w:color w:val="auto"/>
                      <w:szCs w:val="21"/>
                    </w:rPr>
                    <w:t>0</w:t>
                  </w:r>
                </w:p>
              </w:tc>
              <w:tc>
                <w:tcPr>
                  <w:tcW w:w="1549" w:type="dxa"/>
                  <w:shd w:val="clear" w:color="auto" w:fill="auto"/>
                  <w:vAlign w:val="center"/>
                </w:tcPr>
                <w:p>
                  <w:pPr>
                    <w:spacing w:line="240" w:lineRule="auto"/>
                    <w:jc w:val="center"/>
                    <w:rPr>
                      <w:color w:val="auto"/>
                      <w:szCs w:val="21"/>
                    </w:rPr>
                  </w:pPr>
                  <w:r>
                    <w:rPr>
                      <w:color w:val="auto"/>
                      <w:szCs w:val="21"/>
                    </w:rPr>
                    <w:t>6</w:t>
                  </w:r>
                  <w:r>
                    <w:rPr>
                      <w:rFonts w:hint="eastAsia"/>
                      <w:color w:val="auto"/>
                      <w:szCs w:val="21"/>
                    </w:rPr>
                    <w:t>0</w:t>
                  </w:r>
                </w:p>
              </w:tc>
              <w:tc>
                <w:tcPr>
                  <w:tcW w:w="1409" w:type="dxa"/>
                  <w:shd w:val="clear" w:color="auto" w:fill="auto"/>
                  <w:vAlign w:val="center"/>
                </w:tcPr>
                <w:p>
                  <w:pPr>
                    <w:spacing w:line="240" w:lineRule="auto"/>
                    <w:jc w:val="center"/>
                    <w:rPr>
                      <w:color w:val="auto"/>
                      <w:kern w:val="0"/>
                      <w:szCs w:val="21"/>
                      <w:lang w:bidi="ar"/>
                    </w:rPr>
                  </w:pPr>
                  <w:r>
                    <w:rPr>
                      <w:color w:val="auto"/>
                      <w:kern w:val="0"/>
                      <w:szCs w:val="21"/>
                      <w:lang w:bidi="ar"/>
                    </w:rPr>
                    <w:t>5</w:t>
                  </w:r>
                  <w:r>
                    <w:rPr>
                      <w:rFonts w:hint="eastAsia"/>
                      <w:color w:val="auto"/>
                      <w:kern w:val="0"/>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2640" w:type="dxa"/>
                  <w:gridSpan w:val="2"/>
                  <w:shd w:val="clear" w:color="auto" w:fill="auto"/>
                  <w:vAlign w:val="center"/>
                </w:tcPr>
                <w:p>
                  <w:pPr>
                    <w:spacing w:before="100" w:beforeAutospacing="1" w:after="100" w:afterAutospacing="1"/>
                    <w:jc w:val="center"/>
                    <w:rPr>
                      <w:b/>
                      <w:bCs/>
                      <w:color w:val="auto"/>
                      <w:szCs w:val="21"/>
                    </w:rPr>
                  </w:pPr>
                  <w:r>
                    <w:rPr>
                      <w:rFonts w:hint="eastAsia"/>
                      <w:b/>
                      <w:bCs/>
                      <w:color w:val="auto"/>
                      <w:szCs w:val="21"/>
                      <w:highlight w:val="none"/>
                      <w:lang w:val="en-US" w:eastAsia="zh-CN"/>
                    </w:rPr>
                    <w:t>《声环境质量标准》(GB3096-2008)4a类标准</w:t>
                  </w:r>
                </w:p>
              </w:tc>
              <w:tc>
                <w:tcPr>
                  <w:tcW w:w="1191" w:type="dxa"/>
                  <w:shd w:val="clear" w:color="auto" w:fill="auto"/>
                  <w:vAlign w:val="center"/>
                </w:tcPr>
                <w:p>
                  <w:pPr>
                    <w:jc w:val="center"/>
                    <w:rPr>
                      <w:color w:val="auto"/>
                      <w:szCs w:val="21"/>
                    </w:rPr>
                  </w:pPr>
                  <w:r>
                    <w:rPr>
                      <w:color w:val="auto"/>
                      <w:highlight w:val="none"/>
                    </w:rPr>
                    <w:t>70</w:t>
                  </w:r>
                </w:p>
              </w:tc>
              <w:tc>
                <w:tcPr>
                  <w:tcW w:w="1549" w:type="dxa"/>
                  <w:shd w:val="clear" w:color="auto" w:fill="auto"/>
                  <w:vAlign w:val="center"/>
                </w:tcPr>
                <w:p>
                  <w:pPr>
                    <w:jc w:val="center"/>
                    <w:rPr>
                      <w:color w:val="auto"/>
                      <w:szCs w:val="21"/>
                    </w:rPr>
                  </w:pPr>
                  <w:r>
                    <w:rPr>
                      <w:color w:val="auto"/>
                      <w:highlight w:val="none"/>
                    </w:rPr>
                    <w:t>55</w:t>
                  </w:r>
                </w:p>
              </w:tc>
              <w:tc>
                <w:tcPr>
                  <w:tcW w:w="1549" w:type="dxa"/>
                  <w:shd w:val="clear" w:color="auto" w:fill="auto"/>
                  <w:vAlign w:val="center"/>
                </w:tcPr>
                <w:p>
                  <w:pPr>
                    <w:jc w:val="center"/>
                    <w:rPr>
                      <w:color w:val="auto"/>
                      <w:szCs w:val="21"/>
                    </w:rPr>
                  </w:pPr>
                  <w:r>
                    <w:rPr>
                      <w:color w:val="auto"/>
                      <w:highlight w:val="none"/>
                    </w:rPr>
                    <w:t>70</w:t>
                  </w:r>
                </w:p>
              </w:tc>
              <w:tc>
                <w:tcPr>
                  <w:tcW w:w="1409" w:type="dxa"/>
                  <w:shd w:val="clear" w:color="auto" w:fill="auto"/>
                  <w:vAlign w:val="center"/>
                </w:tcPr>
                <w:p>
                  <w:pPr>
                    <w:jc w:val="center"/>
                    <w:rPr>
                      <w:color w:val="auto"/>
                      <w:kern w:val="0"/>
                      <w:szCs w:val="21"/>
                      <w:lang w:bidi="ar"/>
                    </w:rPr>
                  </w:pPr>
                  <w:r>
                    <w:rPr>
                      <w:color w:val="auto"/>
                      <w:highlight w:val="none"/>
                    </w:rPr>
                    <w:t>55</w:t>
                  </w:r>
                </w:p>
              </w:tc>
            </w:tr>
            <w:bookmarkEnd w:id="17"/>
          </w:tbl>
          <w:p>
            <w:pPr>
              <w:adjustRightInd w:val="0"/>
              <w:snapToGrid w:val="0"/>
              <w:spacing w:line="360" w:lineRule="auto"/>
              <w:ind w:firstLine="480" w:firstLineChars="200"/>
              <w:rPr>
                <w:color w:val="auto"/>
                <w:sz w:val="24"/>
              </w:rPr>
            </w:pPr>
            <w:r>
              <w:rPr>
                <w:color w:val="auto"/>
                <w:sz w:val="24"/>
              </w:rPr>
              <w:t>从监测结果可以看出，项目所在地</w:t>
            </w:r>
            <w:r>
              <w:rPr>
                <w:rFonts w:hint="eastAsia"/>
                <w:color w:val="auto"/>
                <w:sz w:val="24"/>
              </w:rPr>
              <w:t>各</w:t>
            </w:r>
            <w:r>
              <w:rPr>
                <w:color w:val="auto"/>
                <w:sz w:val="24"/>
              </w:rPr>
              <w:t>监测点噪声值</w:t>
            </w:r>
            <w:r>
              <w:rPr>
                <w:rFonts w:hint="eastAsia"/>
                <w:color w:val="auto"/>
                <w:sz w:val="24"/>
              </w:rPr>
              <w:t>均达到</w:t>
            </w:r>
            <w:r>
              <w:rPr>
                <w:color w:val="auto"/>
                <w:sz w:val="24"/>
              </w:rPr>
              <w:t>《声环境质量标准》(GB3096—2008)</w:t>
            </w:r>
            <w:r>
              <w:rPr>
                <w:rFonts w:hint="eastAsia"/>
                <w:color w:val="auto"/>
                <w:sz w:val="24"/>
              </w:rPr>
              <w:t>2类</w:t>
            </w:r>
            <w:r>
              <w:rPr>
                <w:color w:val="auto"/>
                <w:sz w:val="24"/>
                <w:highlight w:val="none"/>
              </w:rPr>
              <w:t>和4a类</w:t>
            </w:r>
            <w:r>
              <w:rPr>
                <w:color w:val="auto"/>
                <w:sz w:val="24"/>
              </w:rPr>
              <w:t>标准</w:t>
            </w:r>
            <w:r>
              <w:rPr>
                <w:rFonts w:hint="eastAsia"/>
                <w:color w:val="auto"/>
                <w:sz w:val="24"/>
                <w:lang w:eastAsia="zh-CN"/>
              </w:rPr>
              <w:t>，说明</w:t>
            </w:r>
            <w:r>
              <w:rPr>
                <w:color w:val="auto"/>
                <w:sz w:val="24"/>
              </w:rPr>
              <w:t>项目所在地声环境质量</w:t>
            </w:r>
            <w:r>
              <w:rPr>
                <w:rFonts w:hint="eastAsia"/>
                <w:color w:val="auto"/>
                <w:sz w:val="24"/>
              </w:rPr>
              <w:t>较好</w:t>
            </w:r>
            <w:r>
              <w:rPr>
                <w:color w:val="auto"/>
                <w:sz w:val="24"/>
              </w:rPr>
              <w:t>。</w:t>
            </w:r>
          </w:p>
          <w:p>
            <w:pPr>
              <w:spacing w:before="120" w:line="360" w:lineRule="auto"/>
              <w:rPr>
                <w:b/>
                <w:bCs/>
                <w:color w:val="auto"/>
                <w:sz w:val="28"/>
                <w:szCs w:val="28"/>
              </w:rPr>
            </w:pPr>
            <w:r>
              <w:rPr>
                <w:color w:val="auto"/>
                <w:sz w:val="28"/>
              </w:rPr>
              <w:pict>
                <v:shape id="_x0000_s2089" o:spid="_x0000_s2089" style="position:absolute;left:0pt;margin-left:-5.65pt;margin-top:0.2pt;height:0pt;width:478.5pt;z-index:251672576;mso-width-relative:page;mso-height-relative:page;" filled="f" coordsize="9570,1" path="m0,0l9570,0e">
                  <v:path arrowok="t"/>
                  <v:fill on="f" focussize="0,0"/>
                  <v:stroke weight="0.5pt"/>
                  <v:imagedata o:title=""/>
                  <o:lock v:ext="edit"/>
                </v:shape>
              </w:pict>
            </w:r>
            <w:r>
              <w:rPr>
                <w:b/>
                <w:bCs/>
                <w:color w:val="auto"/>
                <w:sz w:val="28"/>
                <w:szCs w:val="28"/>
              </w:rPr>
              <w:t>主要环境保护目标(列出名单及保护级别):</w:t>
            </w:r>
          </w:p>
          <w:p>
            <w:pPr>
              <w:tabs>
                <w:tab w:val="left" w:pos="1770"/>
              </w:tabs>
              <w:adjustRightInd w:val="0"/>
              <w:snapToGrid w:val="0"/>
              <w:spacing w:line="360" w:lineRule="auto"/>
              <w:ind w:firstLine="480" w:firstLineChars="200"/>
              <w:rPr>
                <w:color w:val="auto"/>
                <w:sz w:val="24"/>
              </w:rPr>
            </w:pPr>
            <w:r>
              <w:rPr>
                <w:color w:val="auto"/>
                <w:sz w:val="24"/>
              </w:rPr>
              <w:t>项目的主要环境保护目标</w:t>
            </w:r>
            <w:r>
              <w:rPr>
                <w:rFonts w:hint="eastAsia"/>
                <w:color w:val="auto"/>
                <w:sz w:val="24"/>
              </w:rPr>
              <w:t>为项目周围范围内</w:t>
            </w:r>
            <w:r>
              <w:rPr>
                <w:color w:val="auto"/>
                <w:sz w:val="24"/>
              </w:rPr>
              <w:t>的环境空气质量、水环境质量和声环境质量。</w:t>
            </w:r>
          </w:p>
          <w:p>
            <w:pPr>
              <w:tabs>
                <w:tab w:val="left" w:pos="360"/>
              </w:tabs>
              <w:snapToGrid w:val="0"/>
              <w:spacing w:line="360" w:lineRule="auto"/>
              <w:ind w:left="269" w:leftChars="128" w:firstLine="241" w:firstLineChars="100"/>
              <w:rPr>
                <w:color w:val="auto"/>
                <w:sz w:val="24"/>
              </w:rPr>
            </w:pPr>
            <w:r>
              <w:rPr>
                <w:b/>
                <w:color w:val="auto"/>
                <w:sz w:val="24"/>
              </w:rPr>
              <w:t>1、水环境保护目标</w:t>
            </w:r>
          </w:p>
          <w:p>
            <w:pPr>
              <w:tabs>
                <w:tab w:val="left" w:pos="360"/>
              </w:tabs>
              <w:snapToGrid w:val="0"/>
              <w:spacing w:line="360" w:lineRule="auto"/>
              <w:ind w:left="4" w:firstLine="480" w:firstLineChars="200"/>
              <w:rPr>
                <w:color w:val="auto"/>
                <w:sz w:val="24"/>
              </w:rPr>
            </w:pPr>
            <w:r>
              <w:rPr>
                <w:color w:val="auto"/>
                <w:sz w:val="24"/>
              </w:rPr>
              <w:t>水环境保护目标是在该建设项目</w:t>
            </w:r>
            <w:r>
              <w:rPr>
                <w:rFonts w:hint="eastAsia"/>
                <w:color w:val="auto"/>
                <w:sz w:val="24"/>
              </w:rPr>
              <w:t>营业期间</w:t>
            </w:r>
            <w:r>
              <w:rPr>
                <w:color w:val="auto"/>
                <w:sz w:val="24"/>
              </w:rPr>
              <w:t>周围的河流水质不受明显的影响</w:t>
            </w:r>
            <w:r>
              <w:rPr>
                <w:rFonts w:hint="eastAsia"/>
                <w:color w:val="auto"/>
                <w:sz w:val="24"/>
              </w:rPr>
              <w:t>，</w:t>
            </w:r>
            <w:r>
              <w:rPr>
                <w:color w:val="auto"/>
                <w:sz w:val="24"/>
              </w:rPr>
              <w:t>控制</w:t>
            </w:r>
            <w:r>
              <w:rPr>
                <w:rFonts w:hint="eastAsia"/>
                <w:color w:val="auto"/>
                <w:sz w:val="24"/>
              </w:rPr>
              <w:t>废水</w:t>
            </w:r>
            <w:r>
              <w:rPr>
                <w:color w:val="auto"/>
                <w:sz w:val="24"/>
              </w:rPr>
              <w:t>排放对附近水环境</w:t>
            </w:r>
            <w:r>
              <w:rPr>
                <w:rFonts w:hint="eastAsia"/>
                <w:color w:val="auto"/>
                <w:sz w:val="24"/>
              </w:rPr>
              <w:t>的</w:t>
            </w:r>
            <w:r>
              <w:rPr>
                <w:color w:val="auto"/>
                <w:sz w:val="24"/>
              </w:rPr>
              <w:t>影响</w:t>
            </w:r>
            <w:r>
              <w:rPr>
                <w:rFonts w:hint="eastAsia"/>
                <w:color w:val="auto"/>
                <w:sz w:val="24"/>
              </w:rPr>
              <w:t>，使得附近水环境质量</w:t>
            </w:r>
            <w:r>
              <w:rPr>
                <w:rFonts w:hint="eastAsia" w:hAnsi="宋体"/>
                <w:color w:val="auto"/>
                <w:sz w:val="24"/>
              </w:rPr>
              <w:t>达到</w:t>
            </w:r>
            <w:r>
              <w:rPr>
                <w:rFonts w:hint="eastAsia"/>
                <w:color w:val="auto"/>
                <w:kern w:val="24"/>
                <w:sz w:val="24"/>
                <w:szCs w:val="20"/>
              </w:rPr>
              <w:t>《地表水环境质量标准》</w:t>
            </w:r>
            <w:r>
              <w:rPr>
                <w:color w:val="auto"/>
                <w:sz w:val="24"/>
              </w:rPr>
              <w:t>(GB3838-2002)</w:t>
            </w:r>
            <w:r>
              <w:rPr>
                <w:rFonts w:hint="eastAsia"/>
                <w:color w:val="auto"/>
                <w:sz w:val="24"/>
              </w:rPr>
              <w:t>Ⅱ类</w:t>
            </w:r>
            <w:r>
              <w:rPr>
                <w:rFonts w:hint="eastAsia"/>
                <w:color w:val="auto"/>
                <w:kern w:val="24"/>
                <w:sz w:val="24"/>
                <w:szCs w:val="20"/>
              </w:rPr>
              <w:t>水质标准的保护要求</w:t>
            </w:r>
            <w:r>
              <w:rPr>
                <w:color w:val="auto"/>
                <w:sz w:val="24"/>
              </w:rPr>
              <w:t>。</w:t>
            </w:r>
          </w:p>
          <w:p>
            <w:pPr>
              <w:tabs>
                <w:tab w:val="left" w:pos="360"/>
              </w:tabs>
              <w:snapToGrid w:val="0"/>
              <w:spacing w:line="360" w:lineRule="auto"/>
              <w:ind w:left="4" w:firstLine="482" w:firstLineChars="200"/>
              <w:rPr>
                <w:b/>
                <w:color w:val="auto"/>
                <w:sz w:val="24"/>
              </w:rPr>
            </w:pPr>
            <w:r>
              <w:rPr>
                <w:b/>
                <w:color w:val="auto"/>
                <w:sz w:val="24"/>
              </w:rPr>
              <w:t>2、环境空气保护目标</w:t>
            </w:r>
          </w:p>
          <w:p>
            <w:pPr>
              <w:snapToGrid w:val="0"/>
              <w:spacing w:line="360" w:lineRule="auto"/>
              <w:ind w:firstLine="480" w:firstLineChars="200"/>
              <w:rPr>
                <w:color w:val="auto"/>
                <w:sz w:val="24"/>
              </w:rPr>
            </w:pPr>
            <w:r>
              <w:rPr>
                <w:rFonts w:hint="eastAsia"/>
                <w:color w:val="auto"/>
                <w:sz w:val="24"/>
              </w:rPr>
              <w:t>环境空气质量符合</w:t>
            </w:r>
            <w:r>
              <w:rPr>
                <w:rFonts w:hint="eastAsia"/>
                <w:bCs/>
                <w:color w:val="auto"/>
                <w:sz w:val="24"/>
              </w:rPr>
              <w:t>《环境空气质量标准》（GB3095-2012）及”2018修改单”二级标准</w:t>
            </w:r>
            <w:r>
              <w:rPr>
                <w:rFonts w:hint="eastAsia"/>
                <w:color w:val="auto"/>
                <w:sz w:val="24"/>
              </w:rPr>
              <w:t>要求。控制废气排放对附近周围环境的影响。</w:t>
            </w:r>
          </w:p>
          <w:p>
            <w:pPr>
              <w:tabs>
                <w:tab w:val="left" w:pos="360"/>
              </w:tabs>
              <w:snapToGrid w:val="0"/>
              <w:spacing w:line="360" w:lineRule="auto"/>
              <w:ind w:left="4" w:firstLine="482" w:firstLineChars="200"/>
              <w:rPr>
                <w:b/>
                <w:color w:val="auto"/>
                <w:sz w:val="24"/>
              </w:rPr>
            </w:pPr>
            <w:r>
              <w:rPr>
                <w:b/>
                <w:color w:val="auto"/>
                <w:sz w:val="24"/>
              </w:rPr>
              <w:t>3、声环境保护目标</w:t>
            </w:r>
          </w:p>
          <w:p>
            <w:pPr>
              <w:spacing w:line="360" w:lineRule="auto"/>
              <w:ind w:left="4" w:firstLine="480" w:firstLineChars="200"/>
              <w:rPr>
                <w:color w:val="auto"/>
              </w:rPr>
            </w:pPr>
            <w:r>
              <w:rPr>
                <w:rFonts w:hint="eastAsia"/>
                <w:color w:val="auto"/>
                <w:sz w:val="24"/>
              </w:rPr>
              <w:t>声环境质量符合《声环境质量标准》（</w:t>
            </w:r>
            <w:r>
              <w:rPr>
                <w:color w:val="auto"/>
                <w:sz w:val="24"/>
              </w:rPr>
              <w:t>GB3096-2008</w:t>
            </w:r>
            <w:r>
              <w:rPr>
                <w:rFonts w:hint="eastAsia"/>
                <w:color w:val="auto"/>
                <w:sz w:val="24"/>
              </w:rPr>
              <w:t>）2类</w:t>
            </w:r>
            <w:r>
              <w:rPr>
                <w:color w:val="auto"/>
                <w:sz w:val="24"/>
                <w:highlight w:val="none"/>
              </w:rPr>
              <w:t>和4a类</w:t>
            </w:r>
            <w:r>
              <w:rPr>
                <w:rFonts w:hint="eastAsia"/>
                <w:color w:val="auto"/>
                <w:sz w:val="24"/>
              </w:rPr>
              <w:t>标准。控制各种噪声声源，要求项目边界噪声达到《工业企业厂界环境噪声排放标准》（</w:t>
            </w:r>
            <w:r>
              <w:rPr>
                <w:color w:val="auto"/>
                <w:sz w:val="24"/>
              </w:rPr>
              <w:t>GB12348-2008</w:t>
            </w:r>
            <w:r>
              <w:rPr>
                <w:rFonts w:hint="eastAsia"/>
                <w:color w:val="auto"/>
                <w:sz w:val="24"/>
              </w:rPr>
              <w:t>）2类</w:t>
            </w:r>
            <w:r>
              <w:rPr>
                <w:color w:val="auto"/>
                <w:sz w:val="24"/>
                <w:highlight w:val="none"/>
              </w:rPr>
              <w:t>和4类</w:t>
            </w:r>
            <w:r>
              <w:rPr>
                <w:color w:val="auto"/>
                <w:sz w:val="24"/>
              </w:rPr>
              <w:t>标准。</w:t>
            </w:r>
          </w:p>
          <w:p>
            <w:pPr>
              <w:tabs>
                <w:tab w:val="left" w:pos="1770"/>
              </w:tabs>
              <w:adjustRightInd w:val="0"/>
              <w:snapToGrid w:val="0"/>
              <w:spacing w:line="360" w:lineRule="auto"/>
              <w:ind w:firstLine="482" w:firstLineChars="200"/>
              <w:rPr>
                <w:b/>
                <w:color w:val="auto"/>
                <w:sz w:val="24"/>
              </w:rPr>
            </w:pPr>
            <w:r>
              <w:rPr>
                <w:b/>
                <w:color w:val="auto"/>
                <w:sz w:val="24"/>
              </w:rPr>
              <w:t>4、环境敏感点及环境保护目标</w:t>
            </w:r>
          </w:p>
          <w:p>
            <w:pPr>
              <w:pStyle w:val="111"/>
              <w:spacing w:line="360" w:lineRule="auto"/>
              <w:rPr>
                <w:rFonts w:hint="eastAsia" w:ascii="宋体" w:hAnsi="宋体"/>
                <w:color w:val="auto"/>
              </w:rPr>
            </w:pPr>
            <w:r>
              <w:rPr>
                <w:rFonts w:hint="eastAsia" w:ascii="宋体" w:hAnsi="宋体"/>
                <w:color w:val="auto"/>
              </w:rPr>
              <w:t>根据对本项目所在地的实地踏勘，在周边内没有名胜古迹等重要环境敏感点。建设项目附近主要环境保护目标见下表。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建设项目场址附近主要环境保护目标</w:t>
            </w:r>
          </w:p>
          <w:tbl>
            <w:tblPr>
              <w:tblStyle w:val="44"/>
              <w:tblW w:w="9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
              <w:gridCol w:w="1572"/>
              <w:gridCol w:w="795"/>
              <w:gridCol w:w="735"/>
              <w:gridCol w:w="1170"/>
              <w:gridCol w:w="1245"/>
              <w:gridCol w:w="1290"/>
              <w:gridCol w:w="990"/>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586"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序号</w:t>
                  </w:r>
                </w:p>
              </w:tc>
              <w:tc>
                <w:tcPr>
                  <w:tcW w:w="1572"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保护目标名称</w:t>
                  </w:r>
                </w:p>
              </w:tc>
              <w:tc>
                <w:tcPr>
                  <w:tcW w:w="1530" w:type="dxa"/>
                  <w:gridSpan w:val="2"/>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坐标/m</w:t>
                  </w:r>
                </w:p>
              </w:tc>
              <w:tc>
                <w:tcPr>
                  <w:tcW w:w="1170"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保护对象</w:t>
                  </w:r>
                </w:p>
              </w:tc>
              <w:tc>
                <w:tcPr>
                  <w:tcW w:w="1245"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b/>
                      <w:bCs/>
                      <w:color w:val="auto"/>
                      <w:kern w:val="2"/>
                      <w:sz w:val="21"/>
                      <w:szCs w:val="21"/>
                      <w:highlight w:val="none"/>
                    </w:rPr>
                    <w:t>保护内容</w:t>
                  </w:r>
                </w:p>
              </w:tc>
              <w:tc>
                <w:tcPr>
                  <w:tcW w:w="1290" w:type="dxa"/>
                  <w:vMerge w:val="restart"/>
                  <w:vAlign w:val="center"/>
                </w:tcPr>
                <w:p>
                  <w:pPr>
                    <w:widowControl w:val="0"/>
                    <w:spacing w:after="0" w:line="24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环境功能区</w:t>
                  </w:r>
                </w:p>
              </w:tc>
              <w:tc>
                <w:tcPr>
                  <w:tcW w:w="99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b/>
                      <w:bCs/>
                      <w:color w:val="auto"/>
                      <w:kern w:val="2"/>
                      <w:sz w:val="21"/>
                      <w:szCs w:val="21"/>
                      <w:highlight w:val="none"/>
                    </w:rPr>
                    <w:t>相对厂址方位</w:t>
                  </w:r>
                </w:p>
              </w:tc>
              <w:tc>
                <w:tcPr>
                  <w:tcW w:w="997"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4"/>
                      <w:highlight w:val="none"/>
                    </w:rPr>
                  </w:pPr>
                  <w:r>
                    <w:rPr>
                      <w:rFonts w:ascii="Times New Roman" w:hAnsi="Times New Roman" w:eastAsia="宋体" w:cs="Times New Roman"/>
                      <w:b/>
                      <w:bCs/>
                      <w:color w:val="auto"/>
                      <w:kern w:val="2"/>
                      <w:sz w:val="21"/>
                      <w:szCs w:val="21"/>
                      <w:highlight w:val="none"/>
                    </w:rPr>
                    <w:t>相对厂界距离距离/m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586" w:type="dxa"/>
                  <w:vMerge w:val="continue"/>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p>
              </w:tc>
              <w:tc>
                <w:tcPr>
                  <w:tcW w:w="1572" w:type="dxa"/>
                  <w:vMerge w:val="continue"/>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p>
              </w:tc>
              <w:tc>
                <w:tcPr>
                  <w:tcW w:w="79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X</w:t>
                  </w:r>
                </w:p>
              </w:tc>
              <w:tc>
                <w:tcPr>
                  <w:tcW w:w="735" w:type="dxa"/>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r>
                    <w:rPr>
                      <w:rFonts w:ascii="Times New Roman" w:hAnsi="Times New Roman" w:eastAsia="宋体" w:cs="Times New Roman"/>
                      <w:b/>
                      <w:bCs/>
                      <w:color w:val="auto"/>
                      <w:kern w:val="2"/>
                      <w:sz w:val="21"/>
                      <w:szCs w:val="21"/>
                      <w:highlight w:val="none"/>
                    </w:rPr>
                    <w:t>Y</w:t>
                  </w:r>
                </w:p>
              </w:tc>
              <w:tc>
                <w:tcPr>
                  <w:tcW w:w="1170" w:type="dxa"/>
                  <w:vMerge w:val="continue"/>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p>
              </w:tc>
              <w:tc>
                <w:tcPr>
                  <w:tcW w:w="1245"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p>
              </w:tc>
              <w:tc>
                <w:tcPr>
                  <w:tcW w:w="1290" w:type="dxa"/>
                  <w:vMerge w:val="continue"/>
                  <w:vAlign w:val="center"/>
                </w:tcPr>
                <w:p>
                  <w:pPr>
                    <w:widowControl w:val="0"/>
                    <w:spacing w:after="0" w:line="360" w:lineRule="auto"/>
                    <w:jc w:val="center"/>
                    <w:rPr>
                      <w:rFonts w:ascii="Times New Roman" w:hAnsi="Times New Roman" w:eastAsia="宋体" w:cs="Times New Roman"/>
                      <w:b/>
                      <w:bCs/>
                      <w:color w:val="auto"/>
                      <w:kern w:val="2"/>
                      <w:sz w:val="21"/>
                      <w:szCs w:val="21"/>
                      <w:highlight w:val="none"/>
                    </w:rPr>
                  </w:pPr>
                </w:p>
              </w:tc>
              <w:tc>
                <w:tcPr>
                  <w:tcW w:w="9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p>
              </w:tc>
              <w:tc>
                <w:tcPr>
                  <w:tcW w:w="997"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泮南村</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595</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-52</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1000人</w:t>
                  </w:r>
                </w:p>
              </w:tc>
              <w:tc>
                <w:tcPr>
                  <w:tcW w:w="1290" w:type="dxa"/>
                  <w:vMerge w:val="restart"/>
                  <w:vAlign w:val="center"/>
                </w:tcPr>
                <w:p>
                  <w:pPr>
                    <w:widowControl w:val="0"/>
                    <w:spacing w:after="0" w:line="24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《环境空气质量标准》环境空气功能二类区、《声环境质量标准》环境噪声功能2类区（200m内）</w:t>
                  </w: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东面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2</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公益</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-1216</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-586</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1200人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西南面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1015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3</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潮安里</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-948</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-1181</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1500人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西南面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1597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4</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张良边村</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-2095</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-1491</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300人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西南面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2531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5</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新市社区</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-914</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129</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3000人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西面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6</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东方红社区</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-1285</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560</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800人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西面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1111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7</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人民社区</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-1871</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828</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2000人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西面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1680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8</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坑溪</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-2052</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1543</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800人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西北面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2838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9</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文郁</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-1836</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2103</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700人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4"/>
                      <w:highlight w:val="none"/>
                      <w:lang w:eastAsia="zh-CN"/>
                    </w:rPr>
                  </w:pPr>
                  <w:r>
                    <w:rPr>
                      <w:rFonts w:hint="eastAsia" w:cs="Times New Roman"/>
                      <w:color w:val="auto"/>
                      <w:kern w:val="2"/>
                      <w:sz w:val="21"/>
                      <w:szCs w:val="24"/>
                      <w:highlight w:val="none"/>
                      <w:lang w:eastAsia="zh-CN"/>
                    </w:rPr>
                    <w:t>西北面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4"/>
                      <w:highlight w:val="none"/>
                      <w:lang w:val="en-US" w:eastAsia="zh-CN"/>
                    </w:rPr>
                  </w:pPr>
                  <w:r>
                    <w:rPr>
                      <w:rFonts w:hint="eastAsia" w:cs="Times New Roman"/>
                      <w:color w:val="auto"/>
                      <w:kern w:val="2"/>
                      <w:sz w:val="21"/>
                      <w:szCs w:val="24"/>
                      <w:highlight w:val="none"/>
                      <w:lang w:val="en-US" w:eastAsia="zh-CN"/>
                    </w:rPr>
                    <w:t>2958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10</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庆宁</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-491</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1974</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200人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西北面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11</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东园</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405</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1517</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400人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12</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金龙里</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922</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1198</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300人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东北面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13</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龙溪</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2172</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1776</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200人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东北面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14</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龙行里</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1828</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1353</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500人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东北面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15</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泮村</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1095</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655</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1400人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东北面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1209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16</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松山</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621</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328</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300人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东北面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17</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永安村</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1034</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319</w:t>
                  </w:r>
                </w:p>
              </w:tc>
              <w:tc>
                <w:tcPr>
                  <w:tcW w:w="1170" w:type="dxa"/>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r>
                    <w:rPr>
                      <w:rFonts w:ascii="Times New Roman" w:hAnsi="Times New Roman" w:eastAsia="宋体" w:cs="Times New Roman"/>
                      <w:color w:val="auto"/>
                      <w:kern w:val="2"/>
                      <w:sz w:val="21"/>
                      <w:szCs w:val="21"/>
                      <w:highlight w:val="none"/>
                    </w:rPr>
                    <w:t>居民区</w:t>
                  </w:r>
                </w:p>
              </w:tc>
              <w:tc>
                <w:tcPr>
                  <w:tcW w:w="124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500人</w:t>
                  </w:r>
                </w:p>
              </w:tc>
              <w:tc>
                <w:tcPr>
                  <w:tcW w:w="1290" w:type="dxa"/>
                  <w:vMerge w:val="continue"/>
                  <w:vAlign w:val="center"/>
                </w:tcPr>
                <w:p>
                  <w:pPr>
                    <w:widowControl w:val="0"/>
                    <w:spacing w:after="0" w:line="360" w:lineRule="auto"/>
                    <w:jc w:val="center"/>
                    <w:rPr>
                      <w:rFonts w:ascii="Times New Roman" w:hAnsi="Times New Roman" w:eastAsia="宋体" w:cs="Times New Roman"/>
                      <w:color w:val="auto"/>
                      <w:kern w:val="2"/>
                      <w:sz w:val="21"/>
                      <w:szCs w:val="21"/>
                      <w:highlight w:val="none"/>
                    </w:rPr>
                  </w:pP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东北面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18</w:t>
                  </w:r>
                </w:p>
              </w:tc>
              <w:tc>
                <w:tcPr>
                  <w:tcW w:w="1572"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谭江</w:t>
                  </w:r>
                </w:p>
              </w:tc>
              <w:tc>
                <w:tcPr>
                  <w:tcW w:w="79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-164</w:t>
                  </w:r>
                </w:p>
              </w:tc>
              <w:tc>
                <w:tcPr>
                  <w:tcW w:w="735"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-491</w:t>
                  </w:r>
                </w:p>
              </w:tc>
              <w:tc>
                <w:tcPr>
                  <w:tcW w:w="117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河流</w:t>
                  </w:r>
                </w:p>
              </w:tc>
              <w:tc>
                <w:tcPr>
                  <w:tcW w:w="1245"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w:t>
                  </w:r>
                </w:p>
              </w:tc>
              <w:tc>
                <w:tcPr>
                  <w:tcW w:w="1290" w:type="dxa"/>
                  <w:vAlign w:val="center"/>
                </w:tcPr>
                <w:p>
                  <w:pPr>
                    <w:widowControl w:val="0"/>
                    <w:spacing w:after="0" w:line="240" w:lineRule="auto"/>
                    <w:jc w:val="center"/>
                    <w:rPr>
                      <w:rFonts w:hint="eastAsia" w:ascii="Times New Roman" w:hAnsi="Times New Roman" w:cs="Times New Roman" w:eastAsiaTheme="minorEastAsia"/>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rPr>
                    <w:t>《地表水环境质量标准》</w:t>
                  </w:r>
                  <w:r>
                    <w:rPr>
                      <w:rFonts w:hint="eastAsia" w:ascii="Times New Roman" w:hAnsi="Times New Roman" w:eastAsia="宋体" w:cs="Times New Roman"/>
                      <w:color w:val="auto"/>
                      <w:kern w:val="2"/>
                      <w:sz w:val="21"/>
                      <w:szCs w:val="21"/>
                      <w:highlight w:val="none"/>
                      <w:lang w:eastAsia="zh-CN"/>
                    </w:rPr>
                    <w:t>地表水功能</w:t>
                  </w:r>
                  <w:r>
                    <w:rPr>
                      <w:rFonts w:hint="default" w:ascii="Times New Roman" w:hAnsi="Times New Roman" w:cs="Times New Roman"/>
                      <w:color w:val="auto"/>
                      <w:sz w:val="21"/>
                      <w:szCs w:val="21"/>
                      <w:shd w:val="clear" w:color="auto" w:fill="auto"/>
                    </w:rPr>
                    <w:t>Ⅱ类</w:t>
                  </w:r>
                  <w:r>
                    <w:rPr>
                      <w:rFonts w:hint="eastAsia" w:ascii="Times New Roman" w:hAnsi="Times New Roman" w:cs="Times New Roman"/>
                      <w:color w:val="auto"/>
                      <w:sz w:val="21"/>
                      <w:szCs w:val="21"/>
                      <w:shd w:val="clear" w:color="auto" w:fill="auto"/>
                      <w:lang w:eastAsia="zh-CN"/>
                    </w:rPr>
                    <w:t>区</w:t>
                  </w:r>
                </w:p>
              </w:tc>
              <w:tc>
                <w:tcPr>
                  <w:tcW w:w="990" w:type="dxa"/>
                  <w:vAlign w:val="center"/>
                </w:tcPr>
                <w:p>
                  <w:pPr>
                    <w:widowControl w:val="0"/>
                    <w:spacing w:after="0" w:line="360" w:lineRule="auto"/>
                    <w:jc w:val="center"/>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eastAsia="zh-CN"/>
                    </w:rPr>
                    <w:t>南面</w:t>
                  </w:r>
                </w:p>
              </w:tc>
              <w:tc>
                <w:tcPr>
                  <w:tcW w:w="997" w:type="dxa"/>
                  <w:vAlign w:val="center"/>
                </w:tcPr>
                <w:p>
                  <w:pPr>
                    <w:widowControl w:val="0"/>
                    <w:spacing w:after="0" w:line="36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480</w:t>
                  </w:r>
                </w:p>
              </w:tc>
            </w:tr>
          </w:tbl>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pStyle w:val="138"/>
              <w:numPr>
                <w:ilvl w:val="0"/>
                <w:numId w:val="0"/>
              </w:numPr>
              <w:tabs>
                <w:tab w:val="left" w:pos="420"/>
              </w:tabs>
              <w:spacing w:line="360" w:lineRule="auto"/>
              <w:ind w:left="471" w:leftChars="0"/>
              <w:jc w:val="both"/>
              <w:rPr>
                <w:rStyle w:val="50"/>
                <w:rFonts w:eastAsia="宋体" w:cs="Times New Roman"/>
                <w:color w:val="auto"/>
                <w:kern w:val="2"/>
              </w:rPr>
            </w:pPr>
          </w:p>
          <w:p>
            <w:pPr>
              <w:adjustRightInd w:val="0"/>
              <w:snapToGrid w:val="0"/>
              <w:ind w:firstLine="480" w:firstLineChars="200"/>
              <w:rPr>
                <w:color w:val="auto"/>
                <w:sz w:val="24"/>
              </w:rPr>
            </w:pPr>
          </w:p>
        </w:tc>
      </w:tr>
    </w:tbl>
    <w:p>
      <w:pPr>
        <w:bidi w:val="0"/>
        <w:rPr>
          <w:color w:val="auto"/>
        </w:rPr>
      </w:pPr>
    </w:p>
    <w:p>
      <w:pPr>
        <w:pStyle w:val="42"/>
        <w:jc w:val="left"/>
        <w:rPr>
          <w:rFonts w:ascii="Times New Roman" w:hAnsi="Times New Roman"/>
          <w:color w:val="auto"/>
        </w:rPr>
      </w:pPr>
      <w:r>
        <w:rPr>
          <w:rFonts w:hint="eastAsia" w:ascii="Times New Roman" w:hAnsi="Times New Roman"/>
          <w:color w:val="auto"/>
        </w:rPr>
        <w:t>评价适用标准</w:t>
      </w:r>
    </w:p>
    <w:tbl>
      <w:tblPr>
        <w:tblStyle w:val="44"/>
        <w:tblW w:w="952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13"/>
        <w:gridCol w:w="871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3863" w:hRule="atLeast"/>
        </w:trPr>
        <w:tc>
          <w:tcPr>
            <w:tcW w:w="813" w:type="dxa"/>
            <w:textDirection w:val="tbRlV"/>
            <w:vAlign w:val="center"/>
          </w:tcPr>
          <w:p>
            <w:pPr>
              <w:pStyle w:val="54"/>
              <w:topLinePunct w:val="0"/>
              <w:autoSpaceDE/>
              <w:autoSpaceDN/>
              <w:adjustRightInd/>
              <w:spacing w:before="120" w:line="360" w:lineRule="auto"/>
              <w:ind w:left="113" w:right="113"/>
              <w:textAlignment w:val="auto"/>
              <w:rPr>
                <w:rFonts w:ascii="Times New Roman" w:hAnsi="Times New Roman"/>
                <w:color w:val="auto"/>
                <w:kern w:val="2"/>
              </w:rPr>
            </w:pPr>
            <w:r>
              <w:rPr>
                <w:rFonts w:hint="eastAsia" w:ascii="Times New Roman" w:hAnsi="Times New Roman"/>
                <w:color w:val="auto"/>
                <w:kern w:val="2"/>
              </w:rPr>
              <w:t>环  境  质  量  标  准</w:t>
            </w:r>
          </w:p>
        </w:tc>
        <w:tc>
          <w:tcPr>
            <w:tcW w:w="8715" w:type="dxa"/>
            <w:vAlign w:val="center"/>
          </w:tcPr>
          <w:p>
            <w:pPr>
              <w:pStyle w:val="34"/>
              <w:numPr>
                <w:ilvl w:val="0"/>
                <w:numId w:val="8"/>
              </w:numPr>
              <w:spacing w:line="360" w:lineRule="auto"/>
              <w:ind w:firstLine="0"/>
              <w:rPr>
                <w:color w:val="auto"/>
                <w:szCs w:val="24"/>
              </w:rPr>
            </w:pPr>
            <w:r>
              <w:rPr>
                <w:rFonts w:hint="eastAsia"/>
                <w:color w:val="auto"/>
                <w:szCs w:val="24"/>
              </w:rPr>
              <w:t>《地表水环境质量标准》</w:t>
            </w:r>
            <w:r>
              <w:rPr>
                <w:color w:val="auto"/>
                <w:szCs w:val="24"/>
              </w:rPr>
              <w:t>(</w:t>
            </w:r>
            <w:r>
              <w:rPr>
                <w:rFonts w:hint="eastAsia"/>
                <w:color w:val="auto"/>
                <w:szCs w:val="24"/>
              </w:rPr>
              <w:t>GB3838-2002</w:t>
            </w:r>
            <w:r>
              <w:rPr>
                <w:color w:val="auto"/>
                <w:szCs w:val="24"/>
              </w:rPr>
              <w:t>)</w:t>
            </w:r>
            <w:r>
              <w:rPr>
                <w:color w:val="auto"/>
              </w:rPr>
              <w:t xml:space="preserve"> </w:t>
            </w:r>
            <w:r>
              <w:rPr>
                <w:rFonts w:hint="eastAsia"/>
                <w:color w:val="auto"/>
              </w:rPr>
              <w:t>Ⅱ类</w:t>
            </w:r>
            <w:r>
              <w:rPr>
                <w:rFonts w:hint="eastAsia"/>
                <w:color w:val="auto"/>
                <w:szCs w:val="24"/>
              </w:rPr>
              <w:t>水质标准；</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地表水环境质量标准（摘录）     单位：mg/L</w:t>
            </w:r>
          </w:p>
          <w:tbl>
            <w:tblPr>
              <w:tblStyle w:val="44"/>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838"/>
              <w:gridCol w:w="849"/>
              <w:gridCol w:w="1017"/>
              <w:gridCol w:w="941"/>
              <w:gridCol w:w="983"/>
              <w:gridCol w:w="834"/>
              <w:gridCol w:w="86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1" w:type="dxa"/>
                  <w:vAlign w:val="center"/>
                </w:tcPr>
                <w:p>
                  <w:pPr>
                    <w:spacing w:line="360" w:lineRule="auto"/>
                    <w:jc w:val="center"/>
                    <w:rPr>
                      <w:b/>
                      <w:color w:val="auto"/>
                      <w:szCs w:val="21"/>
                    </w:rPr>
                  </w:pPr>
                  <w:r>
                    <w:rPr>
                      <w:rFonts w:hAnsi="宋体"/>
                      <w:b/>
                      <w:color w:val="auto"/>
                      <w:szCs w:val="21"/>
                    </w:rPr>
                    <w:t>类别</w:t>
                  </w:r>
                </w:p>
              </w:tc>
              <w:tc>
                <w:tcPr>
                  <w:tcW w:w="838" w:type="dxa"/>
                  <w:vAlign w:val="center"/>
                </w:tcPr>
                <w:p>
                  <w:pPr>
                    <w:spacing w:line="360" w:lineRule="auto"/>
                    <w:jc w:val="center"/>
                    <w:rPr>
                      <w:rFonts w:ascii="宋体" w:hAnsi="宋体"/>
                      <w:b/>
                      <w:color w:val="auto"/>
                      <w:szCs w:val="21"/>
                    </w:rPr>
                  </w:pPr>
                  <w:r>
                    <w:rPr>
                      <w:rFonts w:hint="eastAsia" w:ascii="宋体" w:hAnsi="宋体"/>
                      <w:b/>
                      <w:color w:val="auto"/>
                      <w:szCs w:val="21"/>
                    </w:rPr>
                    <w:t>pH</w:t>
                  </w:r>
                </w:p>
              </w:tc>
              <w:tc>
                <w:tcPr>
                  <w:tcW w:w="849" w:type="dxa"/>
                  <w:vAlign w:val="center"/>
                </w:tcPr>
                <w:p>
                  <w:pPr>
                    <w:spacing w:line="360" w:lineRule="auto"/>
                    <w:jc w:val="center"/>
                    <w:rPr>
                      <w:rFonts w:ascii="宋体" w:hAnsi="宋体"/>
                      <w:b/>
                      <w:color w:val="auto"/>
                      <w:szCs w:val="21"/>
                    </w:rPr>
                  </w:pPr>
                  <w:r>
                    <w:rPr>
                      <w:rFonts w:hint="eastAsia" w:ascii="宋体" w:hAnsi="宋体"/>
                      <w:b/>
                      <w:color w:val="auto"/>
                      <w:szCs w:val="21"/>
                    </w:rPr>
                    <w:t>COD</w:t>
                  </w:r>
                  <w:r>
                    <w:rPr>
                      <w:rFonts w:hint="eastAsia" w:ascii="宋体" w:hAnsi="宋体"/>
                      <w:b/>
                      <w:color w:val="auto"/>
                      <w:szCs w:val="21"/>
                      <w:vertAlign w:val="subscript"/>
                    </w:rPr>
                    <w:t>Cr</w:t>
                  </w:r>
                </w:p>
              </w:tc>
              <w:tc>
                <w:tcPr>
                  <w:tcW w:w="1017" w:type="dxa"/>
                  <w:vAlign w:val="center"/>
                </w:tcPr>
                <w:p>
                  <w:pPr>
                    <w:spacing w:line="360" w:lineRule="auto"/>
                    <w:jc w:val="center"/>
                    <w:rPr>
                      <w:rFonts w:ascii="宋体" w:hAnsi="宋体"/>
                      <w:b/>
                      <w:color w:val="auto"/>
                      <w:szCs w:val="21"/>
                    </w:rPr>
                  </w:pPr>
                  <w:r>
                    <w:rPr>
                      <w:rFonts w:hint="eastAsia" w:ascii="宋体" w:hAnsi="宋体"/>
                      <w:b/>
                      <w:color w:val="auto"/>
                      <w:szCs w:val="21"/>
                    </w:rPr>
                    <w:t>BOD</w:t>
                  </w:r>
                  <w:r>
                    <w:rPr>
                      <w:rFonts w:hint="eastAsia" w:ascii="宋体" w:hAnsi="宋体"/>
                      <w:b/>
                      <w:color w:val="auto"/>
                      <w:szCs w:val="21"/>
                      <w:vertAlign w:val="subscript"/>
                    </w:rPr>
                    <w:t>5</w:t>
                  </w:r>
                </w:p>
              </w:tc>
              <w:tc>
                <w:tcPr>
                  <w:tcW w:w="941" w:type="dxa"/>
                  <w:vAlign w:val="center"/>
                </w:tcPr>
                <w:p>
                  <w:pPr>
                    <w:spacing w:line="360" w:lineRule="auto"/>
                    <w:jc w:val="center"/>
                    <w:rPr>
                      <w:rFonts w:ascii="宋体" w:hAnsi="宋体"/>
                      <w:b/>
                      <w:color w:val="auto"/>
                      <w:szCs w:val="21"/>
                    </w:rPr>
                  </w:pPr>
                  <w:r>
                    <w:rPr>
                      <w:rFonts w:hint="eastAsia" w:ascii="宋体" w:hAnsi="宋体"/>
                      <w:b/>
                      <w:color w:val="auto"/>
                      <w:szCs w:val="21"/>
                    </w:rPr>
                    <w:t>DO</w:t>
                  </w:r>
                </w:p>
              </w:tc>
              <w:tc>
                <w:tcPr>
                  <w:tcW w:w="983" w:type="dxa"/>
                  <w:vAlign w:val="center"/>
                </w:tcPr>
                <w:p>
                  <w:pPr>
                    <w:spacing w:line="360" w:lineRule="auto"/>
                    <w:jc w:val="center"/>
                    <w:rPr>
                      <w:rFonts w:ascii="宋体" w:hAnsi="宋体"/>
                      <w:b/>
                      <w:color w:val="auto"/>
                      <w:szCs w:val="21"/>
                    </w:rPr>
                  </w:pPr>
                  <w:r>
                    <w:rPr>
                      <w:rFonts w:hint="eastAsia" w:ascii="宋体" w:hAnsi="宋体"/>
                      <w:b/>
                      <w:color w:val="auto"/>
                      <w:szCs w:val="21"/>
                    </w:rPr>
                    <w:t>NH</w:t>
                  </w:r>
                  <w:r>
                    <w:rPr>
                      <w:rFonts w:hint="eastAsia" w:ascii="宋体" w:hAnsi="宋体"/>
                      <w:b/>
                      <w:color w:val="auto"/>
                      <w:szCs w:val="21"/>
                      <w:vertAlign w:val="subscript"/>
                    </w:rPr>
                    <w:t>3</w:t>
                  </w:r>
                  <w:r>
                    <w:rPr>
                      <w:rFonts w:hint="eastAsia" w:ascii="宋体" w:hAnsi="宋体"/>
                      <w:b/>
                      <w:color w:val="auto"/>
                      <w:szCs w:val="21"/>
                    </w:rPr>
                    <w:t>-N</w:t>
                  </w:r>
                </w:p>
              </w:tc>
              <w:tc>
                <w:tcPr>
                  <w:tcW w:w="834" w:type="dxa"/>
                  <w:vAlign w:val="center"/>
                </w:tcPr>
                <w:p>
                  <w:pPr>
                    <w:spacing w:line="360" w:lineRule="auto"/>
                    <w:jc w:val="center"/>
                    <w:rPr>
                      <w:rFonts w:ascii="宋体" w:hAnsi="宋体"/>
                      <w:b/>
                      <w:color w:val="auto"/>
                      <w:szCs w:val="21"/>
                    </w:rPr>
                  </w:pPr>
                  <w:r>
                    <w:rPr>
                      <w:rFonts w:hint="eastAsia" w:ascii="宋体" w:hAnsi="宋体"/>
                      <w:b/>
                      <w:color w:val="auto"/>
                      <w:szCs w:val="21"/>
                    </w:rPr>
                    <w:t>总磷</w:t>
                  </w:r>
                </w:p>
              </w:tc>
              <w:tc>
                <w:tcPr>
                  <w:tcW w:w="861" w:type="dxa"/>
                  <w:vAlign w:val="center"/>
                </w:tcPr>
                <w:p>
                  <w:pPr>
                    <w:spacing w:line="360" w:lineRule="auto"/>
                    <w:jc w:val="center"/>
                    <w:rPr>
                      <w:rFonts w:ascii="宋体" w:hAnsi="宋体"/>
                      <w:b/>
                      <w:color w:val="auto"/>
                      <w:szCs w:val="21"/>
                    </w:rPr>
                  </w:pPr>
                  <w:r>
                    <w:rPr>
                      <w:rFonts w:hint="eastAsia" w:ascii="宋体" w:hAnsi="宋体"/>
                      <w:b/>
                      <w:color w:val="auto"/>
                      <w:szCs w:val="21"/>
                    </w:rPr>
                    <w:t>LAS</w:t>
                  </w:r>
                </w:p>
              </w:tc>
              <w:tc>
                <w:tcPr>
                  <w:tcW w:w="856" w:type="dxa"/>
                  <w:vAlign w:val="center"/>
                </w:tcPr>
                <w:p>
                  <w:pPr>
                    <w:spacing w:line="360" w:lineRule="auto"/>
                    <w:jc w:val="center"/>
                    <w:rPr>
                      <w:rFonts w:ascii="宋体" w:hAnsi="宋体"/>
                      <w:b/>
                      <w:color w:val="auto"/>
                      <w:szCs w:val="21"/>
                    </w:rPr>
                  </w:pPr>
                  <w:r>
                    <w:rPr>
                      <w:rFonts w:hint="eastAsia" w:ascii="宋体" w:hAnsi="宋体"/>
                      <w:b/>
                      <w:color w:val="auto"/>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1" w:type="dxa"/>
                  <w:vAlign w:val="center"/>
                </w:tcPr>
                <w:p>
                  <w:pPr>
                    <w:jc w:val="center"/>
                    <w:rPr>
                      <w:b/>
                      <w:color w:val="auto"/>
                      <w:szCs w:val="21"/>
                    </w:rPr>
                  </w:pPr>
                  <w:r>
                    <w:rPr>
                      <w:rFonts w:hint="eastAsia"/>
                      <w:b/>
                      <w:color w:val="auto"/>
                      <w:szCs w:val="21"/>
                    </w:rPr>
                    <w:t>Ⅱ</w:t>
                  </w:r>
                  <w:r>
                    <w:rPr>
                      <w:rFonts w:hint="eastAsia" w:ascii="宋体" w:hAnsi="宋体"/>
                      <w:b/>
                      <w:color w:val="auto"/>
                      <w:szCs w:val="21"/>
                    </w:rPr>
                    <w:t>类标准</w:t>
                  </w:r>
                </w:p>
              </w:tc>
              <w:tc>
                <w:tcPr>
                  <w:tcW w:w="838" w:type="dxa"/>
                  <w:vAlign w:val="center"/>
                </w:tcPr>
                <w:p>
                  <w:pPr>
                    <w:jc w:val="center"/>
                    <w:rPr>
                      <w:color w:val="auto"/>
                      <w:szCs w:val="21"/>
                    </w:rPr>
                  </w:pPr>
                  <w:r>
                    <w:rPr>
                      <w:color w:val="auto"/>
                      <w:szCs w:val="21"/>
                    </w:rPr>
                    <w:t>6-9</w:t>
                  </w:r>
                </w:p>
              </w:tc>
              <w:tc>
                <w:tcPr>
                  <w:tcW w:w="849" w:type="dxa"/>
                  <w:vAlign w:val="center"/>
                </w:tcPr>
                <w:p>
                  <w:pPr>
                    <w:jc w:val="center"/>
                    <w:rPr>
                      <w:color w:val="auto"/>
                      <w:szCs w:val="21"/>
                    </w:rPr>
                  </w:pPr>
                  <w:r>
                    <w:rPr>
                      <w:color w:val="auto"/>
                      <w:szCs w:val="21"/>
                    </w:rPr>
                    <w:t>≤</w:t>
                  </w:r>
                  <w:r>
                    <w:rPr>
                      <w:rFonts w:hint="eastAsia"/>
                      <w:color w:val="auto"/>
                      <w:szCs w:val="21"/>
                    </w:rPr>
                    <w:t>15</w:t>
                  </w:r>
                </w:p>
              </w:tc>
              <w:tc>
                <w:tcPr>
                  <w:tcW w:w="1017" w:type="dxa"/>
                  <w:vAlign w:val="center"/>
                </w:tcPr>
                <w:p>
                  <w:pPr>
                    <w:jc w:val="center"/>
                    <w:rPr>
                      <w:color w:val="auto"/>
                      <w:szCs w:val="21"/>
                    </w:rPr>
                  </w:pPr>
                  <w:r>
                    <w:rPr>
                      <w:color w:val="auto"/>
                      <w:szCs w:val="21"/>
                    </w:rPr>
                    <w:t>≤</w:t>
                  </w:r>
                  <w:r>
                    <w:rPr>
                      <w:rFonts w:hint="eastAsia"/>
                      <w:color w:val="auto"/>
                      <w:szCs w:val="21"/>
                    </w:rPr>
                    <w:t>3</w:t>
                  </w:r>
                </w:p>
              </w:tc>
              <w:tc>
                <w:tcPr>
                  <w:tcW w:w="941" w:type="dxa"/>
                  <w:vAlign w:val="center"/>
                </w:tcPr>
                <w:p>
                  <w:pPr>
                    <w:jc w:val="center"/>
                    <w:rPr>
                      <w:color w:val="auto"/>
                      <w:szCs w:val="21"/>
                    </w:rPr>
                  </w:pPr>
                  <w:r>
                    <w:rPr>
                      <w:color w:val="auto"/>
                      <w:szCs w:val="21"/>
                    </w:rPr>
                    <w:t>≥</w:t>
                  </w:r>
                  <w:r>
                    <w:rPr>
                      <w:rFonts w:hint="eastAsia"/>
                      <w:color w:val="auto"/>
                      <w:szCs w:val="21"/>
                    </w:rPr>
                    <w:t>6</w:t>
                  </w:r>
                </w:p>
              </w:tc>
              <w:tc>
                <w:tcPr>
                  <w:tcW w:w="983" w:type="dxa"/>
                  <w:vAlign w:val="center"/>
                </w:tcPr>
                <w:p>
                  <w:pPr>
                    <w:jc w:val="center"/>
                    <w:rPr>
                      <w:color w:val="auto"/>
                      <w:szCs w:val="21"/>
                    </w:rPr>
                  </w:pPr>
                  <w:r>
                    <w:rPr>
                      <w:color w:val="auto"/>
                      <w:szCs w:val="21"/>
                    </w:rPr>
                    <w:t>≤</w:t>
                  </w:r>
                  <w:r>
                    <w:rPr>
                      <w:rFonts w:hint="eastAsia"/>
                      <w:color w:val="auto"/>
                      <w:szCs w:val="21"/>
                    </w:rPr>
                    <w:t>0.5</w:t>
                  </w:r>
                </w:p>
              </w:tc>
              <w:tc>
                <w:tcPr>
                  <w:tcW w:w="834" w:type="dxa"/>
                  <w:vAlign w:val="center"/>
                </w:tcPr>
                <w:p>
                  <w:pPr>
                    <w:jc w:val="center"/>
                    <w:rPr>
                      <w:color w:val="auto"/>
                      <w:szCs w:val="21"/>
                    </w:rPr>
                  </w:pPr>
                  <w:r>
                    <w:rPr>
                      <w:color w:val="auto"/>
                      <w:szCs w:val="21"/>
                    </w:rPr>
                    <w:t>≤</w:t>
                  </w:r>
                  <w:r>
                    <w:rPr>
                      <w:rFonts w:hint="eastAsia"/>
                      <w:color w:val="auto"/>
                      <w:szCs w:val="21"/>
                    </w:rPr>
                    <w:t>0.1</w:t>
                  </w:r>
                </w:p>
              </w:tc>
              <w:tc>
                <w:tcPr>
                  <w:tcW w:w="861" w:type="dxa"/>
                  <w:vAlign w:val="center"/>
                </w:tcPr>
                <w:p>
                  <w:pPr>
                    <w:jc w:val="center"/>
                    <w:rPr>
                      <w:color w:val="auto"/>
                      <w:szCs w:val="21"/>
                    </w:rPr>
                  </w:pPr>
                  <w:r>
                    <w:rPr>
                      <w:rFonts w:hint="eastAsia"/>
                      <w:color w:val="auto"/>
                      <w:szCs w:val="21"/>
                    </w:rPr>
                    <w:t>≤0.2</w:t>
                  </w:r>
                </w:p>
              </w:tc>
              <w:tc>
                <w:tcPr>
                  <w:tcW w:w="856" w:type="dxa"/>
                  <w:vAlign w:val="center"/>
                </w:tcPr>
                <w:p>
                  <w:pPr>
                    <w:jc w:val="center"/>
                    <w:rPr>
                      <w:color w:val="auto"/>
                      <w:szCs w:val="21"/>
                    </w:rPr>
                  </w:pPr>
                  <w:r>
                    <w:rPr>
                      <w:rFonts w:hint="eastAsia"/>
                      <w:color w:val="auto"/>
                      <w:szCs w:val="21"/>
                    </w:rPr>
                    <w:t>≤0.05</w:t>
                  </w:r>
                </w:p>
              </w:tc>
            </w:tr>
          </w:tbl>
          <w:p>
            <w:pPr>
              <w:pStyle w:val="34"/>
              <w:numPr>
                <w:ilvl w:val="0"/>
                <w:numId w:val="8"/>
              </w:numPr>
              <w:spacing w:line="360" w:lineRule="auto"/>
              <w:ind w:firstLine="0"/>
              <w:rPr>
                <w:color w:val="auto"/>
                <w:szCs w:val="24"/>
              </w:rPr>
            </w:pPr>
            <w:r>
              <w:rPr>
                <w:rFonts w:hint="eastAsia"/>
                <w:color w:val="auto"/>
                <w:szCs w:val="24"/>
              </w:rPr>
              <w:t>《环境空气质量标准》（GB3095-2012）及”2018修改单”二级标准；</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 xml:space="preserve">环境空气质量标准 （摘录）  </w:t>
            </w:r>
          </w:p>
          <w:tbl>
            <w:tblPr>
              <w:tblStyle w:val="44"/>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2115"/>
              <w:gridCol w:w="2130"/>
              <w:gridCol w:w="1500"/>
              <w:gridCol w:w="1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vAlign w:val="center"/>
                </w:tcPr>
                <w:p>
                  <w:pPr>
                    <w:spacing w:line="288" w:lineRule="auto"/>
                    <w:jc w:val="center"/>
                    <w:rPr>
                      <w:color w:val="auto"/>
                      <w:szCs w:val="21"/>
                    </w:rPr>
                  </w:pPr>
                  <w:r>
                    <w:rPr>
                      <w:rFonts w:eastAsia="Times New Roman"/>
                      <w:b/>
                      <w:bCs/>
                      <w:color w:val="auto"/>
                      <w:szCs w:val="21"/>
                    </w:rPr>
                    <w:t>序号</w:t>
                  </w:r>
                </w:p>
              </w:tc>
              <w:tc>
                <w:tcPr>
                  <w:tcW w:w="2115" w:type="dxa"/>
                  <w:tcBorders>
                    <w:tl2br w:val="nil"/>
                    <w:tr2bl w:val="nil"/>
                  </w:tcBorders>
                  <w:vAlign w:val="center"/>
                </w:tcPr>
                <w:p>
                  <w:pPr>
                    <w:spacing w:line="288" w:lineRule="auto"/>
                    <w:jc w:val="center"/>
                    <w:rPr>
                      <w:color w:val="auto"/>
                      <w:szCs w:val="21"/>
                    </w:rPr>
                  </w:pPr>
                  <w:r>
                    <w:rPr>
                      <w:rFonts w:eastAsia="Times New Roman"/>
                      <w:b/>
                      <w:bCs/>
                      <w:color w:val="auto"/>
                      <w:szCs w:val="21"/>
                    </w:rPr>
                    <w:t>污染物名称</w:t>
                  </w:r>
                </w:p>
              </w:tc>
              <w:tc>
                <w:tcPr>
                  <w:tcW w:w="2130" w:type="dxa"/>
                  <w:tcBorders>
                    <w:tl2br w:val="nil"/>
                    <w:tr2bl w:val="nil"/>
                  </w:tcBorders>
                  <w:vAlign w:val="center"/>
                </w:tcPr>
                <w:p>
                  <w:pPr>
                    <w:spacing w:line="288" w:lineRule="auto"/>
                    <w:jc w:val="center"/>
                    <w:rPr>
                      <w:color w:val="auto"/>
                      <w:szCs w:val="21"/>
                    </w:rPr>
                  </w:pPr>
                  <w:r>
                    <w:rPr>
                      <w:rFonts w:eastAsia="Times New Roman"/>
                      <w:b/>
                      <w:bCs/>
                      <w:color w:val="auto"/>
                      <w:szCs w:val="21"/>
                    </w:rPr>
                    <w:t>取值时间</w:t>
                  </w:r>
                </w:p>
              </w:tc>
              <w:tc>
                <w:tcPr>
                  <w:tcW w:w="1500" w:type="dxa"/>
                  <w:tcBorders>
                    <w:tl2br w:val="nil"/>
                    <w:tr2bl w:val="nil"/>
                  </w:tcBorders>
                  <w:vAlign w:val="center"/>
                </w:tcPr>
                <w:p>
                  <w:pPr>
                    <w:spacing w:line="288" w:lineRule="auto"/>
                    <w:jc w:val="center"/>
                    <w:rPr>
                      <w:color w:val="auto"/>
                      <w:szCs w:val="21"/>
                    </w:rPr>
                  </w:pPr>
                  <w:r>
                    <w:rPr>
                      <w:rFonts w:eastAsia="Times New Roman"/>
                      <w:b/>
                      <w:bCs/>
                      <w:color w:val="auto"/>
                      <w:szCs w:val="21"/>
                    </w:rPr>
                    <w:t>二级标准</w:t>
                  </w:r>
                </w:p>
              </w:tc>
              <w:tc>
                <w:tcPr>
                  <w:tcW w:w="1640" w:type="dxa"/>
                  <w:tcBorders>
                    <w:tl2br w:val="nil"/>
                    <w:tr2bl w:val="nil"/>
                  </w:tcBorders>
                  <w:vAlign w:val="center"/>
                </w:tcPr>
                <w:p>
                  <w:pPr>
                    <w:spacing w:line="288" w:lineRule="auto"/>
                    <w:jc w:val="center"/>
                    <w:rPr>
                      <w:b/>
                      <w:bCs/>
                      <w:color w:val="auto"/>
                      <w:szCs w:val="21"/>
                    </w:rPr>
                  </w:pPr>
                  <w:r>
                    <w:rPr>
                      <w:rFonts w:hint="eastAsia"/>
                      <w:b/>
                      <w:bCs/>
                      <w:color w:val="auto"/>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rPr>
                  </w:pPr>
                  <w:r>
                    <w:rPr>
                      <w:rFonts w:eastAsia="Times New Roman"/>
                      <w:color w:val="auto"/>
                      <w:szCs w:val="21"/>
                    </w:rPr>
                    <w:t>1</w:t>
                  </w:r>
                </w:p>
              </w:tc>
              <w:tc>
                <w:tcPr>
                  <w:tcW w:w="2115" w:type="dxa"/>
                  <w:vMerge w:val="restart"/>
                  <w:tcBorders>
                    <w:tl2br w:val="nil"/>
                    <w:tr2bl w:val="nil"/>
                  </w:tcBorders>
                  <w:vAlign w:val="center"/>
                </w:tcPr>
                <w:p>
                  <w:pPr>
                    <w:spacing w:line="288" w:lineRule="auto"/>
                    <w:jc w:val="center"/>
                    <w:rPr>
                      <w:color w:val="auto"/>
                      <w:szCs w:val="21"/>
                    </w:rPr>
                  </w:pPr>
                  <w:r>
                    <w:rPr>
                      <w:rFonts w:eastAsia="Times New Roman"/>
                      <w:color w:val="auto"/>
                      <w:szCs w:val="21"/>
                    </w:rPr>
                    <w:t>二氧化硫（SO</w:t>
                  </w:r>
                  <w:r>
                    <w:rPr>
                      <w:rFonts w:eastAsia="Times New Roman"/>
                      <w:color w:val="auto"/>
                      <w:szCs w:val="21"/>
                      <w:vertAlign w:val="subscript"/>
                    </w:rPr>
                    <w:t>2</w:t>
                  </w:r>
                  <w:r>
                    <w:rPr>
                      <w:rFonts w:eastAsia="Times New Roman"/>
                      <w:color w:val="auto"/>
                      <w:szCs w:val="21"/>
                    </w:rPr>
                    <w:t>）</w:t>
                  </w:r>
                </w:p>
              </w:tc>
              <w:tc>
                <w:tcPr>
                  <w:tcW w:w="2130" w:type="dxa"/>
                  <w:tcBorders>
                    <w:tl2br w:val="nil"/>
                    <w:tr2bl w:val="nil"/>
                  </w:tcBorders>
                  <w:vAlign w:val="center"/>
                </w:tcPr>
                <w:p>
                  <w:pPr>
                    <w:spacing w:line="288" w:lineRule="auto"/>
                    <w:jc w:val="center"/>
                    <w:rPr>
                      <w:color w:val="auto"/>
                      <w:szCs w:val="21"/>
                    </w:rPr>
                  </w:pPr>
                  <w:r>
                    <w:rPr>
                      <w:rFonts w:eastAsia="Times New Roman"/>
                      <w:color w:val="auto"/>
                      <w:szCs w:val="21"/>
                    </w:rPr>
                    <w:t>年平均值</w:t>
                  </w:r>
                </w:p>
              </w:tc>
              <w:tc>
                <w:tcPr>
                  <w:tcW w:w="1500" w:type="dxa"/>
                  <w:tcBorders>
                    <w:tl2br w:val="nil"/>
                    <w:tr2bl w:val="nil"/>
                  </w:tcBorders>
                  <w:vAlign w:val="center"/>
                </w:tcPr>
                <w:p>
                  <w:pPr>
                    <w:spacing w:line="288" w:lineRule="auto"/>
                    <w:jc w:val="center"/>
                    <w:rPr>
                      <w:color w:val="auto"/>
                      <w:szCs w:val="21"/>
                    </w:rPr>
                  </w:pPr>
                  <w:r>
                    <w:rPr>
                      <w:rFonts w:eastAsia="Times New Roman"/>
                      <w:color w:val="auto"/>
                      <w:szCs w:val="21"/>
                    </w:rPr>
                    <w:t>60</w:t>
                  </w:r>
                </w:p>
              </w:tc>
              <w:tc>
                <w:tcPr>
                  <w:tcW w:w="1640" w:type="dxa"/>
                  <w:tcBorders>
                    <w:tl2br w:val="nil"/>
                    <w:tr2bl w:val="nil"/>
                  </w:tcBorders>
                  <w:vAlign w:val="center"/>
                </w:tcPr>
                <w:p>
                  <w:pPr>
                    <w:spacing w:line="288" w:lineRule="auto"/>
                    <w:jc w:val="center"/>
                    <w:rPr>
                      <w:rFonts w:eastAsia="Times New Roman"/>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288" w:lineRule="auto"/>
                    <w:jc w:val="center"/>
                    <w:rPr>
                      <w:color w:val="auto"/>
                      <w:szCs w:val="21"/>
                    </w:rPr>
                  </w:pPr>
                </w:p>
              </w:tc>
              <w:tc>
                <w:tcPr>
                  <w:tcW w:w="2130" w:type="dxa"/>
                  <w:tcBorders>
                    <w:tl2br w:val="nil"/>
                    <w:tr2bl w:val="nil"/>
                  </w:tcBorders>
                  <w:vAlign w:val="center"/>
                </w:tcPr>
                <w:p>
                  <w:pPr>
                    <w:spacing w:line="288" w:lineRule="auto"/>
                    <w:jc w:val="center"/>
                    <w:rPr>
                      <w:color w:val="auto"/>
                      <w:szCs w:val="21"/>
                    </w:rPr>
                  </w:pPr>
                  <w:r>
                    <w:rPr>
                      <w:rFonts w:eastAsia="Times New Roman"/>
                      <w:color w:val="auto"/>
                      <w:szCs w:val="21"/>
                    </w:rPr>
                    <w:t>日平均值</w:t>
                  </w:r>
                </w:p>
              </w:tc>
              <w:tc>
                <w:tcPr>
                  <w:tcW w:w="1500" w:type="dxa"/>
                  <w:tcBorders>
                    <w:tl2br w:val="nil"/>
                    <w:tr2bl w:val="nil"/>
                  </w:tcBorders>
                  <w:vAlign w:val="center"/>
                </w:tcPr>
                <w:p>
                  <w:pPr>
                    <w:spacing w:line="288" w:lineRule="auto"/>
                    <w:jc w:val="center"/>
                    <w:rPr>
                      <w:color w:val="auto"/>
                      <w:szCs w:val="21"/>
                    </w:rPr>
                  </w:pPr>
                  <w:r>
                    <w:rPr>
                      <w:rFonts w:eastAsia="Times New Roman"/>
                      <w:color w:val="auto"/>
                      <w:szCs w:val="21"/>
                    </w:rPr>
                    <w:t>150</w:t>
                  </w:r>
                </w:p>
              </w:tc>
              <w:tc>
                <w:tcPr>
                  <w:tcW w:w="1640" w:type="dxa"/>
                  <w:tcBorders>
                    <w:tl2br w:val="nil"/>
                    <w:tr2bl w:val="nil"/>
                  </w:tcBorders>
                  <w:vAlign w:val="center"/>
                </w:tcPr>
                <w:p>
                  <w:pPr>
                    <w:spacing w:line="288" w:lineRule="auto"/>
                    <w:jc w:val="center"/>
                    <w:rPr>
                      <w:rFonts w:eastAsia="Times New Roman"/>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288" w:lineRule="auto"/>
                    <w:jc w:val="center"/>
                    <w:rPr>
                      <w:color w:val="auto"/>
                      <w:szCs w:val="21"/>
                    </w:rPr>
                  </w:pPr>
                </w:p>
              </w:tc>
              <w:tc>
                <w:tcPr>
                  <w:tcW w:w="2130" w:type="dxa"/>
                  <w:tcBorders>
                    <w:tl2br w:val="nil"/>
                    <w:tr2bl w:val="nil"/>
                  </w:tcBorders>
                  <w:vAlign w:val="center"/>
                </w:tcPr>
                <w:p>
                  <w:pPr>
                    <w:spacing w:line="288" w:lineRule="auto"/>
                    <w:jc w:val="center"/>
                    <w:rPr>
                      <w:color w:val="auto"/>
                      <w:szCs w:val="21"/>
                    </w:rPr>
                  </w:pPr>
                  <w:r>
                    <w:rPr>
                      <w:rFonts w:eastAsia="Times New Roman"/>
                      <w:color w:val="auto"/>
                      <w:szCs w:val="21"/>
                    </w:rPr>
                    <w:t>1小时平均值</w:t>
                  </w:r>
                </w:p>
              </w:tc>
              <w:tc>
                <w:tcPr>
                  <w:tcW w:w="1500" w:type="dxa"/>
                  <w:tcBorders>
                    <w:tl2br w:val="nil"/>
                    <w:tr2bl w:val="nil"/>
                  </w:tcBorders>
                  <w:vAlign w:val="center"/>
                </w:tcPr>
                <w:p>
                  <w:pPr>
                    <w:spacing w:line="288" w:lineRule="auto"/>
                    <w:jc w:val="center"/>
                    <w:rPr>
                      <w:color w:val="auto"/>
                      <w:szCs w:val="21"/>
                    </w:rPr>
                  </w:pPr>
                  <w:r>
                    <w:rPr>
                      <w:rFonts w:eastAsia="Times New Roman"/>
                      <w:color w:val="auto"/>
                      <w:szCs w:val="21"/>
                    </w:rPr>
                    <w:t>500</w:t>
                  </w:r>
                </w:p>
              </w:tc>
              <w:tc>
                <w:tcPr>
                  <w:tcW w:w="1640" w:type="dxa"/>
                  <w:tcBorders>
                    <w:tl2br w:val="nil"/>
                    <w:tr2bl w:val="nil"/>
                  </w:tcBorders>
                  <w:vAlign w:val="center"/>
                </w:tcPr>
                <w:p>
                  <w:pPr>
                    <w:spacing w:line="288" w:lineRule="auto"/>
                    <w:jc w:val="center"/>
                    <w:rPr>
                      <w:rFonts w:eastAsia="Times New Roman"/>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rPr>
                  </w:pPr>
                  <w:r>
                    <w:rPr>
                      <w:rFonts w:eastAsia="Times New Roman"/>
                      <w:color w:val="auto"/>
                      <w:szCs w:val="21"/>
                    </w:rPr>
                    <w:t>2</w:t>
                  </w:r>
                </w:p>
              </w:tc>
              <w:tc>
                <w:tcPr>
                  <w:tcW w:w="2115" w:type="dxa"/>
                  <w:vMerge w:val="restart"/>
                  <w:tcBorders>
                    <w:tl2br w:val="nil"/>
                    <w:tr2bl w:val="nil"/>
                  </w:tcBorders>
                  <w:vAlign w:val="center"/>
                </w:tcPr>
                <w:p>
                  <w:pPr>
                    <w:spacing w:line="288" w:lineRule="auto"/>
                    <w:jc w:val="center"/>
                    <w:rPr>
                      <w:color w:val="auto"/>
                      <w:szCs w:val="21"/>
                    </w:rPr>
                  </w:pPr>
                  <w:r>
                    <w:rPr>
                      <w:rFonts w:eastAsia="Times New Roman"/>
                      <w:color w:val="auto"/>
                      <w:szCs w:val="21"/>
                    </w:rPr>
                    <w:t>二氧化氮（NO</w:t>
                  </w:r>
                  <w:r>
                    <w:rPr>
                      <w:rFonts w:eastAsia="Times New Roman"/>
                      <w:color w:val="auto"/>
                      <w:szCs w:val="21"/>
                      <w:vertAlign w:val="subscript"/>
                    </w:rPr>
                    <w:t>2</w:t>
                  </w:r>
                  <w:r>
                    <w:rPr>
                      <w:rFonts w:eastAsia="Times New Roman"/>
                      <w:color w:val="auto"/>
                      <w:szCs w:val="21"/>
                    </w:rPr>
                    <w:t>）</w:t>
                  </w:r>
                </w:p>
              </w:tc>
              <w:tc>
                <w:tcPr>
                  <w:tcW w:w="2130" w:type="dxa"/>
                  <w:tcBorders>
                    <w:tl2br w:val="nil"/>
                    <w:tr2bl w:val="nil"/>
                  </w:tcBorders>
                  <w:vAlign w:val="center"/>
                </w:tcPr>
                <w:p>
                  <w:pPr>
                    <w:spacing w:line="288" w:lineRule="auto"/>
                    <w:jc w:val="center"/>
                    <w:rPr>
                      <w:color w:val="auto"/>
                      <w:szCs w:val="21"/>
                    </w:rPr>
                  </w:pPr>
                  <w:r>
                    <w:rPr>
                      <w:rFonts w:eastAsia="Times New Roman"/>
                      <w:color w:val="auto"/>
                      <w:szCs w:val="21"/>
                    </w:rPr>
                    <w:t>年平均值</w:t>
                  </w:r>
                </w:p>
              </w:tc>
              <w:tc>
                <w:tcPr>
                  <w:tcW w:w="1500" w:type="dxa"/>
                  <w:tcBorders>
                    <w:tl2br w:val="nil"/>
                    <w:tr2bl w:val="nil"/>
                  </w:tcBorders>
                  <w:vAlign w:val="center"/>
                </w:tcPr>
                <w:p>
                  <w:pPr>
                    <w:spacing w:line="288" w:lineRule="auto"/>
                    <w:jc w:val="center"/>
                    <w:rPr>
                      <w:color w:val="auto"/>
                      <w:szCs w:val="21"/>
                    </w:rPr>
                  </w:pPr>
                  <w:r>
                    <w:rPr>
                      <w:rFonts w:eastAsia="Times New Roman"/>
                      <w:color w:val="auto"/>
                      <w:szCs w:val="21"/>
                    </w:rPr>
                    <w:t>40</w:t>
                  </w:r>
                </w:p>
              </w:tc>
              <w:tc>
                <w:tcPr>
                  <w:tcW w:w="1640" w:type="dxa"/>
                  <w:tcBorders>
                    <w:tl2br w:val="nil"/>
                    <w:tr2bl w:val="nil"/>
                  </w:tcBorders>
                  <w:vAlign w:val="center"/>
                </w:tcPr>
                <w:p>
                  <w:pPr>
                    <w:spacing w:line="288" w:lineRule="auto"/>
                    <w:jc w:val="center"/>
                    <w:rPr>
                      <w:rFonts w:eastAsia="Times New Roman"/>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288" w:lineRule="auto"/>
                    <w:jc w:val="center"/>
                    <w:rPr>
                      <w:color w:val="auto"/>
                      <w:szCs w:val="21"/>
                    </w:rPr>
                  </w:pPr>
                </w:p>
              </w:tc>
              <w:tc>
                <w:tcPr>
                  <w:tcW w:w="2130" w:type="dxa"/>
                  <w:tcBorders>
                    <w:tl2br w:val="nil"/>
                    <w:tr2bl w:val="nil"/>
                  </w:tcBorders>
                  <w:vAlign w:val="center"/>
                </w:tcPr>
                <w:p>
                  <w:pPr>
                    <w:spacing w:line="288" w:lineRule="auto"/>
                    <w:jc w:val="center"/>
                    <w:rPr>
                      <w:color w:val="auto"/>
                      <w:szCs w:val="21"/>
                    </w:rPr>
                  </w:pPr>
                  <w:r>
                    <w:rPr>
                      <w:rFonts w:eastAsia="Times New Roman"/>
                      <w:color w:val="auto"/>
                      <w:szCs w:val="21"/>
                    </w:rPr>
                    <w:t>日平均值</w:t>
                  </w:r>
                </w:p>
              </w:tc>
              <w:tc>
                <w:tcPr>
                  <w:tcW w:w="1500" w:type="dxa"/>
                  <w:tcBorders>
                    <w:tl2br w:val="nil"/>
                    <w:tr2bl w:val="nil"/>
                  </w:tcBorders>
                  <w:vAlign w:val="center"/>
                </w:tcPr>
                <w:p>
                  <w:pPr>
                    <w:spacing w:line="288" w:lineRule="auto"/>
                    <w:jc w:val="center"/>
                    <w:rPr>
                      <w:color w:val="auto"/>
                      <w:szCs w:val="21"/>
                    </w:rPr>
                  </w:pPr>
                  <w:r>
                    <w:rPr>
                      <w:rFonts w:eastAsia="Times New Roman"/>
                      <w:color w:val="auto"/>
                      <w:szCs w:val="21"/>
                    </w:rPr>
                    <w:t>80</w:t>
                  </w:r>
                </w:p>
              </w:tc>
              <w:tc>
                <w:tcPr>
                  <w:tcW w:w="1640" w:type="dxa"/>
                  <w:tcBorders>
                    <w:tl2br w:val="nil"/>
                    <w:tr2bl w:val="nil"/>
                  </w:tcBorders>
                  <w:vAlign w:val="center"/>
                </w:tcPr>
                <w:p>
                  <w:pPr>
                    <w:spacing w:line="288" w:lineRule="auto"/>
                    <w:jc w:val="center"/>
                    <w:rPr>
                      <w:rFonts w:eastAsia="Times New Roman"/>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288" w:lineRule="auto"/>
                    <w:jc w:val="center"/>
                    <w:rPr>
                      <w:color w:val="auto"/>
                      <w:szCs w:val="21"/>
                    </w:rPr>
                  </w:pPr>
                </w:p>
              </w:tc>
              <w:tc>
                <w:tcPr>
                  <w:tcW w:w="2130" w:type="dxa"/>
                  <w:tcBorders>
                    <w:tl2br w:val="nil"/>
                    <w:tr2bl w:val="nil"/>
                  </w:tcBorders>
                  <w:vAlign w:val="center"/>
                </w:tcPr>
                <w:p>
                  <w:pPr>
                    <w:spacing w:line="288" w:lineRule="auto"/>
                    <w:jc w:val="center"/>
                    <w:rPr>
                      <w:color w:val="auto"/>
                      <w:szCs w:val="21"/>
                    </w:rPr>
                  </w:pPr>
                  <w:r>
                    <w:rPr>
                      <w:rFonts w:eastAsia="Times New Roman"/>
                      <w:color w:val="auto"/>
                      <w:szCs w:val="21"/>
                    </w:rPr>
                    <w:t>1小时平均值</w:t>
                  </w:r>
                </w:p>
              </w:tc>
              <w:tc>
                <w:tcPr>
                  <w:tcW w:w="1500" w:type="dxa"/>
                  <w:tcBorders>
                    <w:tl2br w:val="nil"/>
                    <w:tr2bl w:val="nil"/>
                  </w:tcBorders>
                  <w:vAlign w:val="center"/>
                </w:tcPr>
                <w:p>
                  <w:pPr>
                    <w:spacing w:line="288" w:lineRule="auto"/>
                    <w:jc w:val="center"/>
                    <w:rPr>
                      <w:color w:val="auto"/>
                      <w:szCs w:val="21"/>
                    </w:rPr>
                  </w:pPr>
                  <w:r>
                    <w:rPr>
                      <w:rFonts w:eastAsia="Times New Roman"/>
                      <w:color w:val="auto"/>
                      <w:szCs w:val="21"/>
                    </w:rPr>
                    <w:t>200</w:t>
                  </w:r>
                </w:p>
              </w:tc>
              <w:tc>
                <w:tcPr>
                  <w:tcW w:w="1640" w:type="dxa"/>
                  <w:tcBorders>
                    <w:tl2br w:val="nil"/>
                    <w:tr2bl w:val="nil"/>
                  </w:tcBorders>
                  <w:vAlign w:val="center"/>
                </w:tcPr>
                <w:p>
                  <w:pPr>
                    <w:spacing w:line="288" w:lineRule="auto"/>
                    <w:jc w:val="center"/>
                    <w:rPr>
                      <w:rFonts w:eastAsia="Times New Roman"/>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rPr>
                  </w:pPr>
                  <w:r>
                    <w:rPr>
                      <w:color w:val="auto"/>
                      <w:szCs w:val="21"/>
                    </w:rPr>
                    <w:t>3</w:t>
                  </w:r>
                </w:p>
              </w:tc>
              <w:tc>
                <w:tcPr>
                  <w:tcW w:w="2115" w:type="dxa"/>
                  <w:vMerge w:val="restart"/>
                  <w:tcBorders>
                    <w:tl2br w:val="nil"/>
                    <w:tr2bl w:val="nil"/>
                  </w:tcBorders>
                  <w:vAlign w:val="center"/>
                </w:tcPr>
                <w:p>
                  <w:pPr>
                    <w:spacing w:line="288" w:lineRule="auto"/>
                    <w:jc w:val="center"/>
                    <w:rPr>
                      <w:color w:val="auto"/>
                      <w:szCs w:val="21"/>
                    </w:rPr>
                  </w:pPr>
                  <w:r>
                    <w:rPr>
                      <w:color w:val="auto"/>
                      <w:szCs w:val="21"/>
                    </w:rPr>
                    <w:t>一氧化碳（CO）</w:t>
                  </w:r>
                </w:p>
              </w:tc>
              <w:tc>
                <w:tcPr>
                  <w:tcW w:w="2130" w:type="dxa"/>
                  <w:tcBorders>
                    <w:tl2br w:val="nil"/>
                    <w:tr2bl w:val="nil"/>
                  </w:tcBorders>
                  <w:vAlign w:val="center"/>
                </w:tcPr>
                <w:p>
                  <w:pPr>
                    <w:spacing w:line="288" w:lineRule="auto"/>
                    <w:jc w:val="center"/>
                    <w:rPr>
                      <w:color w:val="auto"/>
                      <w:szCs w:val="21"/>
                    </w:rPr>
                  </w:pPr>
                  <w:r>
                    <w:rPr>
                      <w:rFonts w:eastAsia="Times New Roman"/>
                      <w:color w:val="auto"/>
                      <w:szCs w:val="21"/>
                    </w:rPr>
                    <w:t>日平均值</w:t>
                  </w:r>
                </w:p>
              </w:tc>
              <w:tc>
                <w:tcPr>
                  <w:tcW w:w="1500" w:type="dxa"/>
                  <w:tcBorders>
                    <w:tl2br w:val="nil"/>
                    <w:tr2bl w:val="nil"/>
                  </w:tcBorders>
                  <w:vAlign w:val="center"/>
                </w:tcPr>
                <w:p>
                  <w:pPr>
                    <w:spacing w:line="288" w:lineRule="auto"/>
                    <w:jc w:val="center"/>
                    <w:rPr>
                      <w:color w:val="auto"/>
                      <w:szCs w:val="21"/>
                    </w:rPr>
                  </w:pPr>
                  <w:r>
                    <w:rPr>
                      <w:color w:val="auto"/>
                      <w:szCs w:val="21"/>
                    </w:rPr>
                    <w:t>4.00</w:t>
                  </w:r>
                </w:p>
              </w:tc>
              <w:tc>
                <w:tcPr>
                  <w:tcW w:w="1640" w:type="dxa"/>
                  <w:tcBorders>
                    <w:tl2br w:val="nil"/>
                    <w:tr2bl w:val="nil"/>
                  </w:tcBorders>
                  <w:vAlign w:val="center"/>
                </w:tcPr>
                <w:p>
                  <w:pPr>
                    <w:spacing w:line="288" w:lineRule="auto"/>
                    <w:jc w:val="center"/>
                    <w:rPr>
                      <w:bCs/>
                      <w:color w:val="auto"/>
                      <w:szCs w:val="21"/>
                    </w:rPr>
                  </w:pPr>
                  <w:r>
                    <w:rPr>
                      <w:rFonts w:hint="eastAsia"/>
                      <w:bCs/>
                      <w:color w:val="auto"/>
                      <w:szCs w:val="21"/>
                    </w:rPr>
                    <w:t>m</w:t>
                  </w:r>
                  <w:r>
                    <w:rPr>
                      <w:bCs/>
                      <w:color w:val="auto"/>
                      <w:szCs w:val="21"/>
                    </w:rPr>
                    <w:t>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288" w:lineRule="auto"/>
                    <w:jc w:val="center"/>
                    <w:rPr>
                      <w:color w:val="auto"/>
                      <w:szCs w:val="21"/>
                    </w:rPr>
                  </w:pPr>
                </w:p>
              </w:tc>
              <w:tc>
                <w:tcPr>
                  <w:tcW w:w="2130" w:type="dxa"/>
                  <w:tcBorders>
                    <w:tl2br w:val="nil"/>
                    <w:tr2bl w:val="nil"/>
                  </w:tcBorders>
                  <w:vAlign w:val="center"/>
                </w:tcPr>
                <w:p>
                  <w:pPr>
                    <w:spacing w:line="288" w:lineRule="auto"/>
                    <w:jc w:val="center"/>
                    <w:rPr>
                      <w:rFonts w:eastAsia="Times New Roman"/>
                      <w:color w:val="auto"/>
                      <w:szCs w:val="21"/>
                    </w:rPr>
                  </w:pPr>
                  <w:r>
                    <w:rPr>
                      <w:rFonts w:eastAsia="Times New Roman"/>
                      <w:color w:val="auto"/>
                      <w:szCs w:val="21"/>
                    </w:rPr>
                    <w:t>1小时平均值</w:t>
                  </w:r>
                </w:p>
              </w:tc>
              <w:tc>
                <w:tcPr>
                  <w:tcW w:w="1500" w:type="dxa"/>
                  <w:tcBorders>
                    <w:tl2br w:val="nil"/>
                    <w:tr2bl w:val="nil"/>
                  </w:tcBorders>
                  <w:vAlign w:val="center"/>
                </w:tcPr>
                <w:p>
                  <w:pPr>
                    <w:spacing w:line="288" w:lineRule="auto"/>
                    <w:jc w:val="center"/>
                    <w:rPr>
                      <w:color w:val="auto"/>
                      <w:szCs w:val="21"/>
                    </w:rPr>
                  </w:pPr>
                  <w:r>
                    <w:rPr>
                      <w:color w:val="auto"/>
                      <w:szCs w:val="21"/>
                    </w:rPr>
                    <w:t>10.00</w:t>
                  </w:r>
                </w:p>
              </w:tc>
              <w:tc>
                <w:tcPr>
                  <w:tcW w:w="1640" w:type="dxa"/>
                  <w:tcBorders>
                    <w:tl2br w:val="nil"/>
                    <w:tr2bl w:val="nil"/>
                  </w:tcBorders>
                  <w:vAlign w:val="center"/>
                </w:tcPr>
                <w:p>
                  <w:pPr>
                    <w:spacing w:line="288" w:lineRule="auto"/>
                    <w:jc w:val="center"/>
                    <w:rPr>
                      <w:bCs/>
                      <w:color w:val="auto"/>
                      <w:szCs w:val="21"/>
                    </w:rPr>
                  </w:pPr>
                  <w:r>
                    <w:rPr>
                      <w:rFonts w:hint="eastAsia"/>
                      <w:bCs/>
                      <w:color w:val="auto"/>
                      <w:szCs w:val="21"/>
                    </w:rPr>
                    <w:t>m</w:t>
                  </w:r>
                  <w:r>
                    <w:rPr>
                      <w:bCs/>
                      <w:color w:val="auto"/>
                      <w:szCs w:val="21"/>
                    </w:rPr>
                    <w:t>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rPr>
                  </w:pPr>
                  <w:r>
                    <w:rPr>
                      <w:color w:val="auto"/>
                      <w:szCs w:val="21"/>
                    </w:rPr>
                    <w:t>4</w:t>
                  </w:r>
                </w:p>
              </w:tc>
              <w:tc>
                <w:tcPr>
                  <w:tcW w:w="2115" w:type="dxa"/>
                  <w:vMerge w:val="restart"/>
                  <w:tcBorders>
                    <w:tl2br w:val="nil"/>
                    <w:tr2bl w:val="nil"/>
                  </w:tcBorders>
                  <w:vAlign w:val="center"/>
                </w:tcPr>
                <w:p>
                  <w:pPr>
                    <w:spacing w:line="288" w:lineRule="auto"/>
                    <w:jc w:val="center"/>
                    <w:rPr>
                      <w:color w:val="auto"/>
                      <w:szCs w:val="21"/>
                    </w:rPr>
                  </w:pPr>
                  <w:r>
                    <w:rPr>
                      <w:color w:val="auto"/>
                      <w:szCs w:val="21"/>
                    </w:rPr>
                    <w:t>臭氧（O</w:t>
                  </w:r>
                  <w:r>
                    <w:rPr>
                      <w:color w:val="auto"/>
                      <w:szCs w:val="21"/>
                      <w:vertAlign w:val="subscript"/>
                    </w:rPr>
                    <w:t>3</w:t>
                  </w:r>
                  <w:r>
                    <w:rPr>
                      <w:color w:val="auto"/>
                      <w:szCs w:val="21"/>
                    </w:rPr>
                    <w:t>）</w:t>
                  </w:r>
                </w:p>
              </w:tc>
              <w:tc>
                <w:tcPr>
                  <w:tcW w:w="2130" w:type="dxa"/>
                  <w:tcBorders>
                    <w:tl2br w:val="nil"/>
                    <w:tr2bl w:val="nil"/>
                  </w:tcBorders>
                  <w:vAlign w:val="center"/>
                </w:tcPr>
                <w:p>
                  <w:pPr>
                    <w:spacing w:line="288" w:lineRule="auto"/>
                    <w:jc w:val="center"/>
                    <w:rPr>
                      <w:color w:val="auto"/>
                      <w:szCs w:val="21"/>
                    </w:rPr>
                  </w:pPr>
                  <w:r>
                    <w:rPr>
                      <w:color w:val="auto"/>
                      <w:szCs w:val="21"/>
                    </w:rPr>
                    <w:t>日最大8小时平均值</w:t>
                  </w:r>
                </w:p>
              </w:tc>
              <w:tc>
                <w:tcPr>
                  <w:tcW w:w="1500" w:type="dxa"/>
                  <w:tcBorders>
                    <w:tl2br w:val="nil"/>
                    <w:tr2bl w:val="nil"/>
                  </w:tcBorders>
                  <w:vAlign w:val="center"/>
                </w:tcPr>
                <w:p>
                  <w:pPr>
                    <w:spacing w:line="288" w:lineRule="auto"/>
                    <w:jc w:val="center"/>
                    <w:rPr>
                      <w:color w:val="auto"/>
                      <w:szCs w:val="21"/>
                    </w:rPr>
                  </w:pPr>
                  <w:r>
                    <w:rPr>
                      <w:color w:val="auto"/>
                      <w:szCs w:val="21"/>
                    </w:rPr>
                    <w:t>160</w:t>
                  </w:r>
                </w:p>
              </w:tc>
              <w:tc>
                <w:tcPr>
                  <w:tcW w:w="1640" w:type="dxa"/>
                  <w:tcBorders>
                    <w:tl2br w:val="nil"/>
                    <w:tr2bl w:val="nil"/>
                  </w:tcBorders>
                  <w:vAlign w:val="center"/>
                </w:tcPr>
                <w:p>
                  <w:pPr>
                    <w:spacing w:line="288" w:lineRule="auto"/>
                    <w:jc w:val="center"/>
                    <w:rPr>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288" w:lineRule="auto"/>
                    <w:jc w:val="center"/>
                    <w:rPr>
                      <w:color w:val="auto"/>
                      <w:szCs w:val="21"/>
                    </w:rPr>
                  </w:pPr>
                </w:p>
              </w:tc>
              <w:tc>
                <w:tcPr>
                  <w:tcW w:w="2130" w:type="dxa"/>
                  <w:tcBorders>
                    <w:tl2br w:val="nil"/>
                    <w:tr2bl w:val="nil"/>
                  </w:tcBorders>
                  <w:vAlign w:val="center"/>
                </w:tcPr>
                <w:p>
                  <w:pPr>
                    <w:spacing w:line="288" w:lineRule="auto"/>
                    <w:jc w:val="center"/>
                    <w:rPr>
                      <w:rFonts w:eastAsia="Times New Roman"/>
                      <w:color w:val="auto"/>
                      <w:szCs w:val="21"/>
                    </w:rPr>
                  </w:pPr>
                  <w:r>
                    <w:rPr>
                      <w:rFonts w:eastAsia="Times New Roman"/>
                      <w:color w:val="auto"/>
                      <w:szCs w:val="21"/>
                    </w:rPr>
                    <w:t>日平均值</w:t>
                  </w:r>
                </w:p>
              </w:tc>
              <w:tc>
                <w:tcPr>
                  <w:tcW w:w="1500" w:type="dxa"/>
                  <w:tcBorders>
                    <w:tl2br w:val="nil"/>
                    <w:tr2bl w:val="nil"/>
                  </w:tcBorders>
                  <w:vAlign w:val="center"/>
                </w:tcPr>
                <w:p>
                  <w:pPr>
                    <w:spacing w:line="288" w:lineRule="auto"/>
                    <w:jc w:val="center"/>
                    <w:rPr>
                      <w:color w:val="auto"/>
                      <w:szCs w:val="21"/>
                    </w:rPr>
                  </w:pPr>
                  <w:r>
                    <w:rPr>
                      <w:color w:val="auto"/>
                      <w:szCs w:val="21"/>
                    </w:rPr>
                    <w:t>200</w:t>
                  </w:r>
                </w:p>
              </w:tc>
              <w:tc>
                <w:tcPr>
                  <w:tcW w:w="1640" w:type="dxa"/>
                  <w:tcBorders>
                    <w:tl2br w:val="nil"/>
                    <w:tr2bl w:val="nil"/>
                  </w:tcBorders>
                  <w:vAlign w:val="center"/>
                </w:tcPr>
                <w:p>
                  <w:pPr>
                    <w:spacing w:line="288" w:lineRule="auto"/>
                    <w:jc w:val="center"/>
                    <w:rPr>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rPr>
                  </w:pPr>
                  <w:r>
                    <w:rPr>
                      <w:color w:val="auto"/>
                      <w:szCs w:val="21"/>
                    </w:rPr>
                    <w:t>5</w:t>
                  </w:r>
                </w:p>
              </w:tc>
              <w:tc>
                <w:tcPr>
                  <w:tcW w:w="2115" w:type="dxa"/>
                  <w:vMerge w:val="restart"/>
                  <w:tcBorders>
                    <w:tl2br w:val="nil"/>
                    <w:tr2bl w:val="nil"/>
                  </w:tcBorders>
                  <w:vAlign w:val="center"/>
                </w:tcPr>
                <w:p>
                  <w:pPr>
                    <w:spacing w:line="288" w:lineRule="auto"/>
                    <w:jc w:val="center"/>
                    <w:rPr>
                      <w:color w:val="auto"/>
                      <w:szCs w:val="21"/>
                    </w:rPr>
                  </w:pPr>
                  <w:r>
                    <w:rPr>
                      <w:color w:val="auto"/>
                      <w:szCs w:val="21"/>
                    </w:rPr>
                    <w:t>颗粒物（PM</w:t>
                  </w:r>
                  <w:r>
                    <w:rPr>
                      <w:color w:val="auto"/>
                      <w:szCs w:val="21"/>
                      <w:vertAlign w:val="subscript"/>
                    </w:rPr>
                    <w:t>10</w:t>
                  </w:r>
                  <w:r>
                    <w:rPr>
                      <w:color w:val="auto"/>
                      <w:szCs w:val="21"/>
                    </w:rPr>
                    <w:t>）</w:t>
                  </w:r>
                </w:p>
              </w:tc>
              <w:tc>
                <w:tcPr>
                  <w:tcW w:w="2130" w:type="dxa"/>
                  <w:tcBorders>
                    <w:tl2br w:val="nil"/>
                    <w:tr2bl w:val="nil"/>
                  </w:tcBorders>
                  <w:vAlign w:val="center"/>
                </w:tcPr>
                <w:p>
                  <w:pPr>
                    <w:spacing w:line="288" w:lineRule="auto"/>
                    <w:jc w:val="center"/>
                    <w:rPr>
                      <w:rFonts w:eastAsia="Times New Roman"/>
                      <w:color w:val="auto"/>
                      <w:szCs w:val="21"/>
                    </w:rPr>
                  </w:pPr>
                  <w:r>
                    <w:rPr>
                      <w:rFonts w:eastAsia="Times New Roman"/>
                      <w:color w:val="auto"/>
                      <w:szCs w:val="21"/>
                    </w:rPr>
                    <w:t>年平均值</w:t>
                  </w:r>
                </w:p>
              </w:tc>
              <w:tc>
                <w:tcPr>
                  <w:tcW w:w="1500" w:type="dxa"/>
                  <w:tcBorders>
                    <w:tl2br w:val="nil"/>
                    <w:tr2bl w:val="nil"/>
                  </w:tcBorders>
                  <w:vAlign w:val="center"/>
                </w:tcPr>
                <w:p>
                  <w:pPr>
                    <w:spacing w:line="288" w:lineRule="auto"/>
                    <w:jc w:val="center"/>
                    <w:rPr>
                      <w:color w:val="auto"/>
                      <w:szCs w:val="21"/>
                    </w:rPr>
                  </w:pPr>
                  <w:r>
                    <w:rPr>
                      <w:color w:val="auto"/>
                      <w:szCs w:val="21"/>
                    </w:rPr>
                    <w:t>70</w:t>
                  </w:r>
                </w:p>
              </w:tc>
              <w:tc>
                <w:tcPr>
                  <w:tcW w:w="1640" w:type="dxa"/>
                  <w:tcBorders>
                    <w:tl2br w:val="nil"/>
                    <w:tr2bl w:val="nil"/>
                  </w:tcBorders>
                  <w:vAlign w:val="center"/>
                </w:tcPr>
                <w:p>
                  <w:pPr>
                    <w:spacing w:line="288" w:lineRule="auto"/>
                    <w:jc w:val="center"/>
                    <w:rPr>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288" w:lineRule="auto"/>
                    <w:jc w:val="center"/>
                    <w:rPr>
                      <w:color w:val="auto"/>
                      <w:szCs w:val="21"/>
                    </w:rPr>
                  </w:pPr>
                </w:p>
              </w:tc>
              <w:tc>
                <w:tcPr>
                  <w:tcW w:w="2130" w:type="dxa"/>
                  <w:tcBorders>
                    <w:tl2br w:val="nil"/>
                    <w:tr2bl w:val="nil"/>
                  </w:tcBorders>
                  <w:vAlign w:val="center"/>
                </w:tcPr>
                <w:p>
                  <w:pPr>
                    <w:spacing w:line="288" w:lineRule="auto"/>
                    <w:jc w:val="center"/>
                    <w:rPr>
                      <w:rFonts w:eastAsia="Times New Roman"/>
                      <w:color w:val="auto"/>
                      <w:szCs w:val="21"/>
                    </w:rPr>
                  </w:pPr>
                  <w:r>
                    <w:rPr>
                      <w:rFonts w:eastAsia="Times New Roman"/>
                      <w:color w:val="auto"/>
                      <w:szCs w:val="21"/>
                    </w:rPr>
                    <w:t>日平均值</w:t>
                  </w:r>
                </w:p>
              </w:tc>
              <w:tc>
                <w:tcPr>
                  <w:tcW w:w="1500" w:type="dxa"/>
                  <w:tcBorders>
                    <w:tl2br w:val="nil"/>
                    <w:tr2bl w:val="nil"/>
                  </w:tcBorders>
                  <w:vAlign w:val="center"/>
                </w:tcPr>
                <w:p>
                  <w:pPr>
                    <w:spacing w:line="288" w:lineRule="auto"/>
                    <w:jc w:val="center"/>
                    <w:rPr>
                      <w:color w:val="auto"/>
                      <w:szCs w:val="21"/>
                    </w:rPr>
                  </w:pPr>
                  <w:r>
                    <w:rPr>
                      <w:color w:val="auto"/>
                      <w:szCs w:val="21"/>
                    </w:rPr>
                    <w:t>150</w:t>
                  </w:r>
                </w:p>
              </w:tc>
              <w:tc>
                <w:tcPr>
                  <w:tcW w:w="1640" w:type="dxa"/>
                  <w:tcBorders>
                    <w:tl2br w:val="nil"/>
                    <w:tr2bl w:val="nil"/>
                  </w:tcBorders>
                  <w:vAlign w:val="center"/>
                </w:tcPr>
                <w:p>
                  <w:pPr>
                    <w:spacing w:line="288" w:lineRule="auto"/>
                    <w:jc w:val="center"/>
                    <w:rPr>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15" w:type="dxa"/>
                  <w:vMerge w:val="restart"/>
                  <w:tcBorders>
                    <w:tl2br w:val="nil"/>
                    <w:tr2bl w:val="nil"/>
                  </w:tcBorders>
                  <w:vAlign w:val="center"/>
                </w:tcPr>
                <w:p>
                  <w:pPr>
                    <w:spacing w:line="288" w:lineRule="auto"/>
                    <w:jc w:val="center"/>
                    <w:rPr>
                      <w:color w:val="auto"/>
                      <w:szCs w:val="21"/>
                    </w:rPr>
                  </w:pPr>
                  <w:r>
                    <w:rPr>
                      <w:rFonts w:hint="eastAsia"/>
                      <w:color w:val="auto"/>
                      <w:szCs w:val="21"/>
                    </w:rPr>
                    <w:t>6</w:t>
                  </w:r>
                </w:p>
              </w:tc>
              <w:tc>
                <w:tcPr>
                  <w:tcW w:w="2115" w:type="dxa"/>
                  <w:vMerge w:val="restart"/>
                  <w:tcBorders>
                    <w:tl2br w:val="nil"/>
                    <w:tr2bl w:val="nil"/>
                  </w:tcBorders>
                  <w:vAlign w:val="center"/>
                </w:tcPr>
                <w:p>
                  <w:pPr>
                    <w:spacing w:line="360" w:lineRule="auto"/>
                    <w:jc w:val="center"/>
                    <w:rPr>
                      <w:color w:val="auto"/>
                      <w:szCs w:val="21"/>
                    </w:rPr>
                  </w:pPr>
                  <w:r>
                    <w:rPr>
                      <w:color w:val="auto"/>
                      <w:szCs w:val="21"/>
                    </w:rPr>
                    <w:t>颗粒物（PM</w:t>
                  </w:r>
                  <w:r>
                    <w:rPr>
                      <w:rFonts w:hint="eastAsia"/>
                      <w:color w:val="auto"/>
                      <w:szCs w:val="21"/>
                      <w:vertAlign w:val="subscript"/>
                    </w:rPr>
                    <w:t>2.5</w:t>
                  </w:r>
                  <w:r>
                    <w:rPr>
                      <w:color w:val="auto"/>
                      <w:szCs w:val="21"/>
                    </w:rPr>
                    <w:t>）</w:t>
                  </w:r>
                </w:p>
              </w:tc>
              <w:tc>
                <w:tcPr>
                  <w:tcW w:w="2130" w:type="dxa"/>
                  <w:tcBorders>
                    <w:tl2br w:val="nil"/>
                    <w:tr2bl w:val="nil"/>
                  </w:tcBorders>
                  <w:vAlign w:val="center"/>
                </w:tcPr>
                <w:p>
                  <w:pPr>
                    <w:spacing w:line="288" w:lineRule="auto"/>
                    <w:jc w:val="center"/>
                    <w:rPr>
                      <w:color w:val="auto"/>
                      <w:szCs w:val="21"/>
                    </w:rPr>
                  </w:pPr>
                  <w:r>
                    <w:rPr>
                      <w:color w:val="auto"/>
                      <w:szCs w:val="21"/>
                    </w:rPr>
                    <w:t>年平均值</w:t>
                  </w:r>
                </w:p>
              </w:tc>
              <w:tc>
                <w:tcPr>
                  <w:tcW w:w="1500" w:type="dxa"/>
                  <w:tcBorders>
                    <w:tl2br w:val="nil"/>
                    <w:tr2bl w:val="nil"/>
                  </w:tcBorders>
                  <w:vAlign w:val="center"/>
                </w:tcPr>
                <w:p>
                  <w:pPr>
                    <w:spacing w:line="288" w:lineRule="auto"/>
                    <w:jc w:val="center"/>
                    <w:rPr>
                      <w:color w:val="auto"/>
                      <w:szCs w:val="21"/>
                    </w:rPr>
                  </w:pPr>
                  <w:r>
                    <w:rPr>
                      <w:rFonts w:hint="eastAsia"/>
                      <w:color w:val="auto"/>
                      <w:szCs w:val="21"/>
                    </w:rPr>
                    <w:t>35</w:t>
                  </w:r>
                </w:p>
              </w:tc>
              <w:tc>
                <w:tcPr>
                  <w:tcW w:w="1640" w:type="dxa"/>
                  <w:tcBorders>
                    <w:tl2br w:val="nil"/>
                    <w:tr2bl w:val="nil"/>
                  </w:tcBorders>
                  <w:vAlign w:val="center"/>
                </w:tcPr>
                <w:p>
                  <w:pPr>
                    <w:spacing w:line="288" w:lineRule="auto"/>
                    <w:jc w:val="center"/>
                    <w:rPr>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360" w:lineRule="auto"/>
                    <w:jc w:val="center"/>
                    <w:rPr>
                      <w:color w:val="auto"/>
                      <w:szCs w:val="21"/>
                    </w:rPr>
                  </w:pPr>
                </w:p>
              </w:tc>
              <w:tc>
                <w:tcPr>
                  <w:tcW w:w="2130" w:type="dxa"/>
                  <w:tcBorders>
                    <w:tl2br w:val="nil"/>
                    <w:tr2bl w:val="nil"/>
                  </w:tcBorders>
                  <w:vAlign w:val="center"/>
                </w:tcPr>
                <w:p>
                  <w:pPr>
                    <w:spacing w:line="288" w:lineRule="auto"/>
                    <w:jc w:val="center"/>
                    <w:rPr>
                      <w:color w:val="auto"/>
                      <w:szCs w:val="21"/>
                    </w:rPr>
                  </w:pPr>
                  <w:r>
                    <w:rPr>
                      <w:color w:val="auto"/>
                      <w:szCs w:val="21"/>
                    </w:rPr>
                    <w:t>日平均值</w:t>
                  </w:r>
                </w:p>
              </w:tc>
              <w:tc>
                <w:tcPr>
                  <w:tcW w:w="1500" w:type="dxa"/>
                  <w:tcBorders>
                    <w:tl2br w:val="nil"/>
                    <w:tr2bl w:val="nil"/>
                  </w:tcBorders>
                  <w:vAlign w:val="center"/>
                </w:tcPr>
                <w:p>
                  <w:pPr>
                    <w:spacing w:line="288" w:lineRule="auto"/>
                    <w:jc w:val="center"/>
                    <w:rPr>
                      <w:color w:val="auto"/>
                      <w:szCs w:val="21"/>
                    </w:rPr>
                  </w:pPr>
                  <w:r>
                    <w:rPr>
                      <w:rFonts w:hint="eastAsia"/>
                      <w:color w:val="auto"/>
                      <w:szCs w:val="21"/>
                    </w:rPr>
                    <w:t>75</w:t>
                  </w:r>
                </w:p>
              </w:tc>
              <w:tc>
                <w:tcPr>
                  <w:tcW w:w="1640" w:type="dxa"/>
                  <w:tcBorders>
                    <w:tl2br w:val="nil"/>
                    <w:tr2bl w:val="nil"/>
                  </w:tcBorders>
                  <w:vAlign w:val="center"/>
                </w:tcPr>
                <w:p>
                  <w:pPr>
                    <w:spacing w:line="288" w:lineRule="auto"/>
                    <w:jc w:val="center"/>
                    <w:rPr>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vAlign w:val="center"/>
                </w:tcPr>
                <w:p>
                  <w:pPr>
                    <w:spacing w:line="288" w:lineRule="auto"/>
                    <w:jc w:val="center"/>
                    <w:rPr>
                      <w:color w:val="auto"/>
                      <w:szCs w:val="21"/>
                    </w:rPr>
                  </w:pPr>
                  <w:r>
                    <w:rPr>
                      <w:rFonts w:hint="eastAsia"/>
                      <w:color w:val="auto"/>
                      <w:szCs w:val="21"/>
                    </w:rPr>
                    <w:t>7</w:t>
                  </w:r>
                </w:p>
              </w:tc>
              <w:tc>
                <w:tcPr>
                  <w:tcW w:w="2115" w:type="dxa"/>
                  <w:vMerge w:val="restart"/>
                  <w:tcBorders>
                    <w:tl2br w:val="nil"/>
                    <w:tr2bl w:val="nil"/>
                  </w:tcBorders>
                  <w:vAlign w:val="center"/>
                </w:tcPr>
                <w:p>
                  <w:pPr>
                    <w:spacing w:line="360" w:lineRule="auto"/>
                    <w:jc w:val="center"/>
                    <w:rPr>
                      <w:rFonts w:hint="eastAsia" w:eastAsia="宋体"/>
                      <w:color w:val="auto"/>
                      <w:szCs w:val="21"/>
                      <w:lang w:eastAsia="zh-CN"/>
                    </w:rPr>
                  </w:pPr>
                  <w:r>
                    <w:rPr>
                      <w:rFonts w:hint="eastAsia"/>
                      <w:color w:val="auto"/>
                      <w:szCs w:val="21"/>
                    </w:rPr>
                    <w:t>TSP</w:t>
                  </w:r>
                  <w:r>
                    <w:rPr>
                      <w:rFonts w:hint="eastAsia"/>
                      <w:color w:val="auto"/>
                      <w:szCs w:val="21"/>
                      <w:lang w:eastAsia="zh-CN"/>
                    </w:rPr>
                    <w:t>（总悬浮颗粒物）</w:t>
                  </w:r>
                </w:p>
              </w:tc>
              <w:tc>
                <w:tcPr>
                  <w:tcW w:w="2130" w:type="dxa"/>
                  <w:tcBorders>
                    <w:tl2br w:val="nil"/>
                    <w:tr2bl w:val="nil"/>
                  </w:tcBorders>
                  <w:vAlign w:val="center"/>
                </w:tcPr>
                <w:p>
                  <w:pPr>
                    <w:spacing w:line="288" w:lineRule="auto"/>
                    <w:jc w:val="center"/>
                    <w:rPr>
                      <w:color w:val="auto"/>
                      <w:szCs w:val="21"/>
                    </w:rPr>
                  </w:pPr>
                  <w:r>
                    <w:rPr>
                      <w:color w:val="auto"/>
                      <w:szCs w:val="21"/>
                    </w:rPr>
                    <w:t>年平均值</w:t>
                  </w:r>
                </w:p>
              </w:tc>
              <w:tc>
                <w:tcPr>
                  <w:tcW w:w="1500" w:type="dxa"/>
                  <w:tcBorders>
                    <w:tl2br w:val="nil"/>
                    <w:tr2bl w:val="nil"/>
                  </w:tcBorders>
                  <w:vAlign w:val="center"/>
                </w:tcPr>
                <w:p>
                  <w:pPr>
                    <w:spacing w:line="288" w:lineRule="auto"/>
                    <w:jc w:val="center"/>
                    <w:rPr>
                      <w:color w:val="auto"/>
                      <w:szCs w:val="21"/>
                    </w:rPr>
                  </w:pPr>
                  <w:r>
                    <w:rPr>
                      <w:rFonts w:hint="eastAsia"/>
                      <w:color w:val="auto"/>
                      <w:szCs w:val="21"/>
                    </w:rPr>
                    <w:t>200</w:t>
                  </w:r>
                </w:p>
              </w:tc>
              <w:tc>
                <w:tcPr>
                  <w:tcW w:w="1640" w:type="dxa"/>
                  <w:tcBorders>
                    <w:tl2br w:val="nil"/>
                    <w:tr2bl w:val="nil"/>
                  </w:tcBorders>
                  <w:vAlign w:val="center"/>
                </w:tcPr>
                <w:p>
                  <w:pPr>
                    <w:spacing w:line="288" w:lineRule="auto"/>
                    <w:jc w:val="center"/>
                    <w:rPr>
                      <w:bCs/>
                      <w:color w:val="auto"/>
                      <w:szCs w:val="21"/>
                    </w:rPr>
                  </w:pPr>
                  <w:r>
                    <w:rPr>
                      <w:bCs/>
                      <w:color w:val="auto"/>
                      <w:szCs w:val="21"/>
                    </w:rPr>
                    <w:t>μg/m</w:t>
                  </w:r>
                  <w:r>
                    <w:rPr>
                      <w:bCs/>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vAlign w:val="center"/>
                </w:tcPr>
                <w:p>
                  <w:pPr>
                    <w:spacing w:line="288" w:lineRule="auto"/>
                    <w:jc w:val="center"/>
                    <w:rPr>
                      <w:color w:val="auto"/>
                      <w:szCs w:val="21"/>
                    </w:rPr>
                  </w:pPr>
                </w:p>
              </w:tc>
              <w:tc>
                <w:tcPr>
                  <w:tcW w:w="2115" w:type="dxa"/>
                  <w:vMerge w:val="continue"/>
                  <w:tcBorders>
                    <w:tl2br w:val="nil"/>
                    <w:tr2bl w:val="nil"/>
                  </w:tcBorders>
                  <w:vAlign w:val="center"/>
                </w:tcPr>
                <w:p>
                  <w:pPr>
                    <w:spacing w:line="360" w:lineRule="auto"/>
                    <w:jc w:val="center"/>
                    <w:rPr>
                      <w:color w:val="auto"/>
                      <w:szCs w:val="21"/>
                    </w:rPr>
                  </w:pPr>
                </w:p>
              </w:tc>
              <w:tc>
                <w:tcPr>
                  <w:tcW w:w="2130" w:type="dxa"/>
                  <w:tcBorders>
                    <w:tl2br w:val="nil"/>
                    <w:tr2bl w:val="nil"/>
                  </w:tcBorders>
                  <w:vAlign w:val="center"/>
                </w:tcPr>
                <w:p>
                  <w:pPr>
                    <w:spacing w:line="288" w:lineRule="auto"/>
                    <w:jc w:val="center"/>
                    <w:rPr>
                      <w:color w:val="auto"/>
                      <w:szCs w:val="21"/>
                    </w:rPr>
                  </w:pPr>
                  <w:r>
                    <w:rPr>
                      <w:color w:val="auto"/>
                      <w:szCs w:val="21"/>
                    </w:rPr>
                    <w:t>日平均值</w:t>
                  </w:r>
                </w:p>
              </w:tc>
              <w:tc>
                <w:tcPr>
                  <w:tcW w:w="1500" w:type="dxa"/>
                  <w:tcBorders>
                    <w:tl2br w:val="nil"/>
                    <w:tr2bl w:val="nil"/>
                  </w:tcBorders>
                  <w:vAlign w:val="center"/>
                </w:tcPr>
                <w:p>
                  <w:pPr>
                    <w:spacing w:line="288" w:lineRule="auto"/>
                    <w:jc w:val="center"/>
                    <w:rPr>
                      <w:color w:val="auto"/>
                      <w:szCs w:val="21"/>
                    </w:rPr>
                  </w:pPr>
                  <w:r>
                    <w:rPr>
                      <w:rFonts w:hint="eastAsia"/>
                      <w:color w:val="auto"/>
                      <w:szCs w:val="21"/>
                    </w:rPr>
                    <w:t>300</w:t>
                  </w:r>
                </w:p>
              </w:tc>
              <w:tc>
                <w:tcPr>
                  <w:tcW w:w="1640" w:type="dxa"/>
                  <w:tcBorders>
                    <w:tl2br w:val="nil"/>
                    <w:tr2bl w:val="nil"/>
                  </w:tcBorders>
                  <w:vAlign w:val="center"/>
                </w:tcPr>
                <w:p>
                  <w:pPr>
                    <w:spacing w:line="288" w:lineRule="auto"/>
                    <w:jc w:val="center"/>
                    <w:rPr>
                      <w:bCs/>
                      <w:color w:val="auto"/>
                      <w:szCs w:val="21"/>
                    </w:rPr>
                  </w:pPr>
                  <w:r>
                    <w:rPr>
                      <w:bCs/>
                      <w:color w:val="auto"/>
                      <w:szCs w:val="21"/>
                    </w:rPr>
                    <w:t>μg/m</w:t>
                  </w:r>
                  <w:r>
                    <w:rPr>
                      <w:bCs/>
                      <w:color w:val="auto"/>
                      <w:szCs w:val="21"/>
                      <w:vertAlign w:val="superscript"/>
                    </w:rPr>
                    <w:t>3</w:t>
                  </w:r>
                </w:p>
              </w:tc>
            </w:tr>
          </w:tbl>
          <w:p>
            <w:pPr>
              <w:pStyle w:val="34"/>
              <w:numPr>
                <w:ilvl w:val="0"/>
                <w:numId w:val="8"/>
              </w:numPr>
              <w:spacing w:line="360" w:lineRule="auto"/>
              <w:ind w:firstLine="0"/>
              <w:rPr>
                <w:color w:val="auto"/>
                <w:szCs w:val="24"/>
              </w:rPr>
            </w:pPr>
            <w:r>
              <w:rPr>
                <w:color w:val="auto"/>
              </w:rPr>
              <w:t>非甲</w:t>
            </w:r>
            <w:r>
              <w:rPr>
                <w:color w:val="auto"/>
                <w:szCs w:val="24"/>
              </w:rPr>
              <w:t>烷总烃执行《大气污染物综合排放标准详解》中解释标准；</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 xml:space="preserve">《大气污染物综合排放标准详解》摘录    </w:t>
            </w:r>
          </w:p>
          <w:tbl>
            <w:tblPr>
              <w:tblStyle w:val="44"/>
              <w:tblW w:w="84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3"/>
              <w:gridCol w:w="2813"/>
              <w:gridCol w:w="2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2813" w:type="dxa"/>
                  <w:vAlign w:val="center"/>
                </w:tcPr>
                <w:p>
                  <w:pPr>
                    <w:pStyle w:val="2"/>
                    <w:spacing w:line="360" w:lineRule="auto"/>
                    <w:jc w:val="center"/>
                    <w:rPr>
                      <w:rFonts w:ascii="Times New Roman" w:cs="Times New Roman"/>
                      <w:b/>
                      <w:bCs/>
                      <w:color w:val="auto"/>
                      <w:sz w:val="21"/>
                      <w:szCs w:val="21"/>
                    </w:rPr>
                  </w:pPr>
                  <w:r>
                    <w:rPr>
                      <w:rFonts w:ascii="Times New Roman" w:cs="Times New Roman"/>
                      <w:b/>
                      <w:bCs/>
                      <w:color w:val="auto"/>
                      <w:sz w:val="21"/>
                      <w:szCs w:val="21"/>
                    </w:rPr>
                    <w:t>类别</w:t>
                  </w:r>
                </w:p>
              </w:tc>
              <w:tc>
                <w:tcPr>
                  <w:tcW w:w="2813" w:type="dxa"/>
                  <w:vAlign w:val="center"/>
                </w:tcPr>
                <w:p>
                  <w:pPr>
                    <w:pStyle w:val="2"/>
                    <w:spacing w:line="360" w:lineRule="auto"/>
                    <w:jc w:val="center"/>
                    <w:rPr>
                      <w:rFonts w:ascii="Times New Roman" w:cs="Times New Roman"/>
                      <w:b/>
                      <w:bCs/>
                      <w:color w:val="auto"/>
                      <w:sz w:val="21"/>
                      <w:szCs w:val="21"/>
                    </w:rPr>
                  </w:pPr>
                  <w:r>
                    <w:rPr>
                      <w:rFonts w:ascii="Times New Roman" w:cs="Times New Roman"/>
                      <w:b/>
                      <w:bCs/>
                      <w:color w:val="auto"/>
                      <w:sz w:val="21"/>
                      <w:szCs w:val="21"/>
                    </w:rPr>
                    <w:t>浓度标准（mg/m³）</w:t>
                  </w:r>
                </w:p>
              </w:tc>
              <w:tc>
                <w:tcPr>
                  <w:tcW w:w="2814" w:type="dxa"/>
                  <w:vAlign w:val="center"/>
                </w:tcPr>
                <w:p>
                  <w:pPr>
                    <w:pStyle w:val="2"/>
                    <w:spacing w:line="360" w:lineRule="auto"/>
                    <w:jc w:val="center"/>
                    <w:rPr>
                      <w:rFonts w:ascii="Times New Roman" w:cs="Times New Roman"/>
                      <w:b/>
                      <w:bCs/>
                      <w:color w:val="auto"/>
                      <w:sz w:val="21"/>
                      <w:szCs w:val="21"/>
                    </w:rPr>
                  </w:pPr>
                  <w:r>
                    <w:rPr>
                      <w:rFonts w:ascii="Times New Roman" w:cs="Times New Roman"/>
                      <w:b/>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13"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非甲烷总烃</w:t>
                  </w:r>
                </w:p>
              </w:tc>
              <w:tc>
                <w:tcPr>
                  <w:tcW w:w="2813"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2.0</w:t>
                  </w:r>
                </w:p>
              </w:tc>
              <w:tc>
                <w:tcPr>
                  <w:tcW w:w="2814"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w:t>
                  </w:r>
                </w:p>
              </w:tc>
            </w:tr>
          </w:tbl>
          <w:p>
            <w:pPr>
              <w:pStyle w:val="34"/>
              <w:numPr>
                <w:ilvl w:val="0"/>
                <w:numId w:val="8"/>
              </w:numPr>
              <w:spacing w:line="360" w:lineRule="auto"/>
              <w:ind w:firstLine="0"/>
              <w:rPr>
                <w:color w:val="auto"/>
                <w:szCs w:val="24"/>
              </w:rPr>
            </w:pPr>
            <w:r>
              <w:rPr>
                <w:color w:val="auto"/>
              </w:rPr>
              <w:t>《</w:t>
            </w:r>
            <w:r>
              <w:rPr>
                <w:rFonts w:hint="eastAsia"/>
                <w:color w:val="auto"/>
              </w:rPr>
              <w:t>声环境质量标准</w:t>
            </w:r>
            <w:r>
              <w:rPr>
                <w:color w:val="auto"/>
              </w:rPr>
              <w:t>》(GB309</w:t>
            </w:r>
            <w:r>
              <w:rPr>
                <w:rFonts w:hint="eastAsia"/>
                <w:color w:val="auto"/>
              </w:rPr>
              <w:t>6-2008</w:t>
            </w:r>
            <w:r>
              <w:rPr>
                <w:color w:val="auto"/>
              </w:rPr>
              <w:t>)</w:t>
            </w:r>
            <w:r>
              <w:rPr>
                <w:rFonts w:hint="eastAsia"/>
                <w:color w:val="auto"/>
              </w:rPr>
              <w:t xml:space="preserve"> 2类</w:t>
            </w:r>
            <w:r>
              <w:rPr>
                <w:color w:val="auto"/>
                <w:sz w:val="24"/>
                <w:highlight w:val="none"/>
              </w:rPr>
              <w:t>和4a类</w:t>
            </w:r>
            <w:r>
              <w:rPr>
                <w:color w:val="auto"/>
              </w:rPr>
              <w:t>标准</w:t>
            </w:r>
            <w:r>
              <w:rPr>
                <w:rFonts w:hint="eastAsia"/>
                <w:color w:val="auto"/>
                <w:szCs w:val="24"/>
              </w:rPr>
              <w:t>；</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项目所在区域环境噪声标准限值    单位：dB（A）</w:t>
            </w:r>
          </w:p>
          <w:tbl>
            <w:tblPr>
              <w:tblStyle w:val="44"/>
              <w:tblW w:w="858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643"/>
              <w:gridCol w:w="1939"/>
              <w:gridCol w:w="200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643" w:type="dxa"/>
                  <w:vAlign w:val="center"/>
                </w:tcPr>
                <w:p>
                  <w:pPr>
                    <w:adjustRightInd w:val="0"/>
                    <w:snapToGrid w:val="0"/>
                    <w:spacing w:line="360" w:lineRule="auto"/>
                    <w:jc w:val="center"/>
                    <w:rPr>
                      <w:b/>
                      <w:color w:val="auto"/>
                      <w:szCs w:val="21"/>
                    </w:rPr>
                  </w:pPr>
                  <w:r>
                    <w:rPr>
                      <w:rFonts w:hAnsi="宋体"/>
                      <w:b/>
                      <w:color w:val="auto"/>
                      <w:szCs w:val="21"/>
                    </w:rPr>
                    <w:t>类</w:t>
                  </w:r>
                  <w:r>
                    <w:rPr>
                      <w:b/>
                      <w:color w:val="auto"/>
                      <w:szCs w:val="21"/>
                    </w:rPr>
                    <w:t xml:space="preserve">  </w:t>
                  </w:r>
                  <w:r>
                    <w:rPr>
                      <w:rFonts w:hAnsi="宋体"/>
                      <w:b/>
                      <w:color w:val="auto"/>
                      <w:szCs w:val="21"/>
                    </w:rPr>
                    <w:t>别</w:t>
                  </w:r>
                </w:p>
              </w:tc>
              <w:tc>
                <w:tcPr>
                  <w:tcW w:w="1939" w:type="dxa"/>
                  <w:vAlign w:val="center"/>
                </w:tcPr>
                <w:p>
                  <w:pPr>
                    <w:adjustRightInd w:val="0"/>
                    <w:snapToGrid w:val="0"/>
                    <w:spacing w:line="360" w:lineRule="auto"/>
                    <w:jc w:val="center"/>
                    <w:rPr>
                      <w:b/>
                      <w:color w:val="auto"/>
                      <w:szCs w:val="21"/>
                    </w:rPr>
                  </w:pPr>
                  <w:r>
                    <w:rPr>
                      <w:rFonts w:hAnsi="宋体"/>
                      <w:b/>
                      <w:color w:val="auto"/>
                      <w:szCs w:val="21"/>
                    </w:rPr>
                    <w:t>昼</w:t>
                  </w:r>
                  <w:r>
                    <w:rPr>
                      <w:b/>
                      <w:color w:val="auto"/>
                      <w:szCs w:val="21"/>
                    </w:rPr>
                    <w:t xml:space="preserve">  </w:t>
                  </w:r>
                  <w:r>
                    <w:rPr>
                      <w:rFonts w:hAnsi="宋体"/>
                      <w:b/>
                      <w:color w:val="auto"/>
                      <w:szCs w:val="21"/>
                    </w:rPr>
                    <w:t>间</w:t>
                  </w:r>
                </w:p>
              </w:tc>
              <w:tc>
                <w:tcPr>
                  <w:tcW w:w="2002" w:type="dxa"/>
                  <w:vAlign w:val="center"/>
                </w:tcPr>
                <w:p>
                  <w:pPr>
                    <w:adjustRightInd w:val="0"/>
                    <w:snapToGrid w:val="0"/>
                    <w:spacing w:line="360" w:lineRule="auto"/>
                    <w:jc w:val="center"/>
                    <w:rPr>
                      <w:b/>
                      <w:color w:val="auto"/>
                      <w:szCs w:val="21"/>
                    </w:rPr>
                  </w:pPr>
                  <w:r>
                    <w:rPr>
                      <w:rFonts w:hAnsi="宋体"/>
                      <w:b/>
                      <w:color w:val="auto"/>
                      <w:szCs w:val="21"/>
                    </w:rPr>
                    <w:t>夜</w:t>
                  </w:r>
                  <w:r>
                    <w:rPr>
                      <w:b/>
                      <w:color w:val="auto"/>
                      <w:szCs w:val="21"/>
                    </w:rPr>
                    <w:t xml:space="preserve">  </w:t>
                  </w:r>
                  <w:r>
                    <w:rPr>
                      <w:rFonts w:hAnsi="宋体"/>
                      <w:b/>
                      <w:color w:val="auto"/>
                      <w:szCs w:val="21"/>
                    </w:rPr>
                    <w:t>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643" w:type="dxa"/>
                  <w:vAlign w:val="center"/>
                </w:tcPr>
                <w:p>
                  <w:pPr>
                    <w:adjustRightInd w:val="0"/>
                    <w:snapToGrid w:val="0"/>
                    <w:jc w:val="center"/>
                    <w:rPr>
                      <w:b/>
                      <w:color w:val="auto"/>
                      <w:szCs w:val="21"/>
                    </w:rPr>
                  </w:pPr>
                  <w:r>
                    <w:rPr>
                      <w:rFonts w:hAnsi="宋体"/>
                      <w:b/>
                      <w:color w:val="auto"/>
                      <w:szCs w:val="21"/>
                    </w:rPr>
                    <w:t>《声环境质量标准》</w:t>
                  </w:r>
                  <w:r>
                    <w:rPr>
                      <w:rFonts w:hint="eastAsia"/>
                      <w:b/>
                      <w:color w:val="auto"/>
                      <w:szCs w:val="21"/>
                    </w:rPr>
                    <w:t>2</w:t>
                  </w:r>
                  <w:r>
                    <w:rPr>
                      <w:rFonts w:hAnsi="宋体"/>
                      <w:b/>
                      <w:color w:val="auto"/>
                      <w:szCs w:val="21"/>
                    </w:rPr>
                    <w:t>类</w:t>
                  </w:r>
                </w:p>
              </w:tc>
              <w:tc>
                <w:tcPr>
                  <w:tcW w:w="1939" w:type="dxa"/>
                  <w:vAlign w:val="center"/>
                </w:tcPr>
                <w:p>
                  <w:pPr>
                    <w:adjustRightInd w:val="0"/>
                    <w:snapToGrid w:val="0"/>
                    <w:jc w:val="center"/>
                    <w:rPr>
                      <w:color w:val="auto"/>
                      <w:szCs w:val="21"/>
                    </w:rPr>
                  </w:pPr>
                  <w:r>
                    <w:rPr>
                      <w:color w:val="auto"/>
                      <w:szCs w:val="21"/>
                    </w:rPr>
                    <w:t>6</w:t>
                  </w:r>
                  <w:r>
                    <w:rPr>
                      <w:rFonts w:hint="eastAsia"/>
                      <w:color w:val="auto"/>
                      <w:szCs w:val="21"/>
                    </w:rPr>
                    <w:t>0</w:t>
                  </w:r>
                </w:p>
              </w:tc>
              <w:tc>
                <w:tcPr>
                  <w:tcW w:w="2002" w:type="dxa"/>
                  <w:vAlign w:val="center"/>
                </w:tcPr>
                <w:p>
                  <w:pPr>
                    <w:adjustRightInd w:val="0"/>
                    <w:snapToGrid w:val="0"/>
                    <w:jc w:val="center"/>
                    <w:rPr>
                      <w:color w:val="auto"/>
                      <w:szCs w:val="21"/>
                    </w:rPr>
                  </w:pPr>
                  <w:r>
                    <w:rPr>
                      <w:color w:val="auto"/>
                      <w:szCs w:val="21"/>
                    </w:rPr>
                    <w:t>5</w:t>
                  </w:r>
                  <w:r>
                    <w:rPr>
                      <w:rFonts w:hint="eastAsia"/>
                      <w:color w:val="auto"/>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643" w:type="dxa"/>
                  <w:vAlign w:val="center"/>
                </w:tcPr>
                <w:p>
                  <w:pPr>
                    <w:adjustRightInd w:val="0"/>
                    <w:snapToGrid w:val="0"/>
                    <w:jc w:val="center"/>
                    <w:rPr>
                      <w:rFonts w:hAnsi="宋体"/>
                      <w:b/>
                      <w:color w:val="auto"/>
                      <w:szCs w:val="21"/>
                    </w:rPr>
                  </w:pPr>
                  <w:r>
                    <w:rPr>
                      <w:b/>
                      <w:color w:val="auto"/>
                      <w:szCs w:val="21"/>
                      <w:highlight w:val="none"/>
                    </w:rPr>
                    <w:t>《声环境质量标准》</w:t>
                  </w:r>
                  <w:r>
                    <w:rPr>
                      <w:rFonts w:hint="eastAsia"/>
                      <w:b/>
                      <w:color w:val="auto"/>
                      <w:szCs w:val="21"/>
                      <w:highlight w:val="none"/>
                    </w:rPr>
                    <w:t>4a</w:t>
                  </w:r>
                  <w:r>
                    <w:rPr>
                      <w:b/>
                      <w:color w:val="auto"/>
                      <w:szCs w:val="21"/>
                      <w:highlight w:val="none"/>
                    </w:rPr>
                    <w:t>类</w:t>
                  </w:r>
                </w:p>
              </w:tc>
              <w:tc>
                <w:tcPr>
                  <w:tcW w:w="1939" w:type="dxa"/>
                  <w:vAlign w:val="center"/>
                </w:tcPr>
                <w:p>
                  <w:pPr>
                    <w:adjustRightInd w:val="0"/>
                    <w:snapToGrid w:val="0"/>
                    <w:jc w:val="center"/>
                    <w:rPr>
                      <w:color w:val="auto"/>
                      <w:szCs w:val="21"/>
                    </w:rPr>
                  </w:pPr>
                  <w:r>
                    <w:rPr>
                      <w:rFonts w:hint="eastAsia"/>
                      <w:color w:val="auto"/>
                      <w:szCs w:val="21"/>
                      <w:highlight w:val="none"/>
                    </w:rPr>
                    <w:t>70</w:t>
                  </w:r>
                </w:p>
              </w:tc>
              <w:tc>
                <w:tcPr>
                  <w:tcW w:w="2002" w:type="dxa"/>
                  <w:vAlign w:val="center"/>
                </w:tcPr>
                <w:p>
                  <w:pPr>
                    <w:adjustRightInd w:val="0"/>
                    <w:snapToGrid w:val="0"/>
                    <w:jc w:val="center"/>
                    <w:rPr>
                      <w:color w:val="auto"/>
                      <w:szCs w:val="21"/>
                    </w:rPr>
                  </w:pPr>
                  <w:r>
                    <w:rPr>
                      <w:rFonts w:hint="eastAsia"/>
                      <w:color w:val="auto"/>
                      <w:szCs w:val="21"/>
                      <w:highlight w:val="none"/>
                    </w:rPr>
                    <w:t>55</w:t>
                  </w:r>
                </w:p>
              </w:tc>
            </w:tr>
          </w:tbl>
          <w:p>
            <w:pPr>
              <w:pStyle w:val="34"/>
              <w:spacing w:line="360" w:lineRule="auto"/>
              <w:ind w:firstLine="0"/>
              <w:rPr>
                <w:color w:va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925" w:hRule="atLeast"/>
        </w:trPr>
        <w:tc>
          <w:tcPr>
            <w:tcW w:w="813" w:type="dxa"/>
            <w:vAlign w:val="center"/>
          </w:tcPr>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污</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染</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物</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排</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放</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标</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准</w:t>
            </w:r>
          </w:p>
        </w:tc>
        <w:tc>
          <w:tcPr>
            <w:tcW w:w="8715" w:type="dxa"/>
            <w:vAlign w:val="center"/>
          </w:tcPr>
          <w:p>
            <w:pPr>
              <w:numPr>
                <w:ilvl w:val="0"/>
                <w:numId w:val="9"/>
              </w:numPr>
              <w:spacing w:line="312" w:lineRule="auto"/>
              <w:rPr>
                <w:color w:val="auto"/>
                <w:sz w:val="24"/>
              </w:rPr>
            </w:pPr>
            <w:r>
              <w:rPr>
                <w:rFonts w:hint="eastAsia"/>
                <w:color w:val="auto"/>
                <w:sz w:val="24"/>
              </w:rPr>
              <w:t>生活污水</w:t>
            </w:r>
            <w:r>
              <w:rPr>
                <w:color w:val="auto"/>
                <w:sz w:val="24"/>
              </w:rPr>
              <w:t>排入市政污水管网执行</w:t>
            </w:r>
            <w:r>
              <w:rPr>
                <w:rFonts w:hint="eastAsia"/>
                <w:color w:val="auto"/>
                <w:sz w:val="24"/>
              </w:rPr>
              <w:t>广东省地方标准《水污染物排放限值》</w:t>
            </w:r>
            <w:r>
              <w:rPr>
                <w:color w:val="auto"/>
                <w:sz w:val="24"/>
              </w:rPr>
              <w:t>（DB44/26-2001）第二时段三级标准</w:t>
            </w:r>
            <w:r>
              <w:rPr>
                <w:rFonts w:hint="eastAsia"/>
                <w:color w:val="auto"/>
                <w:sz w:val="24"/>
              </w:rPr>
              <w:t>和《污水排入城镇下水道水质标准》（CJ343-2010）较严者</w:t>
            </w:r>
            <w:r>
              <w:rPr>
                <w:color w:val="auto"/>
                <w:sz w:val="24"/>
              </w:rPr>
              <w:t>，进</w:t>
            </w:r>
            <w:r>
              <w:rPr>
                <w:rFonts w:hint="eastAsia"/>
                <w:color w:val="auto"/>
                <w:sz w:val="24"/>
              </w:rPr>
              <w:t>开平市水口</w:t>
            </w:r>
            <w:r>
              <w:rPr>
                <w:color w:val="auto"/>
                <w:sz w:val="24"/>
              </w:rPr>
              <w:t>污水处理厂后达到</w:t>
            </w:r>
            <w:r>
              <w:rPr>
                <w:rFonts w:hint="eastAsia"/>
                <w:color w:val="auto"/>
                <w:sz w:val="24"/>
              </w:rPr>
              <w:t>《城镇污水处理厂污染物排放标准》（GB18918-2002）中一级A 标准及广东省地方标准《水污染物排放限值》（DB44/26-2001）第二时段一级标准的较严值后排放；</w:t>
            </w:r>
          </w:p>
          <w:p>
            <w:pPr>
              <w:pStyle w:val="138"/>
              <w:numPr>
                <w:ilvl w:val="0"/>
                <w:numId w:val="5"/>
              </w:numPr>
              <w:tabs>
                <w:tab w:val="left" w:pos="420"/>
              </w:tabs>
              <w:adjustRightInd/>
              <w:snapToGrid/>
              <w:spacing w:line="312" w:lineRule="auto"/>
              <w:ind w:left="0" w:firstLine="471"/>
              <w:rPr>
                <w:rFonts w:eastAsia="宋体" w:cs="Times New Roman"/>
                <w:b/>
                <w:color w:val="auto"/>
                <w:sz w:val="21"/>
                <w:szCs w:val="21"/>
              </w:rPr>
            </w:pPr>
            <w:r>
              <w:rPr>
                <w:rFonts w:hint="eastAsia" w:eastAsia="宋体" w:cs="Times New Roman"/>
                <w:b/>
                <w:color w:val="auto"/>
                <w:sz w:val="21"/>
                <w:szCs w:val="21"/>
              </w:rPr>
              <w:t>生活污水排放限值 （mg/L，pH除外）</w:t>
            </w:r>
          </w:p>
          <w:tbl>
            <w:tblPr>
              <w:tblStyle w:val="44"/>
              <w:tblW w:w="8491"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4341"/>
              <w:gridCol w:w="795"/>
              <w:gridCol w:w="806"/>
              <w:gridCol w:w="936"/>
              <w:gridCol w:w="780"/>
              <w:gridCol w:w="83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4341"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rPr>
                  </w:pPr>
                  <w:r>
                    <w:rPr>
                      <w:rFonts w:hint="eastAsia"/>
                      <w:b/>
                      <w:color w:val="auto"/>
                      <w:sz w:val="21"/>
                      <w:szCs w:val="21"/>
                    </w:rPr>
                    <w:t>标准</w:t>
                  </w:r>
                </w:p>
              </w:tc>
              <w:tc>
                <w:tcPr>
                  <w:tcW w:w="795"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rPr>
                  </w:pPr>
                  <w:r>
                    <w:rPr>
                      <w:rFonts w:hint="eastAsia"/>
                      <w:b/>
                      <w:color w:val="auto"/>
                      <w:sz w:val="21"/>
                      <w:szCs w:val="21"/>
                    </w:rPr>
                    <w:t>PH</w:t>
                  </w:r>
                </w:p>
              </w:tc>
              <w:tc>
                <w:tcPr>
                  <w:tcW w:w="806" w:type="dxa"/>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rPr>
                  </w:pPr>
                  <w:r>
                    <w:rPr>
                      <w:b/>
                      <w:color w:val="auto"/>
                      <w:sz w:val="21"/>
                      <w:szCs w:val="21"/>
                    </w:rPr>
                    <w:t>COD</w:t>
                  </w:r>
                  <w:r>
                    <w:rPr>
                      <w:b/>
                      <w:color w:val="auto"/>
                      <w:sz w:val="21"/>
                      <w:szCs w:val="21"/>
                      <w:vertAlign w:val="subscript"/>
                    </w:rPr>
                    <w:t>cr</w:t>
                  </w:r>
                </w:p>
              </w:tc>
              <w:tc>
                <w:tcPr>
                  <w:tcW w:w="936" w:type="dxa"/>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rPr>
                  </w:pPr>
                  <w:r>
                    <w:rPr>
                      <w:b/>
                      <w:color w:val="auto"/>
                      <w:sz w:val="21"/>
                      <w:szCs w:val="21"/>
                    </w:rPr>
                    <w:t>BOD</w:t>
                  </w:r>
                  <w:r>
                    <w:rPr>
                      <w:b/>
                      <w:color w:val="auto"/>
                      <w:sz w:val="21"/>
                      <w:szCs w:val="21"/>
                      <w:vertAlign w:val="subscript"/>
                    </w:rPr>
                    <w:t>5</w:t>
                  </w:r>
                </w:p>
              </w:tc>
              <w:tc>
                <w:tcPr>
                  <w:tcW w:w="780" w:type="dxa"/>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rPr>
                  </w:pPr>
                  <w:r>
                    <w:rPr>
                      <w:b/>
                      <w:color w:val="auto"/>
                      <w:sz w:val="21"/>
                      <w:szCs w:val="21"/>
                    </w:rPr>
                    <w:t>SS</w:t>
                  </w:r>
                </w:p>
              </w:tc>
              <w:tc>
                <w:tcPr>
                  <w:tcW w:w="833" w:type="dxa"/>
                  <w:vAlign w:val="center"/>
                </w:tcPr>
                <w:p>
                  <w:pPr>
                    <w:pStyle w:val="150"/>
                    <w:tabs>
                      <w:tab w:val="left" w:pos="945"/>
                      <w:tab w:val="right" w:leader="dot" w:pos="1155"/>
                      <w:tab w:val="left" w:pos="8715"/>
                    </w:tabs>
                    <w:overflowPunct/>
                    <w:autoSpaceDE/>
                    <w:autoSpaceDN/>
                    <w:adjustRightInd/>
                    <w:spacing w:line="240" w:lineRule="auto"/>
                    <w:rPr>
                      <w:b/>
                      <w:color w:val="auto"/>
                      <w:sz w:val="21"/>
                      <w:szCs w:val="21"/>
                    </w:rPr>
                  </w:pPr>
                  <w:r>
                    <w:rPr>
                      <w:b/>
                      <w:bCs/>
                      <w:color w:val="auto"/>
                      <w:sz w:val="21"/>
                      <w:szCs w:val="21"/>
                    </w:rPr>
                    <w:t>氨氮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1044" w:hRule="atLeast"/>
                <w:jc w:val="center"/>
              </w:trPr>
              <w:tc>
                <w:tcPr>
                  <w:tcW w:w="4341"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rStyle w:val="50"/>
                      <w:color w:val="auto"/>
                    </w:rPr>
                  </w:pPr>
                  <w:r>
                    <w:rPr>
                      <w:rStyle w:val="50"/>
                      <w:rFonts w:hint="eastAsia"/>
                      <w:color w:val="auto"/>
                    </w:rPr>
                    <w:t>广东省地方标准《水污染物排放限值》（DB44/26-2001）第二时段三级标准和《污水排入城镇下水道水质标准》（CJ343-2010）较严者</w:t>
                  </w:r>
                </w:p>
              </w:tc>
              <w:tc>
                <w:tcPr>
                  <w:tcW w:w="795"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rFonts w:hint="eastAsia"/>
                      <w:color w:val="auto"/>
                      <w:sz w:val="21"/>
                      <w:szCs w:val="21"/>
                    </w:rPr>
                    <w:t>6-9</w:t>
                  </w:r>
                </w:p>
              </w:tc>
              <w:tc>
                <w:tcPr>
                  <w:tcW w:w="806"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color w:val="auto"/>
                      <w:sz w:val="21"/>
                      <w:szCs w:val="21"/>
                    </w:rPr>
                    <w:t>500</w:t>
                  </w:r>
                </w:p>
              </w:tc>
              <w:tc>
                <w:tcPr>
                  <w:tcW w:w="936"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color w:val="auto"/>
                      <w:sz w:val="21"/>
                      <w:szCs w:val="21"/>
                    </w:rPr>
                    <w:t>300</w:t>
                  </w:r>
                </w:p>
              </w:tc>
              <w:tc>
                <w:tcPr>
                  <w:tcW w:w="780"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color w:val="auto"/>
                      <w:sz w:val="21"/>
                      <w:szCs w:val="21"/>
                    </w:rPr>
                    <w:t>400</w:t>
                  </w:r>
                </w:p>
              </w:tc>
              <w:tc>
                <w:tcPr>
                  <w:tcW w:w="833"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rFonts w:hint="eastAsia"/>
                      <w:color w:val="auto"/>
                      <w:sz w:val="21"/>
                      <w:szCs w:val="21"/>
                    </w:rPr>
                    <w:t>45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623" w:hRule="atLeast"/>
                <w:jc w:val="center"/>
              </w:trPr>
              <w:tc>
                <w:tcPr>
                  <w:tcW w:w="4341" w:type="dxa"/>
                  <w:tcMar>
                    <w:top w:w="13" w:type="dxa"/>
                    <w:left w:w="13" w:type="dxa"/>
                    <w:bottom w:w="0" w:type="dxa"/>
                    <w:right w:w="13" w:type="dxa"/>
                  </w:tcMar>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rFonts w:hint="eastAsia"/>
                      <w:color w:val="auto"/>
                      <w:sz w:val="21"/>
                      <w:szCs w:val="21"/>
                    </w:rPr>
                    <w:t>《城镇污水处理厂污染物排放标准》（GB18918-2002）中一级A 标准及广东省地方标准《水污染物排放限值》（DB44/26-2001）第二时段一级标准的较严值</w:t>
                  </w:r>
                </w:p>
              </w:tc>
              <w:tc>
                <w:tcPr>
                  <w:tcW w:w="795" w:type="dxa"/>
                  <w:tcMar>
                    <w:top w:w="13" w:type="dxa"/>
                    <w:left w:w="13" w:type="dxa"/>
                    <w:bottom w:w="0" w:type="dxa"/>
                    <w:right w:w="13" w:type="dxa"/>
                  </w:tcMar>
                  <w:vAlign w:val="center"/>
                </w:tcPr>
                <w:p>
                  <w:pPr>
                    <w:pStyle w:val="150"/>
                    <w:tabs>
                      <w:tab w:val="left" w:pos="945"/>
                      <w:tab w:val="right" w:leader="dot" w:pos="1155"/>
                      <w:tab w:val="left" w:pos="8715"/>
                    </w:tabs>
                    <w:adjustRightInd/>
                    <w:spacing w:line="240" w:lineRule="auto"/>
                    <w:rPr>
                      <w:color w:val="auto"/>
                      <w:sz w:val="21"/>
                      <w:szCs w:val="21"/>
                    </w:rPr>
                  </w:pPr>
                  <w:r>
                    <w:rPr>
                      <w:rFonts w:hint="eastAsia"/>
                      <w:color w:val="auto"/>
                      <w:sz w:val="21"/>
                      <w:szCs w:val="21"/>
                    </w:rPr>
                    <w:t>6-9</w:t>
                  </w:r>
                </w:p>
              </w:tc>
              <w:tc>
                <w:tcPr>
                  <w:tcW w:w="806" w:type="dxa"/>
                  <w:vAlign w:val="center"/>
                </w:tcPr>
                <w:p>
                  <w:pPr>
                    <w:pStyle w:val="150"/>
                    <w:tabs>
                      <w:tab w:val="left" w:pos="945"/>
                      <w:tab w:val="right" w:leader="dot" w:pos="1155"/>
                      <w:tab w:val="left" w:pos="8715"/>
                    </w:tabs>
                    <w:adjustRightInd/>
                    <w:spacing w:line="240" w:lineRule="auto"/>
                    <w:rPr>
                      <w:color w:val="auto"/>
                      <w:sz w:val="21"/>
                      <w:szCs w:val="21"/>
                    </w:rPr>
                  </w:pPr>
                  <w:r>
                    <w:rPr>
                      <w:rFonts w:hint="eastAsia"/>
                      <w:color w:val="auto"/>
                      <w:sz w:val="21"/>
                      <w:szCs w:val="21"/>
                    </w:rPr>
                    <w:t>40</w:t>
                  </w:r>
                </w:p>
              </w:tc>
              <w:tc>
                <w:tcPr>
                  <w:tcW w:w="936"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rFonts w:hint="eastAsia"/>
                      <w:color w:val="auto"/>
                      <w:sz w:val="21"/>
                      <w:szCs w:val="21"/>
                    </w:rPr>
                    <w:t>10</w:t>
                  </w:r>
                </w:p>
              </w:tc>
              <w:tc>
                <w:tcPr>
                  <w:tcW w:w="780"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rFonts w:hint="eastAsia"/>
                      <w:color w:val="auto"/>
                      <w:sz w:val="21"/>
                      <w:szCs w:val="21"/>
                    </w:rPr>
                    <w:t>10</w:t>
                  </w:r>
                </w:p>
              </w:tc>
              <w:tc>
                <w:tcPr>
                  <w:tcW w:w="833" w:type="dxa"/>
                  <w:vAlign w:val="center"/>
                </w:tcPr>
                <w:p>
                  <w:pPr>
                    <w:pStyle w:val="150"/>
                    <w:tabs>
                      <w:tab w:val="left" w:pos="945"/>
                      <w:tab w:val="right" w:leader="dot" w:pos="1155"/>
                      <w:tab w:val="left" w:pos="8715"/>
                    </w:tabs>
                    <w:overflowPunct/>
                    <w:autoSpaceDE/>
                    <w:autoSpaceDN/>
                    <w:adjustRightInd/>
                    <w:spacing w:line="240" w:lineRule="auto"/>
                    <w:rPr>
                      <w:color w:val="auto"/>
                      <w:sz w:val="21"/>
                      <w:szCs w:val="21"/>
                    </w:rPr>
                  </w:pPr>
                  <w:r>
                    <w:rPr>
                      <w:rFonts w:hint="eastAsia"/>
                      <w:color w:val="auto"/>
                      <w:sz w:val="21"/>
                      <w:szCs w:val="21"/>
                    </w:rPr>
                    <w:t>5</w:t>
                  </w:r>
                </w:p>
              </w:tc>
            </w:tr>
          </w:tbl>
          <w:p>
            <w:pPr>
              <w:numPr>
                <w:ilvl w:val="0"/>
                <w:numId w:val="9"/>
              </w:numPr>
              <w:spacing w:line="360" w:lineRule="auto"/>
              <w:rPr>
                <w:color w:val="auto"/>
              </w:rPr>
            </w:pPr>
            <w:r>
              <w:rPr>
                <w:rFonts w:hint="eastAsia"/>
                <w:color w:val="auto"/>
                <w:sz w:val="24"/>
              </w:rPr>
              <w:t>混料工序产生的粉尘排放执行广东省地方标准《大气污染物排放限值》</w:t>
            </w:r>
            <w:r>
              <w:rPr>
                <w:color w:val="auto"/>
                <w:sz w:val="24"/>
              </w:rPr>
              <w:t>（DB44/27-2001）中第二时段二级标准和第二时段无组织排放监控浓度限值；</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《大气污染物排放限值》摘录</w:t>
            </w:r>
          </w:p>
          <w:tbl>
            <w:tblPr>
              <w:tblStyle w:val="44"/>
              <w:tblW w:w="81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6"/>
              <w:gridCol w:w="3354"/>
              <w:gridCol w:w="3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6" w:type="dxa"/>
                  <w:vMerge w:val="restart"/>
                  <w:tcBorders>
                    <w:tl2br w:val="nil"/>
                    <w:tr2bl w:val="nil"/>
                  </w:tcBorders>
                  <w:vAlign w:val="center"/>
                </w:tcPr>
                <w:p>
                  <w:pPr>
                    <w:pStyle w:val="34"/>
                    <w:spacing w:line="360" w:lineRule="auto"/>
                    <w:ind w:firstLine="0"/>
                    <w:jc w:val="center"/>
                    <w:rPr>
                      <w:b/>
                      <w:color w:val="auto"/>
                      <w:sz w:val="21"/>
                      <w:szCs w:val="21"/>
                    </w:rPr>
                  </w:pPr>
                  <w:r>
                    <w:rPr>
                      <w:rFonts w:hint="eastAsia"/>
                      <w:b/>
                      <w:color w:val="auto"/>
                      <w:sz w:val="21"/>
                      <w:szCs w:val="21"/>
                    </w:rPr>
                    <w:t>项目</w:t>
                  </w:r>
                </w:p>
              </w:tc>
              <w:tc>
                <w:tcPr>
                  <w:tcW w:w="6695" w:type="dxa"/>
                  <w:gridSpan w:val="2"/>
                  <w:tcBorders>
                    <w:tl2br w:val="nil"/>
                    <w:tr2bl w:val="nil"/>
                  </w:tcBorders>
                  <w:vAlign w:val="center"/>
                </w:tcPr>
                <w:p>
                  <w:pPr>
                    <w:pStyle w:val="34"/>
                    <w:spacing w:line="360" w:lineRule="auto"/>
                    <w:ind w:firstLine="0"/>
                    <w:jc w:val="center"/>
                    <w:rPr>
                      <w:b/>
                      <w:color w:val="auto"/>
                      <w:sz w:val="21"/>
                      <w:szCs w:val="21"/>
                    </w:rPr>
                  </w:pPr>
                  <w:r>
                    <w:rPr>
                      <w:rFonts w:hint="eastAsia"/>
                      <w:b/>
                      <w:color w:val="auto"/>
                      <w:sz w:val="21"/>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6" w:type="dxa"/>
                  <w:vMerge w:val="continue"/>
                  <w:tcBorders>
                    <w:tl2br w:val="nil"/>
                    <w:tr2bl w:val="nil"/>
                  </w:tcBorders>
                  <w:vAlign w:val="center"/>
                </w:tcPr>
                <w:p>
                  <w:pPr>
                    <w:pStyle w:val="34"/>
                    <w:ind w:firstLine="0"/>
                    <w:jc w:val="center"/>
                    <w:rPr>
                      <w:b/>
                      <w:color w:val="auto"/>
                      <w:sz w:val="21"/>
                      <w:szCs w:val="21"/>
                    </w:rPr>
                  </w:pPr>
                </w:p>
              </w:tc>
              <w:tc>
                <w:tcPr>
                  <w:tcW w:w="3354" w:type="dxa"/>
                  <w:tcBorders>
                    <w:tl2br w:val="nil"/>
                    <w:tr2bl w:val="nil"/>
                  </w:tcBorders>
                  <w:vAlign w:val="center"/>
                </w:tcPr>
                <w:p>
                  <w:pPr>
                    <w:pStyle w:val="34"/>
                    <w:ind w:firstLine="0"/>
                    <w:jc w:val="center"/>
                    <w:rPr>
                      <w:b/>
                      <w:color w:val="auto"/>
                      <w:sz w:val="21"/>
                      <w:szCs w:val="21"/>
                    </w:rPr>
                  </w:pPr>
                  <w:r>
                    <w:rPr>
                      <w:rFonts w:hint="eastAsia"/>
                      <w:b/>
                      <w:color w:val="auto"/>
                      <w:sz w:val="21"/>
                      <w:szCs w:val="21"/>
                    </w:rPr>
                    <w:t>监测点</w:t>
                  </w:r>
                </w:p>
              </w:tc>
              <w:tc>
                <w:tcPr>
                  <w:tcW w:w="3341" w:type="dxa"/>
                  <w:tcBorders>
                    <w:tl2br w:val="nil"/>
                    <w:tr2bl w:val="nil"/>
                  </w:tcBorders>
                  <w:vAlign w:val="center"/>
                </w:tcPr>
                <w:p>
                  <w:pPr>
                    <w:pStyle w:val="34"/>
                    <w:ind w:firstLine="0"/>
                    <w:jc w:val="center"/>
                    <w:rPr>
                      <w:b/>
                      <w:color w:val="auto"/>
                      <w:sz w:val="21"/>
                      <w:szCs w:val="21"/>
                    </w:rPr>
                  </w:pPr>
                  <w:r>
                    <w:rPr>
                      <w:rFonts w:hint="eastAsia"/>
                      <w:b/>
                      <w:color w:val="auto"/>
                      <w:sz w:val="21"/>
                      <w:szCs w:val="21"/>
                    </w:rPr>
                    <w:t>浓度（mg/m</w:t>
                  </w:r>
                  <w:r>
                    <w:rPr>
                      <w:rFonts w:hint="eastAsia"/>
                      <w:b/>
                      <w:color w:val="auto"/>
                      <w:sz w:val="21"/>
                      <w:szCs w:val="21"/>
                      <w:vertAlign w:val="superscript"/>
                    </w:rPr>
                    <w:t>3</w:t>
                  </w:r>
                  <w:r>
                    <w:rPr>
                      <w:rFonts w:hint="eastAsia"/>
                      <w:b/>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56" w:type="dxa"/>
                  <w:tcBorders>
                    <w:tl2br w:val="nil"/>
                    <w:tr2bl w:val="nil"/>
                  </w:tcBorders>
                  <w:vAlign w:val="center"/>
                </w:tcPr>
                <w:p>
                  <w:pPr>
                    <w:pStyle w:val="34"/>
                    <w:ind w:firstLine="0"/>
                    <w:jc w:val="center"/>
                    <w:rPr>
                      <w:bCs/>
                      <w:color w:val="auto"/>
                      <w:sz w:val="21"/>
                      <w:szCs w:val="21"/>
                    </w:rPr>
                  </w:pPr>
                  <w:r>
                    <w:rPr>
                      <w:rFonts w:hint="eastAsia"/>
                      <w:bCs/>
                      <w:color w:val="auto"/>
                      <w:sz w:val="21"/>
                      <w:szCs w:val="21"/>
                    </w:rPr>
                    <w:t>颗粒物</w:t>
                  </w:r>
                </w:p>
              </w:tc>
              <w:tc>
                <w:tcPr>
                  <w:tcW w:w="3354" w:type="dxa"/>
                  <w:tcBorders>
                    <w:tl2br w:val="nil"/>
                    <w:tr2bl w:val="nil"/>
                  </w:tcBorders>
                  <w:vAlign w:val="center"/>
                </w:tcPr>
                <w:p>
                  <w:pPr>
                    <w:pStyle w:val="34"/>
                    <w:ind w:firstLine="0"/>
                    <w:jc w:val="center"/>
                    <w:rPr>
                      <w:bCs/>
                      <w:color w:val="auto"/>
                      <w:sz w:val="21"/>
                      <w:szCs w:val="21"/>
                    </w:rPr>
                  </w:pPr>
                  <w:r>
                    <w:rPr>
                      <w:rFonts w:hint="eastAsia"/>
                      <w:bCs/>
                      <w:color w:val="auto"/>
                      <w:sz w:val="21"/>
                      <w:szCs w:val="21"/>
                    </w:rPr>
                    <w:t>周界外浓度最高点</w:t>
                  </w:r>
                </w:p>
              </w:tc>
              <w:tc>
                <w:tcPr>
                  <w:tcW w:w="3341" w:type="dxa"/>
                  <w:tcBorders>
                    <w:tl2br w:val="nil"/>
                    <w:tr2bl w:val="nil"/>
                  </w:tcBorders>
                  <w:vAlign w:val="center"/>
                </w:tcPr>
                <w:p>
                  <w:pPr>
                    <w:pStyle w:val="34"/>
                    <w:ind w:firstLine="0"/>
                    <w:jc w:val="center"/>
                    <w:rPr>
                      <w:bCs/>
                      <w:color w:val="auto"/>
                      <w:sz w:val="21"/>
                      <w:szCs w:val="21"/>
                    </w:rPr>
                  </w:pPr>
                  <w:r>
                    <w:rPr>
                      <w:rFonts w:hint="eastAsia"/>
                      <w:bCs/>
                      <w:color w:val="auto"/>
                      <w:sz w:val="21"/>
                      <w:szCs w:val="21"/>
                    </w:rPr>
                    <w:t>1.0</w:t>
                  </w:r>
                </w:p>
              </w:tc>
            </w:tr>
          </w:tbl>
          <w:p>
            <w:pPr>
              <w:numPr>
                <w:ilvl w:val="0"/>
                <w:numId w:val="9"/>
              </w:numPr>
              <w:spacing w:line="360" w:lineRule="auto"/>
              <w:rPr>
                <w:rFonts w:hint="eastAsia"/>
                <w:color w:val="auto"/>
                <w:sz w:val="24"/>
                <w:lang w:eastAsia="zh-CN"/>
              </w:rPr>
            </w:pPr>
            <w:r>
              <w:rPr>
                <w:rFonts w:hint="eastAsia"/>
                <w:color w:val="auto"/>
                <w:sz w:val="24"/>
              </w:rPr>
              <w:t>造粒、挤出成型工序产生的</w:t>
            </w:r>
            <w:r>
              <w:rPr>
                <w:rFonts w:hint="eastAsia"/>
                <w:color w:val="auto"/>
                <w:sz w:val="24"/>
                <w:szCs w:val="21"/>
              </w:rPr>
              <w:t>非甲烷总烃</w:t>
            </w:r>
            <w:r>
              <w:rPr>
                <w:rFonts w:hint="eastAsia"/>
                <w:color w:val="auto"/>
                <w:sz w:val="24"/>
              </w:rPr>
              <w:t>排放执行《合成树脂工业污染物排放标准》(GB 31572-2015)表4规定的大气污染物排放标准限值和表9企业边界大气污染物浓度限值；</w:t>
            </w:r>
            <w:r>
              <w:rPr>
                <w:rFonts w:hint="eastAsia"/>
                <w:color w:val="auto"/>
                <w:sz w:val="24"/>
                <w:lang w:eastAsia="zh-CN"/>
              </w:rPr>
              <w:t>臭气执行</w:t>
            </w:r>
            <w:r>
              <w:rPr>
                <w:rFonts w:hint="eastAsia"/>
                <w:color w:val="auto"/>
                <w:sz w:val="24"/>
                <w:lang w:val="en-US" w:eastAsia="zh-CN"/>
              </w:rPr>
              <w:t>《</w:t>
            </w:r>
            <w:r>
              <w:rPr>
                <w:rFonts w:hint="eastAsia"/>
                <w:color w:val="auto"/>
                <w:sz w:val="24"/>
                <w:lang w:eastAsia="zh-CN"/>
              </w:rPr>
              <w:t>恶臭污染物排放标准</w:t>
            </w:r>
            <w:r>
              <w:rPr>
                <w:rFonts w:hint="eastAsia"/>
                <w:color w:val="auto"/>
                <w:sz w:val="24"/>
                <w:lang w:val="en-US" w:eastAsia="zh-CN"/>
              </w:rPr>
              <w:t>》（GB 14554-1993）表1恶臭污染物厂界标准值二级新扩改建臭气浓度：≤20（无纲量）要求</w:t>
            </w:r>
            <w:r>
              <w:rPr>
                <w:rFonts w:hint="eastAsia"/>
                <w:color w:val="auto"/>
                <w:sz w:val="24"/>
                <w:lang w:eastAsia="zh-CN"/>
              </w:rPr>
              <w:t>。</w:t>
            </w:r>
          </w:p>
          <w:p>
            <w:pPr>
              <w:pStyle w:val="138"/>
              <w:numPr>
                <w:ilvl w:val="0"/>
                <w:numId w:val="5"/>
              </w:numPr>
              <w:tabs>
                <w:tab w:val="left" w:pos="420"/>
              </w:tabs>
              <w:adjustRightInd/>
              <w:snapToGrid/>
              <w:spacing w:line="312" w:lineRule="auto"/>
              <w:ind w:left="0" w:firstLine="471"/>
              <w:rPr>
                <w:rFonts w:eastAsia="宋体" w:cs="Times New Roman"/>
                <w:b/>
                <w:color w:val="auto"/>
                <w:sz w:val="21"/>
                <w:szCs w:val="21"/>
              </w:rPr>
            </w:pPr>
            <w:r>
              <w:rPr>
                <w:rFonts w:eastAsia="宋体" w:cs="Times New Roman"/>
                <w:b/>
                <w:color w:val="auto"/>
                <w:sz w:val="21"/>
                <w:szCs w:val="21"/>
              </w:rPr>
              <w:t xml:space="preserve">《合成树脂工业污染物排放标准》摘录  </w:t>
            </w:r>
            <w:r>
              <w:rPr>
                <w:rFonts w:hint="eastAsia" w:eastAsia="宋体" w:cs="Times New Roman"/>
                <w:b/>
                <w:color w:val="auto"/>
                <w:sz w:val="21"/>
                <w:szCs w:val="21"/>
              </w:rPr>
              <w:t xml:space="preserve"> 单位：mg/m</w:t>
            </w:r>
            <w:r>
              <w:rPr>
                <w:rFonts w:hint="eastAsia" w:eastAsia="宋体" w:cs="Times New Roman"/>
                <w:b/>
                <w:color w:val="auto"/>
                <w:sz w:val="21"/>
                <w:szCs w:val="21"/>
                <w:vertAlign w:val="superscript"/>
              </w:rPr>
              <w:t>3</w:t>
            </w:r>
          </w:p>
          <w:tbl>
            <w:tblPr>
              <w:tblStyle w:val="44"/>
              <w:tblW w:w="8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3"/>
              <w:gridCol w:w="1785"/>
              <w:gridCol w:w="25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833" w:type="dxa"/>
                  <w:vAlign w:val="center"/>
                </w:tcPr>
                <w:p>
                  <w:pPr>
                    <w:pStyle w:val="2"/>
                    <w:autoSpaceDE/>
                    <w:autoSpaceDN/>
                    <w:adjustRightInd/>
                    <w:spacing w:line="312" w:lineRule="auto"/>
                    <w:jc w:val="center"/>
                    <w:rPr>
                      <w:rFonts w:ascii="Times New Roman" w:cs="Times New Roman"/>
                      <w:b/>
                      <w:bCs/>
                      <w:color w:val="auto"/>
                      <w:sz w:val="21"/>
                      <w:szCs w:val="21"/>
                    </w:rPr>
                  </w:pPr>
                  <w:r>
                    <w:rPr>
                      <w:rFonts w:ascii="Times New Roman" w:cs="Times New Roman"/>
                      <w:b/>
                      <w:color w:val="auto"/>
                      <w:sz w:val="21"/>
                      <w:szCs w:val="21"/>
                    </w:rPr>
                    <w:t xml:space="preserve">   </w:t>
                  </w:r>
                  <w:r>
                    <w:rPr>
                      <w:rFonts w:ascii="Times New Roman" w:cs="Times New Roman"/>
                      <w:b/>
                      <w:bCs/>
                      <w:color w:val="auto"/>
                      <w:sz w:val="21"/>
                      <w:szCs w:val="21"/>
                    </w:rPr>
                    <w:t>类别</w:t>
                  </w:r>
                </w:p>
              </w:tc>
              <w:tc>
                <w:tcPr>
                  <w:tcW w:w="1785" w:type="dxa"/>
                  <w:vAlign w:val="center"/>
                </w:tcPr>
                <w:p>
                  <w:pPr>
                    <w:pStyle w:val="34"/>
                    <w:spacing w:line="312" w:lineRule="auto"/>
                    <w:ind w:firstLine="0"/>
                    <w:jc w:val="center"/>
                    <w:rPr>
                      <w:b/>
                      <w:bCs/>
                      <w:color w:val="auto"/>
                      <w:sz w:val="21"/>
                      <w:szCs w:val="21"/>
                    </w:rPr>
                  </w:pPr>
                  <w:r>
                    <w:rPr>
                      <w:rFonts w:hint="eastAsia"/>
                      <w:b/>
                      <w:color w:val="auto"/>
                      <w:sz w:val="21"/>
                      <w:szCs w:val="21"/>
                    </w:rPr>
                    <w:t>有组织排放限值</w:t>
                  </w:r>
                </w:p>
              </w:tc>
              <w:tc>
                <w:tcPr>
                  <w:tcW w:w="2591" w:type="dxa"/>
                  <w:vAlign w:val="center"/>
                </w:tcPr>
                <w:p>
                  <w:pPr>
                    <w:pStyle w:val="34"/>
                    <w:spacing w:line="312" w:lineRule="auto"/>
                    <w:ind w:firstLine="0"/>
                    <w:jc w:val="center"/>
                    <w:rPr>
                      <w:b/>
                      <w:bCs/>
                      <w:color w:val="auto"/>
                      <w:sz w:val="21"/>
                      <w:szCs w:val="21"/>
                    </w:rPr>
                  </w:pPr>
                  <w:r>
                    <w:rPr>
                      <w:b/>
                      <w:bCs/>
                      <w:color w:val="auto"/>
                      <w:sz w:val="21"/>
                      <w:szCs w:val="21"/>
                    </w:rPr>
                    <w:t>边界大气污染物浓度限值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3833" w:type="dxa"/>
                  <w:vAlign w:val="center"/>
                </w:tcPr>
                <w:p>
                  <w:pPr>
                    <w:pStyle w:val="2"/>
                    <w:autoSpaceDE/>
                    <w:autoSpaceDN/>
                    <w:adjustRightInd/>
                    <w:spacing w:line="312" w:lineRule="auto"/>
                    <w:jc w:val="center"/>
                    <w:rPr>
                      <w:rFonts w:ascii="Times New Roman" w:cs="Times New Roman"/>
                      <w:color w:val="auto"/>
                      <w:sz w:val="21"/>
                      <w:szCs w:val="21"/>
                    </w:rPr>
                  </w:pPr>
                  <w:r>
                    <w:rPr>
                      <w:rFonts w:ascii="Times New Roman" w:cs="Times New Roman"/>
                      <w:color w:val="auto"/>
                      <w:sz w:val="21"/>
                      <w:szCs w:val="21"/>
                    </w:rPr>
                    <w:t>非甲烷总烃</w:t>
                  </w:r>
                </w:p>
              </w:tc>
              <w:tc>
                <w:tcPr>
                  <w:tcW w:w="1785" w:type="dxa"/>
                  <w:vAlign w:val="center"/>
                </w:tcPr>
                <w:p>
                  <w:pPr>
                    <w:pStyle w:val="34"/>
                    <w:spacing w:line="312" w:lineRule="auto"/>
                    <w:ind w:firstLine="0"/>
                    <w:jc w:val="center"/>
                    <w:rPr>
                      <w:color w:val="auto"/>
                      <w:sz w:val="21"/>
                      <w:szCs w:val="21"/>
                    </w:rPr>
                  </w:pPr>
                  <w:r>
                    <w:rPr>
                      <w:rFonts w:hint="eastAsia"/>
                      <w:bCs/>
                      <w:color w:val="auto"/>
                      <w:sz w:val="21"/>
                      <w:szCs w:val="21"/>
                    </w:rPr>
                    <w:t>100</w:t>
                  </w:r>
                </w:p>
              </w:tc>
              <w:tc>
                <w:tcPr>
                  <w:tcW w:w="2591" w:type="dxa"/>
                  <w:vAlign w:val="center"/>
                </w:tcPr>
                <w:p>
                  <w:pPr>
                    <w:pStyle w:val="34"/>
                    <w:spacing w:line="312" w:lineRule="auto"/>
                    <w:ind w:firstLine="0"/>
                    <w:jc w:val="center"/>
                    <w:rPr>
                      <w:color w:val="auto"/>
                      <w:sz w:val="21"/>
                      <w:szCs w:val="21"/>
                    </w:rPr>
                  </w:pPr>
                  <w:r>
                    <w:rPr>
                      <w:rFonts w:hint="eastAsia"/>
                      <w:bCs/>
                      <w:color w:val="auto"/>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3833" w:type="dxa"/>
                  <w:vAlign w:val="center"/>
                </w:tcPr>
                <w:p>
                  <w:pPr>
                    <w:pStyle w:val="2"/>
                    <w:autoSpaceDE/>
                    <w:autoSpaceDN/>
                    <w:adjustRightInd/>
                    <w:spacing w:line="240" w:lineRule="auto"/>
                    <w:jc w:val="center"/>
                    <w:rPr>
                      <w:rFonts w:ascii="Times New Roman" w:cs="Times New Roman"/>
                      <w:color w:val="auto"/>
                      <w:sz w:val="21"/>
                      <w:szCs w:val="21"/>
                    </w:rPr>
                  </w:pPr>
                  <w:r>
                    <w:rPr>
                      <w:rFonts w:hint="eastAsia" w:ascii="Times New Roman" w:cs="Times New Roman"/>
                      <w:color w:val="auto"/>
                      <w:sz w:val="21"/>
                      <w:szCs w:val="21"/>
                    </w:rPr>
                    <w:t>单位产品非甲烷总烃排放量（kg/t产品）</w:t>
                  </w:r>
                </w:p>
              </w:tc>
              <w:tc>
                <w:tcPr>
                  <w:tcW w:w="1785" w:type="dxa"/>
                  <w:vAlign w:val="center"/>
                </w:tcPr>
                <w:p>
                  <w:pPr>
                    <w:pStyle w:val="34"/>
                    <w:spacing w:line="240" w:lineRule="auto"/>
                    <w:ind w:firstLine="0"/>
                    <w:jc w:val="center"/>
                    <w:rPr>
                      <w:bCs/>
                      <w:color w:val="auto"/>
                      <w:sz w:val="21"/>
                      <w:szCs w:val="21"/>
                    </w:rPr>
                  </w:pPr>
                  <w:r>
                    <w:rPr>
                      <w:rFonts w:hint="eastAsia"/>
                      <w:bCs/>
                      <w:color w:val="auto"/>
                      <w:sz w:val="21"/>
                      <w:szCs w:val="21"/>
                    </w:rPr>
                    <w:t>0.5</w:t>
                  </w:r>
                </w:p>
              </w:tc>
              <w:tc>
                <w:tcPr>
                  <w:tcW w:w="2591" w:type="dxa"/>
                  <w:vAlign w:val="center"/>
                </w:tcPr>
                <w:p>
                  <w:pPr>
                    <w:pStyle w:val="34"/>
                    <w:spacing w:line="240" w:lineRule="auto"/>
                    <w:ind w:firstLine="0"/>
                    <w:jc w:val="center"/>
                    <w:rPr>
                      <w:bCs/>
                      <w:color w:val="auto"/>
                      <w:sz w:val="21"/>
                      <w:szCs w:val="21"/>
                    </w:rPr>
                  </w:pPr>
                  <w:r>
                    <w:rPr>
                      <w:rFonts w:hint="eastAsia"/>
                      <w:bCs/>
                      <w:color w:val="auto"/>
                      <w:sz w:val="21"/>
                      <w:szCs w:val="21"/>
                    </w:rPr>
                    <w:t>——</w:t>
                  </w:r>
                </w:p>
              </w:tc>
            </w:tr>
          </w:tbl>
          <w:p>
            <w:pPr>
              <w:pStyle w:val="138"/>
              <w:numPr>
                <w:ilvl w:val="0"/>
                <w:numId w:val="5"/>
              </w:numPr>
              <w:tabs>
                <w:tab w:val="left" w:pos="420"/>
              </w:tabs>
              <w:adjustRightInd/>
              <w:snapToGrid/>
              <w:spacing w:line="312" w:lineRule="auto"/>
              <w:ind w:left="0" w:firstLine="471"/>
              <w:rPr>
                <w:rFonts w:eastAsia="宋体" w:cs="Times New Roman"/>
                <w:b/>
                <w:color w:val="auto"/>
                <w:sz w:val="21"/>
                <w:szCs w:val="21"/>
              </w:rPr>
            </w:pPr>
            <w:r>
              <w:rPr>
                <w:rFonts w:hint="eastAsia" w:eastAsia="宋体" w:cs="Times New Roman"/>
                <w:b/>
                <w:color w:val="auto"/>
                <w:sz w:val="21"/>
                <w:szCs w:val="21"/>
              </w:rPr>
              <w:t>《恶臭污染物排放标准》 摘录</w:t>
            </w:r>
          </w:p>
          <w:tbl>
            <w:tblPr>
              <w:tblStyle w:val="44"/>
              <w:tblW w:w="78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350"/>
              <w:gridCol w:w="2640"/>
              <w:gridCol w:w="2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420" w:type="dxa"/>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污染物项目</w:t>
                  </w:r>
                </w:p>
              </w:tc>
              <w:tc>
                <w:tcPr>
                  <w:tcW w:w="1350" w:type="dxa"/>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排放限值</w:t>
                  </w:r>
                </w:p>
              </w:tc>
              <w:tc>
                <w:tcPr>
                  <w:tcW w:w="2640" w:type="dxa"/>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限值含义</w:t>
                  </w:r>
                </w:p>
              </w:tc>
              <w:tc>
                <w:tcPr>
                  <w:tcW w:w="2442" w:type="dxa"/>
                  <w:noWrap w:val="0"/>
                  <w:vAlign w:val="top"/>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420"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臭气浓度</w:t>
                  </w:r>
                </w:p>
              </w:tc>
              <w:tc>
                <w:tcPr>
                  <w:tcW w:w="1350"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20</w:t>
                  </w:r>
                </w:p>
              </w:tc>
              <w:tc>
                <w:tcPr>
                  <w:tcW w:w="2640"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无纲量</w:t>
                  </w:r>
                </w:p>
              </w:tc>
              <w:tc>
                <w:tcPr>
                  <w:tcW w:w="2442"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在厂房外设置监控点</w:t>
                  </w:r>
                </w:p>
              </w:tc>
            </w:tr>
          </w:tbl>
          <w:p>
            <w:pPr>
              <w:numPr>
                <w:ilvl w:val="0"/>
                <w:numId w:val="9"/>
              </w:numPr>
              <w:spacing w:line="360" w:lineRule="auto"/>
              <w:rPr>
                <w:color w:val="auto"/>
                <w:sz w:val="24"/>
              </w:rPr>
            </w:pPr>
            <w:r>
              <w:rPr>
                <w:color w:val="auto"/>
                <w:sz w:val="24"/>
              </w:rPr>
              <w:t>《</w:t>
            </w:r>
            <w:r>
              <w:rPr>
                <w:rFonts w:hint="eastAsia"/>
                <w:color w:val="auto"/>
                <w:sz w:val="24"/>
              </w:rPr>
              <w:t>工业企业厂界环境噪声排放标准</w:t>
            </w:r>
            <w:r>
              <w:rPr>
                <w:color w:val="auto"/>
                <w:sz w:val="24"/>
              </w:rPr>
              <w:t>》(GB12348</w:t>
            </w:r>
            <w:r>
              <w:rPr>
                <w:rFonts w:hint="eastAsia"/>
                <w:color w:val="auto"/>
                <w:sz w:val="24"/>
              </w:rPr>
              <w:t>-2008</w:t>
            </w:r>
            <w:r>
              <w:rPr>
                <w:color w:val="auto"/>
                <w:sz w:val="24"/>
              </w:rPr>
              <w:t>)</w:t>
            </w:r>
            <w:r>
              <w:rPr>
                <w:rFonts w:hint="eastAsia"/>
                <w:color w:val="auto"/>
                <w:sz w:val="24"/>
              </w:rPr>
              <w:t>2类</w:t>
            </w:r>
            <w:r>
              <w:rPr>
                <w:color w:val="auto"/>
                <w:sz w:val="24"/>
                <w:highlight w:val="none"/>
              </w:rPr>
              <w:t>和4类</w:t>
            </w:r>
            <w:r>
              <w:rPr>
                <w:color w:val="auto"/>
                <w:sz w:val="24"/>
              </w:rPr>
              <w:t>标准</w:t>
            </w:r>
            <w:r>
              <w:rPr>
                <w:rFonts w:hint="eastAsia"/>
                <w:color w:val="auto"/>
                <w:sz w:val="24"/>
              </w:rPr>
              <w:t>；</w:t>
            </w:r>
          </w:p>
          <w:p>
            <w:pPr>
              <w:pStyle w:val="138"/>
              <w:numPr>
                <w:ilvl w:val="0"/>
                <w:numId w:val="5"/>
              </w:numPr>
              <w:tabs>
                <w:tab w:val="left" w:pos="420"/>
              </w:tabs>
              <w:adjustRightInd/>
              <w:snapToGrid/>
              <w:spacing w:line="312" w:lineRule="auto"/>
              <w:ind w:left="0" w:firstLine="471"/>
              <w:rPr>
                <w:rFonts w:eastAsia="宋体" w:cs="Times New Roman"/>
                <w:b/>
                <w:color w:val="auto"/>
                <w:sz w:val="21"/>
                <w:szCs w:val="21"/>
              </w:rPr>
            </w:pPr>
            <w:r>
              <w:rPr>
                <w:rFonts w:hint="eastAsia" w:eastAsia="宋体" w:cs="Times New Roman"/>
                <w:b/>
                <w:color w:val="auto"/>
                <w:sz w:val="21"/>
                <w:szCs w:val="21"/>
              </w:rPr>
              <w:t>工业企业厂界环境噪声排放标准（摘录）    单位：dB(A)</w:t>
            </w:r>
          </w:p>
          <w:tbl>
            <w:tblPr>
              <w:tblStyle w:val="44"/>
              <w:tblW w:w="813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144"/>
              <w:gridCol w:w="1917"/>
              <w:gridCol w:w="207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45" w:hRule="atLeast"/>
                <w:jc w:val="center"/>
              </w:trPr>
              <w:tc>
                <w:tcPr>
                  <w:tcW w:w="4144" w:type="dxa"/>
                  <w:vAlign w:val="center"/>
                </w:tcPr>
                <w:p>
                  <w:pPr>
                    <w:adjustRightInd w:val="0"/>
                    <w:snapToGrid w:val="0"/>
                    <w:spacing w:line="360" w:lineRule="auto"/>
                    <w:jc w:val="center"/>
                    <w:rPr>
                      <w:b/>
                      <w:bCs/>
                      <w:color w:val="auto"/>
                      <w:szCs w:val="21"/>
                    </w:rPr>
                  </w:pPr>
                  <w:r>
                    <w:rPr>
                      <w:rFonts w:hAnsi="宋体"/>
                      <w:b/>
                      <w:bCs/>
                      <w:color w:val="auto"/>
                      <w:szCs w:val="21"/>
                    </w:rPr>
                    <w:t>类</w:t>
                  </w:r>
                  <w:r>
                    <w:rPr>
                      <w:b/>
                      <w:bCs/>
                      <w:color w:val="auto"/>
                      <w:szCs w:val="21"/>
                    </w:rPr>
                    <w:t xml:space="preserve"> </w:t>
                  </w:r>
                  <w:r>
                    <w:rPr>
                      <w:rFonts w:hAnsi="宋体"/>
                      <w:b/>
                      <w:bCs/>
                      <w:color w:val="auto"/>
                      <w:szCs w:val="21"/>
                    </w:rPr>
                    <w:t>别</w:t>
                  </w:r>
                </w:p>
              </w:tc>
              <w:tc>
                <w:tcPr>
                  <w:tcW w:w="1917" w:type="dxa"/>
                  <w:vAlign w:val="center"/>
                </w:tcPr>
                <w:p>
                  <w:pPr>
                    <w:adjustRightInd w:val="0"/>
                    <w:snapToGrid w:val="0"/>
                    <w:spacing w:line="360" w:lineRule="auto"/>
                    <w:jc w:val="center"/>
                    <w:rPr>
                      <w:b/>
                      <w:bCs/>
                      <w:color w:val="auto"/>
                      <w:szCs w:val="21"/>
                    </w:rPr>
                  </w:pPr>
                  <w:r>
                    <w:rPr>
                      <w:rFonts w:hAnsi="宋体"/>
                      <w:b/>
                      <w:bCs/>
                      <w:color w:val="auto"/>
                      <w:szCs w:val="21"/>
                    </w:rPr>
                    <w:t>昼间</w:t>
                  </w:r>
                </w:p>
              </w:tc>
              <w:tc>
                <w:tcPr>
                  <w:tcW w:w="2078" w:type="dxa"/>
                  <w:vAlign w:val="center"/>
                </w:tcPr>
                <w:p>
                  <w:pPr>
                    <w:adjustRightInd w:val="0"/>
                    <w:snapToGrid w:val="0"/>
                    <w:spacing w:line="360" w:lineRule="auto"/>
                    <w:ind w:left="70" w:hanging="70"/>
                    <w:jc w:val="center"/>
                    <w:rPr>
                      <w:b/>
                      <w:bCs/>
                      <w:color w:val="auto"/>
                      <w:szCs w:val="21"/>
                    </w:rPr>
                  </w:pPr>
                  <w:r>
                    <w:rPr>
                      <w:rFonts w:hAnsi="宋体"/>
                      <w:b/>
                      <w:bCs/>
                      <w:color w:val="auto"/>
                      <w:szCs w:val="21"/>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4144" w:type="dxa"/>
                  <w:vAlign w:val="center"/>
                </w:tcPr>
                <w:p>
                  <w:pPr>
                    <w:adjustRightInd w:val="0"/>
                    <w:snapToGrid w:val="0"/>
                    <w:jc w:val="center"/>
                    <w:rPr>
                      <w:color w:val="auto"/>
                      <w:szCs w:val="21"/>
                    </w:rPr>
                  </w:pPr>
                  <w:r>
                    <w:rPr>
                      <w:rFonts w:hint="eastAsia"/>
                      <w:color w:val="auto"/>
                      <w:szCs w:val="21"/>
                    </w:rPr>
                    <w:t>《工业企业厂界环境噪声排放标准》2类</w:t>
                  </w:r>
                </w:p>
              </w:tc>
              <w:tc>
                <w:tcPr>
                  <w:tcW w:w="1917" w:type="dxa"/>
                  <w:vAlign w:val="center"/>
                </w:tcPr>
                <w:p>
                  <w:pPr>
                    <w:adjustRightInd w:val="0"/>
                    <w:snapToGrid w:val="0"/>
                    <w:jc w:val="center"/>
                    <w:rPr>
                      <w:color w:val="auto"/>
                      <w:szCs w:val="21"/>
                    </w:rPr>
                  </w:pPr>
                  <w:r>
                    <w:rPr>
                      <w:color w:val="auto"/>
                      <w:szCs w:val="21"/>
                    </w:rPr>
                    <w:t>≤6</w:t>
                  </w:r>
                  <w:r>
                    <w:rPr>
                      <w:rFonts w:hint="eastAsia"/>
                      <w:color w:val="auto"/>
                      <w:szCs w:val="21"/>
                    </w:rPr>
                    <w:t>0</w:t>
                  </w:r>
                </w:p>
              </w:tc>
              <w:tc>
                <w:tcPr>
                  <w:tcW w:w="2078" w:type="dxa"/>
                  <w:vAlign w:val="center"/>
                </w:tcPr>
                <w:p>
                  <w:pPr>
                    <w:adjustRightInd w:val="0"/>
                    <w:snapToGrid w:val="0"/>
                    <w:jc w:val="center"/>
                    <w:rPr>
                      <w:color w:val="auto"/>
                      <w:szCs w:val="21"/>
                    </w:rPr>
                  </w:pPr>
                  <w:r>
                    <w:rPr>
                      <w:color w:val="auto"/>
                      <w:szCs w:val="21"/>
                    </w:rPr>
                    <w:t>≤5</w:t>
                  </w:r>
                  <w:r>
                    <w:rPr>
                      <w:rFonts w:hint="eastAsia"/>
                      <w:color w:val="auto"/>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65" w:hRule="atLeast"/>
                <w:jc w:val="center"/>
              </w:trPr>
              <w:tc>
                <w:tcPr>
                  <w:tcW w:w="4144" w:type="dxa"/>
                  <w:vAlign w:val="center"/>
                </w:tcPr>
                <w:p>
                  <w:pPr>
                    <w:adjustRightInd w:val="0"/>
                    <w:snapToGrid w:val="0"/>
                    <w:jc w:val="center"/>
                    <w:rPr>
                      <w:rFonts w:hint="eastAsia"/>
                      <w:color w:val="auto"/>
                      <w:szCs w:val="21"/>
                    </w:rPr>
                  </w:pPr>
                  <w:r>
                    <w:rPr>
                      <w:rFonts w:hint="eastAsia"/>
                      <w:color w:val="auto"/>
                      <w:szCs w:val="21"/>
                    </w:rPr>
                    <w:t>《工业企业厂界环境噪声排放标准》</w:t>
                  </w:r>
                  <w:r>
                    <w:rPr>
                      <w:rFonts w:hint="eastAsia"/>
                      <w:color w:val="auto"/>
                      <w:szCs w:val="21"/>
                      <w:lang w:val="en-US" w:eastAsia="zh-CN"/>
                    </w:rPr>
                    <w:t>4</w:t>
                  </w:r>
                  <w:r>
                    <w:rPr>
                      <w:rFonts w:hint="eastAsia"/>
                      <w:color w:val="auto"/>
                      <w:szCs w:val="21"/>
                    </w:rPr>
                    <w:t>类</w:t>
                  </w:r>
                </w:p>
              </w:tc>
              <w:tc>
                <w:tcPr>
                  <w:tcW w:w="1917" w:type="dxa"/>
                  <w:vAlign w:val="center"/>
                </w:tcPr>
                <w:p>
                  <w:pPr>
                    <w:adjustRightInd w:val="0"/>
                    <w:snapToGrid w:val="0"/>
                    <w:jc w:val="center"/>
                    <w:rPr>
                      <w:rFonts w:hint="default" w:eastAsia="宋体"/>
                      <w:color w:val="auto"/>
                      <w:szCs w:val="21"/>
                      <w:lang w:val="en-US" w:eastAsia="zh-CN"/>
                    </w:rPr>
                  </w:pPr>
                  <w:r>
                    <w:rPr>
                      <w:color w:val="auto"/>
                      <w:szCs w:val="21"/>
                    </w:rPr>
                    <w:t>≤</w:t>
                  </w:r>
                  <w:r>
                    <w:rPr>
                      <w:rFonts w:hint="eastAsia"/>
                      <w:color w:val="auto"/>
                      <w:szCs w:val="21"/>
                      <w:lang w:val="en-US" w:eastAsia="zh-CN"/>
                    </w:rPr>
                    <w:t>70</w:t>
                  </w:r>
                </w:p>
              </w:tc>
              <w:tc>
                <w:tcPr>
                  <w:tcW w:w="2078" w:type="dxa"/>
                  <w:vAlign w:val="center"/>
                </w:tcPr>
                <w:p>
                  <w:pPr>
                    <w:adjustRightInd w:val="0"/>
                    <w:snapToGrid w:val="0"/>
                    <w:jc w:val="center"/>
                    <w:rPr>
                      <w:rFonts w:hint="eastAsia" w:eastAsia="宋体"/>
                      <w:color w:val="auto"/>
                      <w:szCs w:val="21"/>
                      <w:lang w:eastAsia="zh-CN"/>
                    </w:rPr>
                  </w:pPr>
                  <w:r>
                    <w:rPr>
                      <w:color w:val="auto"/>
                      <w:szCs w:val="21"/>
                    </w:rPr>
                    <w:t>≤5</w:t>
                  </w:r>
                  <w:r>
                    <w:rPr>
                      <w:rFonts w:hint="eastAsia"/>
                      <w:color w:val="auto"/>
                      <w:szCs w:val="21"/>
                      <w:lang w:val="en-US" w:eastAsia="zh-CN"/>
                    </w:rPr>
                    <w:t>5</w:t>
                  </w:r>
                </w:p>
              </w:tc>
            </w:tr>
          </w:tbl>
          <w:p>
            <w:pPr>
              <w:numPr>
                <w:ilvl w:val="0"/>
                <w:numId w:val="9"/>
              </w:numPr>
              <w:spacing w:line="360" w:lineRule="auto"/>
              <w:rPr>
                <w:color w:val="auto"/>
                <w:sz w:val="24"/>
              </w:rPr>
            </w:pPr>
            <w:r>
              <w:rPr>
                <w:color w:val="auto"/>
                <w:sz w:val="24"/>
              </w:rPr>
              <w:t>《工作场所有害因素职业接触限值》（GBZ2-2007</w:t>
            </w:r>
            <w:r>
              <w:rPr>
                <w:rFonts w:hint="eastAsia"/>
                <w:color w:val="auto"/>
                <w:sz w:val="24"/>
              </w:rPr>
              <w:t>）；</w:t>
            </w:r>
          </w:p>
          <w:p>
            <w:pPr>
              <w:numPr>
                <w:ilvl w:val="0"/>
                <w:numId w:val="9"/>
              </w:numPr>
              <w:spacing w:line="360" w:lineRule="auto"/>
              <w:rPr>
                <w:color w:val="auto"/>
              </w:rPr>
            </w:pPr>
            <w:r>
              <w:rPr>
                <w:rFonts w:hint="eastAsia"/>
                <w:color w:val="auto"/>
                <w:sz w:val="24"/>
              </w:rPr>
              <w:t>《一般工业固体废物贮存、处置场污染控制标准》（GB 18599-2001）（2013年修订）。</w:t>
            </w:r>
          </w:p>
          <w:p>
            <w:pPr>
              <w:numPr>
                <w:ilvl w:val="0"/>
                <w:numId w:val="9"/>
              </w:numPr>
              <w:spacing w:line="360" w:lineRule="auto"/>
              <w:rPr>
                <w:color w:val="auto"/>
              </w:rPr>
            </w:pPr>
            <w:r>
              <w:rPr>
                <w:color w:val="auto"/>
                <w:sz w:val="24"/>
                <w:szCs w:val="22"/>
              </w:rPr>
              <w:t>《危险废物贮存污染控制标准》(GB 18597-2001)（2013年修订）。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1" w:hRule="atLeast"/>
        </w:trPr>
        <w:tc>
          <w:tcPr>
            <w:tcW w:w="813" w:type="dxa"/>
            <w:tcBorders>
              <w:bottom w:val="single" w:color="000000" w:sz="6" w:space="0"/>
            </w:tcBorders>
            <w:vAlign w:val="center"/>
          </w:tcPr>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总</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量</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控</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制</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指</w:t>
            </w:r>
          </w:p>
          <w:p>
            <w:pPr>
              <w:pStyle w:val="54"/>
              <w:topLinePunct w:val="0"/>
              <w:autoSpaceDE/>
              <w:autoSpaceDN/>
              <w:adjustRightInd/>
              <w:spacing w:before="120" w:line="336" w:lineRule="auto"/>
              <w:textAlignment w:val="auto"/>
              <w:rPr>
                <w:rFonts w:ascii="Times New Roman" w:hAnsi="Times New Roman"/>
                <w:color w:val="auto"/>
                <w:kern w:val="2"/>
                <w:szCs w:val="24"/>
              </w:rPr>
            </w:pPr>
            <w:r>
              <w:rPr>
                <w:rFonts w:hint="eastAsia" w:ascii="Times New Roman" w:hAnsi="Times New Roman"/>
                <w:color w:val="auto"/>
                <w:kern w:val="2"/>
                <w:szCs w:val="24"/>
              </w:rPr>
              <w:t>标</w:t>
            </w:r>
          </w:p>
        </w:tc>
        <w:tc>
          <w:tcPr>
            <w:tcW w:w="8715" w:type="dxa"/>
            <w:tcBorders>
              <w:bottom w:val="single" w:color="000000" w:sz="6" w:space="0"/>
            </w:tcBorders>
            <w:vAlign w:val="center"/>
          </w:tcPr>
          <w:p>
            <w:pPr>
              <w:pStyle w:val="102"/>
              <w:rPr>
                <w:rFonts w:hAnsi="Times New Roman"/>
                <w:color w:val="auto"/>
              </w:rPr>
            </w:pPr>
          </w:p>
          <w:p>
            <w:pPr>
              <w:pStyle w:val="102"/>
              <w:rPr>
                <w:rFonts w:hAnsi="Times New Roman"/>
                <w:color w:val="auto"/>
              </w:rPr>
            </w:pPr>
          </w:p>
          <w:p>
            <w:pPr>
              <w:pStyle w:val="102"/>
              <w:rPr>
                <w:rFonts w:hAnsi="Times New Roman"/>
                <w:color w:val="auto"/>
              </w:rPr>
            </w:pPr>
          </w:p>
          <w:p>
            <w:pPr>
              <w:pStyle w:val="102"/>
              <w:rPr>
                <w:rFonts w:hAnsi="Times New Roman"/>
                <w:color w:val="auto"/>
              </w:rPr>
            </w:pPr>
            <w:r>
              <w:rPr>
                <w:rFonts w:hAnsi="Times New Roman"/>
                <w:color w:val="auto"/>
              </w:rPr>
              <w:t>根据《国务院关于印发“十三五”生态环境保护规划的通知》（国发[2016]65 号）、《广东省环境保护厅关于印发广东省环境保护“十三五”规划的通知》（粤环[2016]51号）及《国务院关于印发大气污染防治行动计划的通知》（国发[2013]37 号），总量控制指标主要为化学需氧量（ CODcr）、氨氮（NH</w:t>
            </w:r>
            <w:r>
              <w:rPr>
                <w:rFonts w:hAnsi="Times New Roman"/>
                <w:color w:val="auto"/>
                <w:vertAlign w:val="subscript"/>
              </w:rPr>
              <w:t>3</w:t>
            </w:r>
            <w:r>
              <w:rPr>
                <w:rFonts w:hAnsi="Times New Roman"/>
                <w:color w:val="auto"/>
              </w:rPr>
              <w:t>-N）、二氧化硫（SO</w:t>
            </w:r>
            <w:r>
              <w:rPr>
                <w:rFonts w:hAnsi="Times New Roman"/>
                <w:color w:val="auto"/>
                <w:vertAlign w:val="subscript"/>
              </w:rPr>
              <w:t>2</w:t>
            </w:r>
            <w:r>
              <w:rPr>
                <w:rFonts w:hAnsi="Times New Roman"/>
                <w:color w:val="auto"/>
              </w:rPr>
              <w:t>）</w:t>
            </w:r>
            <w:r>
              <w:rPr>
                <w:rFonts w:hint="eastAsia" w:hAnsi="Times New Roman"/>
                <w:color w:val="auto"/>
              </w:rPr>
              <w:t>、</w:t>
            </w:r>
            <w:r>
              <w:rPr>
                <w:rFonts w:hAnsi="Times New Roman"/>
                <w:color w:val="auto"/>
              </w:rPr>
              <w:t>氮氧化物（NOx）、总氮、总磷、挥发性有机物（VOCs）、重点行业的重点重金属。最终以当地环保主管部门下达的总量控制指标为准。</w:t>
            </w:r>
          </w:p>
          <w:p>
            <w:pPr>
              <w:pStyle w:val="102"/>
              <w:rPr>
                <w:rFonts w:hAnsi="Times New Roman"/>
                <w:color w:val="auto"/>
              </w:rPr>
            </w:pPr>
            <w:r>
              <w:rPr>
                <w:rFonts w:hAnsi="Times New Roman"/>
                <w:color w:val="auto"/>
              </w:rPr>
              <w:t>废气：项目污染物总量控制指标需由建设方向当地环保部门申请调整分配，经审批同意后方能实施。本项目废气总量控制指标见下表：</w:t>
            </w:r>
          </w:p>
          <w:p>
            <w:pPr>
              <w:pStyle w:val="138"/>
              <w:numPr>
                <w:ilvl w:val="0"/>
                <w:numId w:val="5"/>
              </w:numPr>
              <w:tabs>
                <w:tab w:val="left" w:pos="420"/>
              </w:tabs>
              <w:adjustRightInd/>
              <w:snapToGrid/>
              <w:spacing w:line="312" w:lineRule="auto"/>
              <w:ind w:left="0" w:firstLine="471"/>
              <w:rPr>
                <w:rFonts w:eastAsia="宋体" w:cs="Times New Roman"/>
                <w:b/>
                <w:color w:val="auto"/>
                <w:sz w:val="21"/>
                <w:szCs w:val="21"/>
              </w:rPr>
            </w:pPr>
            <w:r>
              <w:rPr>
                <w:rFonts w:eastAsia="宋体" w:cs="Times New Roman"/>
                <w:b/>
                <w:color w:val="auto"/>
                <w:sz w:val="21"/>
                <w:szCs w:val="21"/>
              </w:rPr>
              <w:t>项目废气总量控制指标</w:t>
            </w:r>
          </w:p>
          <w:tbl>
            <w:tblPr>
              <w:tblStyle w:val="44"/>
              <w:tblW w:w="7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8"/>
              <w:gridCol w:w="1726"/>
              <w:gridCol w:w="1404"/>
              <w:gridCol w:w="1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8" w:type="dxa"/>
                  <w:vAlign w:val="center"/>
                </w:tcPr>
                <w:p>
                  <w:pPr>
                    <w:kinsoku w:val="0"/>
                    <w:snapToGrid w:val="0"/>
                    <w:jc w:val="center"/>
                    <w:outlineLvl w:val="0"/>
                    <w:rPr>
                      <w:bCs/>
                      <w:color w:val="auto"/>
                      <w:szCs w:val="21"/>
                    </w:rPr>
                  </w:pPr>
                  <w:r>
                    <w:rPr>
                      <w:b/>
                      <w:color w:val="auto"/>
                      <w:szCs w:val="21"/>
                    </w:rPr>
                    <w:t>污染物</w:t>
                  </w:r>
                </w:p>
              </w:tc>
              <w:tc>
                <w:tcPr>
                  <w:tcW w:w="1726" w:type="dxa"/>
                  <w:vAlign w:val="center"/>
                </w:tcPr>
                <w:p>
                  <w:pPr>
                    <w:kinsoku w:val="0"/>
                    <w:snapToGrid w:val="0"/>
                    <w:jc w:val="center"/>
                    <w:outlineLvl w:val="0"/>
                    <w:rPr>
                      <w:bCs/>
                      <w:color w:val="auto"/>
                      <w:szCs w:val="21"/>
                    </w:rPr>
                  </w:pPr>
                  <w:r>
                    <w:rPr>
                      <w:b/>
                      <w:color w:val="auto"/>
                      <w:szCs w:val="21"/>
                    </w:rPr>
                    <w:t>排放方式</w:t>
                  </w:r>
                </w:p>
              </w:tc>
              <w:tc>
                <w:tcPr>
                  <w:tcW w:w="1404" w:type="dxa"/>
                  <w:vAlign w:val="center"/>
                </w:tcPr>
                <w:p>
                  <w:pPr>
                    <w:kinsoku w:val="0"/>
                    <w:snapToGrid w:val="0"/>
                    <w:jc w:val="center"/>
                    <w:outlineLvl w:val="0"/>
                    <w:rPr>
                      <w:b/>
                      <w:color w:val="auto"/>
                      <w:szCs w:val="21"/>
                    </w:rPr>
                  </w:pPr>
                  <w:r>
                    <w:rPr>
                      <w:b/>
                      <w:color w:val="auto"/>
                      <w:szCs w:val="21"/>
                    </w:rPr>
                    <w:t>排放量</w:t>
                  </w:r>
                </w:p>
                <w:p>
                  <w:pPr>
                    <w:kinsoku w:val="0"/>
                    <w:snapToGrid w:val="0"/>
                    <w:jc w:val="center"/>
                    <w:outlineLvl w:val="0"/>
                    <w:rPr>
                      <w:bCs/>
                      <w:color w:val="auto"/>
                      <w:szCs w:val="21"/>
                    </w:rPr>
                  </w:pPr>
                  <w:r>
                    <w:rPr>
                      <w:b/>
                      <w:color w:val="auto"/>
                      <w:szCs w:val="21"/>
                    </w:rPr>
                    <w:t>（t/a）</w:t>
                  </w:r>
                </w:p>
              </w:tc>
              <w:tc>
                <w:tcPr>
                  <w:tcW w:w="1707" w:type="dxa"/>
                  <w:vAlign w:val="center"/>
                </w:tcPr>
                <w:p>
                  <w:pPr>
                    <w:kinsoku w:val="0"/>
                    <w:snapToGrid w:val="0"/>
                    <w:jc w:val="center"/>
                    <w:outlineLvl w:val="0"/>
                    <w:rPr>
                      <w:b/>
                      <w:color w:val="auto"/>
                      <w:szCs w:val="21"/>
                    </w:rPr>
                  </w:pPr>
                  <w:r>
                    <w:rPr>
                      <w:b/>
                      <w:color w:val="auto"/>
                      <w:szCs w:val="21"/>
                    </w:rPr>
                    <w:t>合计</w:t>
                  </w:r>
                </w:p>
                <w:p>
                  <w:pPr>
                    <w:kinsoku w:val="0"/>
                    <w:snapToGrid w:val="0"/>
                    <w:jc w:val="center"/>
                    <w:outlineLvl w:val="0"/>
                    <w:rPr>
                      <w:bCs/>
                      <w:color w:val="auto"/>
                      <w:szCs w:val="21"/>
                    </w:rPr>
                  </w:pPr>
                  <w:r>
                    <w:rPr>
                      <w:b/>
                      <w:color w:val="auto"/>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8" w:type="dxa"/>
                  <w:vMerge w:val="restart"/>
                  <w:vAlign w:val="center"/>
                </w:tcPr>
                <w:p>
                  <w:pPr>
                    <w:pStyle w:val="2"/>
                    <w:tabs>
                      <w:tab w:val="left" w:pos="607"/>
                    </w:tabs>
                    <w:snapToGrid w:val="0"/>
                    <w:jc w:val="center"/>
                    <w:rPr>
                      <w:rFonts w:ascii="Times New Roman" w:cs="Times New Roman"/>
                      <w:bCs/>
                      <w:color w:val="auto"/>
                      <w:sz w:val="21"/>
                      <w:szCs w:val="21"/>
                    </w:rPr>
                  </w:pPr>
                  <w:r>
                    <w:rPr>
                      <w:rFonts w:ascii="Times New Roman" w:cs="Times New Roman"/>
                      <w:color w:val="auto"/>
                      <w:sz w:val="21"/>
                      <w:szCs w:val="21"/>
                    </w:rPr>
                    <w:t>VOCs</w:t>
                  </w:r>
                  <w:r>
                    <w:rPr>
                      <w:rFonts w:hint="eastAsia"/>
                      <w:color w:val="auto"/>
                      <w:sz w:val="21"/>
                      <w:szCs w:val="21"/>
                    </w:rPr>
                    <w:t>（以</w:t>
                  </w:r>
                  <w:r>
                    <w:rPr>
                      <w:color w:val="auto"/>
                      <w:sz w:val="21"/>
                      <w:szCs w:val="21"/>
                    </w:rPr>
                    <w:t>非甲烷总烃</w:t>
                  </w:r>
                  <w:r>
                    <w:rPr>
                      <w:rFonts w:hint="eastAsia" w:ascii="Times New Roman" w:cs="Times New Roman"/>
                      <w:color w:val="auto"/>
                      <w:sz w:val="21"/>
                      <w:szCs w:val="21"/>
                    </w:rPr>
                    <w:t>计）</w:t>
                  </w:r>
                </w:p>
              </w:tc>
              <w:tc>
                <w:tcPr>
                  <w:tcW w:w="1726" w:type="dxa"/>
                  <w:vAlign w:val="center"/>
                </w:tcPr>
                <w:p>
                  <w:pPr>
                    <w:pStyle w:val="2"/>
                    <w:tabs>
                      <w:tab w:val="left" w:pos="607"/>
                    </w:tabs>
                    <w:snapToGrid w:val="0"/>
                    <w:spacing w:line="360" w:lineRule="auto"/>
                    <w:jc w:val="center"/>
                    <w:rPr>
                      <w:rFonts w:ascii="Times New Roman" w:cs="Times New Roman"/>
                      <w:bCs/>
                      <w:color w:val="auto"/>
                      <w:sz w:val="21"/>
                      <w:szCs w:val="21"/>
                    </w:rPr>
                  </w:pPr>
                  <w:r>
                    <w:rPr>
                      <w:rFonts w:ascii="Times New Roman" w:cs="Times New Roman"/>
                      <w:bCs/>
                      <w:color w:val="auto"/>
                      <w:sz w:val="21"/>
                      <w:szCs w:val="21"/>
                    </w:rPr>
                    <w:t>有组织</w:t>
                  </w:r>
                </w:p>
              </w:tc>
              <w:tc>
                <w:tcPr>
                  <w:tcW w:w="1404" w:type="dxa"/>
                  <w:vAlign w:val="center"/>
                </w:tcPr>
                <w:p>
                  <w:pPr>
                    <w:pStyle w:val="55"/>
                    <w:snapToGrid w:val="0"/>
                    <w:rPr>
                      <w:rFonts w:hint="default" w:ascii="Times New Roman" w:hAnsi="Times New Roman" w:eastAsia="宋体"/>
                      <w:bCs/>
                      <w:color w:val="auto"/>
                      <w:szCs w:val="21"/>
                      <w:lang w:val="en-US" w:eastAsia="zh-CN"/>
                    </w:rPr>
                  </w:pPr>
                  <w:r>
                    <w:rPr>
                      <w:rFonts w:hint="eastAsia" w:ascii="Times New Roman" w:hAnsi="Times New Roman"/>
                      <w:color w:val="auto"/>
                      <w:szCs w:val="21"/>
                    </w:rPr>
                    <w:t>0.0</w:t>
                  </w:r>
                  <w:r>
                    <w:rPr>
                      <w:rFonts w:hint="eastAsia" w:ascii="Times New Roman" w:hAnsi="Times New Roman"/>
                      <w:color w:val="auto"/>
                      <w:szCs w:val="21"/>
                      <w:lang w:val="en-US" w:eastAsia="zh-CN"/>
                    </w:rPr>
                    <w:t>22</w:t>
                  </w:r>
                </w:p>
              </w:tc>
              <w:tc>
                <w:tcPr>
                  <w:tcW w:w="1707" w:type="dxa"/>
                  <w:vMerge w:val="restart"/>
                  <w:vAlign w:val="center"/>
                </w:tcPr>
                <w:p>
                  <w:pPr>
                    <w:spacing w:line="360" w:lineRule="auto"/>
                    <w:jc w:val="center"/>
                    <w:textAlignment w:val="center"/>
                    <w:rPr>
                      <w:rFonts w:hint="default" w:eastAsia="宋体"/>
                      <w:bCs/>
                      <w:color w:val="auto"/>
                      <w:szCs w:val="21"/>
                      <w:lang w:val="en-US" w:eastAsia="zh-CN"/>
                    </w:rPr>
                  </w:pPr>
                  <w:r>
                    <w:rPr>
                      <w:rFonts w:hint="eastAsia"/>
                      <w:bCs/>
                      <w:color w:val="auto"/>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8" w:type="dxa"/>
                  <w:vMerge w:val="continue"/>
                  <w:vAlign w:val="center"/>
                </w:tcPr>
                <w:p>
                  <w:pPr>
                    <w:pStyle w:val="2"/>
                    <w:tabs>
                      <w:tab w:val="left" w:pos="607"/>
                    </w:tabs>
                    <w:snapToGrid w:val="0"/>
                    <w:spacing w:line="360" w:lineRule="auto"/>
                    <w:jc w:val="center"/>
                    <w:rPr>
                      <w:rFonts w:ascii="Times New Roman" w:cs="Times New Roman"/>
                      <w:bCs/>
                      <w:color w:val="auto"/>
                      <w:sz w:val="21"/>
                      <w:szCs w:val="21"/>
                    </w:rPr>
                  </w:pPr>
                </w:p>
              </w:tc>
              <w:tc>
                <w:tcPr>
                  <w:tcW w:w="1726" w:type="dxa"/>
                  <w:vAlign w:val="center"/>
                </w:tcPr>
                <w:p>
                  <w:pPr>
                    <w:pStyle w:val="2"/>
                    <w:tabs>
                      <w:tab w:val="left" w:pos="607"/>
                    </w:tabs>
                    <w:snapToGrid w:val="0"/>
                    <w:spacing w:line="360" w:lineRule="auto"/>
                    <w:jc w:val="center"/>
                    <w:rPr>
                      <w:rFonts w:ascii="Times New Roman" w:cs="Times New Roman"/>
                      <w:bCs/>
                      <w:color w:val="auto"/>
                      <w:sz w:val="21"/>
                      <w:szCs w:val="21"/>
                    </w:rPr>
                  </w:pPr>
                  <w:r>
                    <w:rPr>
                      <w:rFonts w:ascii="Times New Roman" w:cs="Times New Roman"/>
                      <w:bCs/>
                      <w:color w:val="auto"/>
                      <w:sz w:val="21"/>
                      <w:szCs w:val="21"/>
                    </w:rPr>
                    <w:t>无组织</w:t>
                  </w:r>
                </w:p>
              </w:tc>
              <w:tc>
                <w:tcPr>
                  <w:tcW w:w="1404" w:type="dxa"/>
                  <w:vAlign w:val="center"/>
                </w:tcPr>
                <w:p>
                  <w:pPr>
                    <w:pStyle w:val="55"/>
                    <w:snapToGrid w:val="0"/>
                    <w:rPr>
                      <w:rFonts w:hint="default" w:ascii="Times New Roman" w:hAnsi="Times New Roman" w:eastAsia="宋体"/>
                      <w:bCs/>
                      <w:color w:val="auto"/>
                      <w:szCs w:val="21"/>
                      <w:lang w:val="en-US" w:eastAsia="zh-CN"/>
                    </w:rPr>
                  </w:pPr>
                  <w:r>
                    <w:rPr>
                      <w:rFonts w:hint="eastAsia" w:ascii="Times New Roman" w:hAnsi="Times New Roman"/>
                      <w:color w:val="auto"/>
                      <w:szCs w:val="21"/>
                    </w:rPr>
                    <w:t>0.0</w:t>
                  </w:r>
                  <w:r>
                    <w:rPr>
                      <w:rFonts w:hint="eastAsia" w:ascii="Times New Roman" w:hAnsi="Times New Roman"/>
                      <w:color w:val="auto"/>
                      <w:szCs w:val="21"/>
                      <w:lang w:val="en-US" w:eastAsia="zh-CN"/>
                    </w:rPr>
                    <w:t>28</w:t>
                  </w:r>
                </w:p>
              </w:tc>
              <w:tc>
                <w:tcPr>
                  <w:tcW w:w="1707" w:type="dxa"/>
                  <w:vMerge w:val="continue"/>
                  <w:vAlign w:val="center"/>
                </w:tcPr>
                <w:p>
                  <w:pPr>
                    <w:spacing w:line="360" w:lineRule="auto"/>
                    <w:jc w:val="center"/>
                    <w:textAlignment w:val="center"/>
                    <w:rPr>
                      <w:bCs/>
                      <w:color w:val="auto"/>
                      <w:szCs w:val="21"/>
                    </w:rPr>
                  </w:pPr>
                </w:p>
              </w:tc>
            </w:tr>
          </w:tbl>
          <w:p>
            <w:pPr>
              <w:spacing w:line="360" w:lineRule="auto"/>
              <w:ind w:firstLine="480" w:firstLineChars="200"/>
              <w:rPr>
                <w:color w:val="auto"/>
                <w:sz w:val="24"/>
              </w:rPr>
            </w:pPr>
            <w:r>
              <w:rPr>
                <w:color w:val="auto"/>
                <w:sz w:val="24"/>
              </w:rPr>
              <w:t>废水：项目生活污水进入开平市水口污水处理厂处理，水污染物排放总量由区域性调控解决，不分配CODcr、氨氮等总量控制指标。</w:t>
            </w:r>
          </w:p>
          <w:p>
            <w:pPr>
              <w:spacing w:line="360" w:lineRule="auto"/>
              <w:ind w:firstLine="480" w:firstLineChars="200"/>
              <w:rPr>
                <w:color w:val="auto"/>
                <w:sz w:val="24"/>
              </w:rPr>
            </w:pPr>
          </w:p>
          <w:p>
            <w:pPr>
              <w:pStyle w:val="2"/>
              <w:rPr>
                <w:color w:val="auto"/>
                <w:sz w:val="24"/>
              </w:rPr>
            </w:pPr>
          </w:p>
          <w:p>
            <w:pPr>
              <w:pStyle w:val="4"/>
              <w:rPr>
                <w:color w:val="auto"/>
                <w:sz w:val="24"/>
              </w:rPr>
            </w:pPr>
          </w:p>
          <w:p>
            <w:pPr>
              <w:pStyle w:val="5"/>
              <w:rPr>
                <w:color w:val="auto"/>
              </w:rPr>
            </w:pPr>
          </w:p>
          <w:p>
            <w:pPr>
              <w:pStyle w:val="4"/>
              <w:rPr>
                <w:color w:val="auto"/>
              </w:rPr>
            </w:pPr>
          </w:p>
          <w:p>
            <w:pPr>
              <w:pStyle w:val="2"/>
              <w:rPr>
                <w:color w:val="auto"/>
                <w:sz w:val="24"/>
              </w:rPr>
            </w:pPr>
          </w:p>
          <w:p>
            <w:pPr>
              <w:pStyle w:val="4"/>
              <w:rPr>
                <w:color w:val="auto"/>
                <w:sz w:val="24"/>
              </w:rPr>
            </w:pPr>
          </w:p>
          <w:p>
            <w:pPr>
              <w:pStyle w:val="7"/>
              <w:rPr>
                <w:color w:val="auto"/>
              </w:rPr>
            </w:pPr>
          </w:p>
          <w:p>
            <w:pPr>
              <w:spacing w:line="360" w:lineRule="auto"/>
              <w:ind w:firstLine="420" w:firstLineChars="200"/>
              <w:rPr>
                <w:color w:val="auto"/>
              </w:rPr>
            </w:pPr>
          </w:p>
        </w:tc>
      </w:tr>
    </w:tbl>
    <w:p>
      <w:pPr>
        <w:spacing w:line="300" w:lineRule="auto"/>
        <w:ind w:firstLine="454"/>
        <w:rPr>
          <w:color w:val="auto"/>
          <w:sz w:val="28"/>
        </w:rPr>
        <w:sectPr>
          <w:footerReference r:id="rId12" w:type="default"/>
          <w:pgSz w:w="11907" w:h="16840"/>
          <w:pgMar w:top="1246" w:right="1134" w:bottom="971" w:left="1418" w:header="0" w:footer="898" w:gutter="0"/>
          <w:cols w:space="720" w:num="1"/>
          <w:docGrid w:linePitch="326" w:charSpace="-4916"/>
        </w:sectPr>
      </w:pPr>
    </w:p>
    <w:p>
      <w:pPr>
        <w:pStyle w:val="42"/>
        <w:spacing w:before="0"/>
        <w:jc w:val="left"/>
        <w:rPr>
          <w:rFonts w:ascii="Times New Roman" w:hAnsi="Times New Roman"/>
          <w:color w:val="auto"/>
        </w:rPr>
      </w:pPr>
      <w:r>
        <w:rPr>
          <w:rFonts w:hint="eastAsia" w:ascii="Times New Roman" w:hAnsi="Times New Roman"/>
          <w:color w:val="auto"/>
        </w:rPr>
        <w:t>建设项目工程分析</w:t>
      </w:r>
    </w:p>
    <w:tbl>
      <w:tblPr>
        <w:tblStyle w:val="44"/>
        <w:tblW w:w="988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88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015" w:hRule="atLeast"/>
          <w:jc w:val="center"/>
        </w:trPr>
        <w:tc>
          <w:tcPr>
            <w:tcW w:w="9888" w:type="dxa"/>
            <w:tcBorders>
              <w:bottom w:val="single" w:color="auto" w:sz="4" w:space="0"/>
            </w:tcBorders>
          </w:tcPr>
          <w:p>
            <w:pPr>
              <w:numPr>
                <w:ilvl w:val="0"/>
                <w:numId w:val="10"/>
              </w:numPr>
              <w:spacing w:line="288" w:lineRule="auto"/>
              <w:rPr>
                <w:b/>
                <w:bCs/>
                <w:color w:val="auto"/>
                <w:sz w:val="24"/>
              </w:rPr>
            </w:pPr>
            <w:r>
              <w:rPr>
                <w:rFonts w:hint="eastAsia"/>
                <w:b/>
                <w:bCs/>
                <w:color w:val="auto"/>
                <w:sz w:val="24"/>
              </w:rPr>
              <w:t>工艺流程简述(图示):</w:t>
            </w:r>
          </w:p>
          <w:p>
            <w:pPr>
              <w:spacing w:line="288" w:lineRule="auto"/>
              <w:rPr>
                <w:b/>
                <w:bCs/>
                <w:color w:val="auto"/>
                <w:szCs w:val="21"/>
              </w:rPr>
            </w:pPr>
            <w:r>
              <w:rPr>
                <w:b/>
                <w:bCs/>
                <w:color w:val="auto"/>
                <w:szCs w:val="21"/>
              </w:rPr>
              <w:t>（注：G</w:t>
            </w:r>
            <w:r>
              <w:rPr>
                <w:rFonts w:hint="eastAsia"/>
                <w:b/>
                <w:bCs/>
                <w:color w:val="auto"/>
                <w:szCs w:val="21"/>
                <w:vertAlign w:val="subscript"/>
              </w:rPr>
              <w:t>1</w:t>
            </w:r>
            <w:r>
              <w:rPr>
                <w:rFonts w:hint="eastAsia"/>
                <w:b/>
                <w:bCs/>
                <w:color w:val="auto"/>
                <w:szCs w:val="21"/>
              </w:rPr>
              <w:t>为投料粉尘，</w:t>
            </w:r>
            <w:r>
              <w:rPr>
                <w:b/>
                <w:bCs/>
                <w:color w:val="auto"/>
                <w:szCs w:val="21"/>
              </w:rPr>
              <w:t>G</w:t>
            </w:r>
            <w:r>
              <w:rPr>
                <w:rFonts w:hint="eastAsia"/>
                <w:b/>
                <w:bCs/>
                <w:color w:val="auto"/>
                <w:szCs w:val="21"/>
                <w:vertAlign w:val="subscript"/>
              </w:rPr>
              <w:t>2</w:t>
            </w:r>
            <w:r>
              <w:rPr>
                <w:rFonts w:hint="eastAsia"/>
                <w:b/>
                <w:bCs/>
                <w:color w:val="auto"/>
                <w:szCs w:val="21"/>
              </w:rPr>
              <w:t>为非甲烷总烃</w:t>
            </w:r>
            <w:r>
              <w:rPr>
                <w:rFonts w:hint="eastAsia"/>
                <w:b/>
                <w:bCs/>
                <w:color w:val="auto"/>
                <w:szCs w:val="21"/>
                <w:lang w:eastAsia="zh-CN"/>
              </w:rPr>
              <w:t>、臭气</w:t>
            </w:r>
            <w:r>
              <w:rPr>
                <w:b/>
                <w:bCs/>
                <w:color w:val="auto"/>
                <w:szCs w:val="21"/>
              </w:rPr>
              <w:t>；</w:t>
            </w:r>
            <w:r>
              <w:rPr>
                <w:rFonts w:hint="eastAsia"/>
                <w:b/>
                <w:bCs/>
                <w:color w:val="auto"/>
                <w:szCs w:val="21"/>
              </w:rPr>
              <w:t xml:space="preserve"> S为一般工业固废；N</w:t>
            </w:r>
            <w:r>
              <w:rPr>
                <w:b/>
                <w:bCs/>
                <w:color w:val="auto"/>
                <w:szCs w:val="21"/>
              </w:rPr>
              <w:t>为噪声</w:t>
            </w:r>
            <w:r>
              <w:rPr>
                <w:rFonts w:hint="eastAsia"/>
                <w:b/>
                <w:bCs/>
                <w:color w:val="auto"/>
                <w:szCs w:val="21"/>
              </w:rPr>
              <w:t>。</w:t>
            </w:r>
            <w:r>
              <w:rPr>
                <w:b/>
                <w:bCs/>
                <w:color w:val="auto"/>
                <w:szCs w:val="21"/>
              </w:rPr>
              <w:t>）</w:t>
            </w:r>
          </w:p>
          <w:p>
            <w:pPr>
              <w:spacing w:line="360" w:lineRule="auto"/>
              <w:rPr>
                <w:b/>
                <w:bCs/>
                <w:color w:val="auto"/>
                <w:sz w:val="24"/>
              </w:rPr>
            </w:pPr>
            <w:r>
              <w:rPr>
                <w:b/>
                <w:bCs/>
                <w:color w:val="auto"/>
                <w:sz w:val="24"/>
              </w:rPr>
              <w:pict>
                <v:group id="_x0000_s2090" o:spid="_x0000_s2090" o:spt="203" style="height:129.5pt;width:485.35pt;" coordorigin="3135,4408" coordsize="9706,2588" editas="canvas">
                  <o:lock v:ext="edit"/>
                  <v:shape id="_x0000_s1082" o:spid="_x0000_s1082" o:spt="75" type="#_x0000_t75" style="position:absolute;left:3135;top:4408;height:2588;width:9706;" filled="f" o:preferrelative="t" stroked="f" coordsize="21600,21600">
                    <v:path/>
                    <v:fill on="f" focussize="0,0"/>
                    <v:stroke on="f" joinstyle="miter"/>
                    <v:imagedata o:title=""/>
                    <o:lock v:ext="edit" text="t" aspectratio="t"/>
                  </v:shape>
                  <v:shape id="_x0000_s2091" o:spid="_x0000_s2091" o:spt="202" type="#_x0000_t202" style="position:absolute;left:3465;top:4847;height:778;width:2365;" filled="f" coordsize="21600,21600">
                    <v:path/>
                    <v:fill on="f" focussize="0,0"/>
                    <v:stroke weight="0.25pt" joinstyle="miter"/>
                    <v:imagedata o:title=""/>
                    <o:lock v:ext="edit"/>
                    <v:textbox>
                      <w:txbxContent>
                        <w:p>
                          <w:r>
                            <w:rPr>
                              <w:rFonts w:hint="eastAsia"/>
                              <w:szCs w:val="21"/>
                            </w:rPr>
                            <w:t>PVC塑胶粉、增塑剂、碳酸钙粉、色粉</w:t>
                          </w:r>
                        </w:p>
                      </w:txbxContent>
                    </v:textbox>
                  </v:shape>
                  <v:shape id="_x0000_s2092" o:spid="_x0000_s2092" o:spt="202" type="#_x0000_t202" style="position:absolute;left:8482;top:5009;height:465;width:1241;" filled="f" coordsize="21600,21600">
                    <v:path/>
                    <v:fill on="f" focussize="0,0"/>
                    <v:stroke weight="0.25pt" joinstyle="miter"/>
                    <v:imagedata o:title=""/>
                    <o:lock v:ext="edit"/>
                    <v:textbox>
                      <w:txbxContent>
                        <w:p>
                          <w:pPr>
                            <w:jc w:val="center"/>
                          </w:pPr>
                          <w:r>
                            <w:rPr>
                              <w:rFonts w:hint="eastAsia"/>
                            </w:rPr>
                            <w:t>挤出成型</w:t>
                          </w:r>
                        </w:p>
                      </w:txbxContent>
                    </v:textbox>
                  </v:shape>
                  <v:shape id="_x0000_s2093" o:spid="_x0000_s2093" o:spt="32" type="#_x0000_t32" style="position:absolute;left:5845;top:5236;height:14;width:363;" filled="f" coordsize="21600,21600">
                    <v:path arrowok="t"/>
                    <v:fill on="f" focussize="0,0"/>
                    <v:stroke weight="0.25pt" endarrow="block"/>
                    <v:imagedata o:title=""/>
                    <o:lock v:ext="edit"/>
                  </v:shape>
                  <v:shape id="_x0000_s2094" o:spid="_x0000_s2094" o:spt="202" type="#_x0000_t202" style="position:absolute;left:9523;top:6544;height:477;width:1334;" filled="f" stroked="f" coordsize="21600,21600">
                    <v:path/>
                    <v:fill on="f" focussize="0,0"/>
                    <v:stroke on="f" joinstyle="miter"/>
                    <v:imagedata o:title=""/>
                    <o:lock v:ext="edit"/>
                    <v:textbox>
                      <w:txbxContent>
                        <w:p>
                          <w:pPr>
                            <w:jc w:val="center"/>
                          </w:pPr>
                          <w:r>
                            <w:rPr>
                              <w:bCs/>
                            </w:rPr>
                            <w:t>G</w:t>
                          </w:r>
                          <w:r>
                            <w:rPr>
                              <w:rFonts w:hint="eastAsia"/>
                              <w:bCs/>
                              <w:vertAlign w:val="subscript"/>
                            </w:rPr>
                            <w:t>2</w:t>
                          </w:r>
                          <w:r>
                            <w:rPr>
                              <w:rFonts w:hint="eastAsia"/>
                              <w:bCs/>
                            </w:rPr>
                            <w:t>S</w:t>
                          </w:r>
                          <w:r>
                            <w:t>N</w:t>
                          </w:r>
                          <w:r>
                            <w:rPr>
                              <w:rFonts w:hint="eastAsia"/>
                            </w:rPr>
                            <w:t xml:space="preserve"> </w:t>
                          </w:r>
                        </w:p>
                      </w:txbxContent>
                    </v:textbox>
                  </v:shape>
                  <v:shape id="_x0000_s2095" o:spid="_x0000_s2095" o:spt="202" type="#_x0000_t202" style="position:absolute;left:11350;top:6030;height:465;width:875;" filled="f" coordsize="21600,21600">
                    <v:path/>
                    <v:fill on="f" focussize="0,0"/>
                    <v:stroke weight="0.25pt" joinstyle="miter"/>
                    <v:imagedata o:title=""/>
                    <o:lock v:ext="edit"/>
                    <v:textbox>
                      <w:txbxContent>
                        <w:p>
                          <w:pPr>
                            <w:jc w:val="center"/>
                          </w:pPr>
                          <w:r>
                            <w:rPr>
                              <w:rFonts w:hint="eastAsia"/>
                            </w:rPr>
                            <w:t>编织</w:t>
                          </w:r>
                        </w:p>
                      </w:txbxContent>
                    </v:textbox>
                  </v:shape>
                  <v:shape id="_x0000_s2096" o:spid="_x0000_s2096" o:spt="202" type="#_x0000_t202" style="position:absolute;left:6717;top:6544;height:477;width:945;" filled="f" stroked="f" coordsize="21600,21600">
                    <v:path/>
                    <v:fill on="f" focussize="0,0"/>
                    <v:stroke on="f" joinstyle="miter"/>
                    <v:imagedata o:title=""/>
                    <o:lock v:ext="edit"/>
                    <v:textbox>
                      <w:txbxContent>
                        <w:p>
                          <w:pPr>
                            <w:jc w:val="center"/>
                          </w:pPr>
                          <w:r>
                            <w:rPr>
                              <w:rFonts w:hint="eastAsia"/>
                              <w:bCs/>
                            </w:rPr>
                            <w:t>S</w:t>
                          </w:r>
                        </w:p>
                      </w:txbxContent>
                    </v:textbox>
                  </v:shape>
                  <v:shape id="_x0000_s2097" o:spid="_x0000_s2097" o:spt="202" type="#_x0000_t202" style="position:absolute;left:7363;top:5021;height:440;width:741;" filled="f" coordsize="21600,21600">
                    <v:path/>
                    <v:fill on="f" focussize="0,0"/>
                    <v:stroke weight="0.25pt" joinstyle="miter"/>
                    <v:imagedata o:title=""/>
                    <o:lock v:ext="edit"/>
                    <v:textbox>
                      <w:txbxContent>
                        <w:p>
                          <w:pPr>
                            <w:jc w:val="center"/>
                          </w:pPr>
                          <w:r>
                            <w:rPr>
                              <w:rFonts w:hint="eastAsia"/>
                            </w:rPr>
                            <w:t>造粒</w:t>
                          </w:r>
                        </w:p>
                      </w:txbxContent>
                    </v:textbox>
                  </v:shape>
                  <v:shape id="_x0000_s2098" o:spid="_x0000_s2098" o:spt="32" type="#_x0000_t32" style="position:absolute;left:8113;top:5243;flip:y;height:7;width:384;" filled="f" coordsize="21600,21600">
                    <v:path arrowok="t"/>
                    <v:fill on="f" focussize="0,0"/>
                    <v:stroke weight="0.25pt" endarrow="block"/>
                    <v:imagedata o:title=""/>
                    <o:lock v:ext="edit"/>
                  </v:shape>
                  <v:shape id="_x0000_s2099" o:spid="_x0000_s2099" o:spt="202" type="#_x0000_t202" style="position:absolute;left:11293;top:4631;height:460;width:931;" filled="f" stroked="f" coordsize="21600,21600">
                    <v:path/>
                    <v:fill on="f" focussize="0,0"/>
                    <v:stroke on="f" joinstyle="miter"/>
                    <v:imagedata o:title=""/>
                    <o:lock v:ext="edit"/>
                    <v:textbox>
                      <w:txbxContent>
                        <w:p>
                          <w:pPr>
                            <w:jc w:val="center"/>
                          </w:pPr>
                          <w:r>
                            <w:t>N</w:t>
                          </w:r>
                          <w:r>
                            <w:rPr>
                              <w:rFonts w:hint="eastAsia"/>
                            </w:rPr>
                            <w:t xml:space="preserve"> </w:t>
                          </w:r>
                        </w:p>
                      </w:txbxContent>
                    </v:textbox>
                  </v:shape>
                  <v:shape id="_x0000_s2100" o:spid="_x0000_s2100" o:spt="202" type="#_x0000_t202" style="position:absolute;left:9476;top:6055;height:460;width:1385;" filled="f" coordsize="21600,21600">
                    <v:path/>
                    <v:fill on="f" focussize="0,0"/>
                    <v:stroke weight="0.25pt" joinstyle="miter"/>
                    <v:imagedata o:title=""/>
                    <o:lock v:ext="edit"/>
                    <v:textbox>
                      <w:txbxContent>
                        <w:p>
                          <w:pPr>
                            <w:jc w:val="center"/>
                          </w:pPr>
                          <w:r>
                            <w:rPr>
                              <w:rFonts w:hint="eastAsia"/>
                            </w:rPr>
                            <w:t>挤出成型</w:t>
                          </w:r>
                        </w:p>
                      </w:txbxContent>
                    </v:textbox>
                  </v:shape>
                  <v:shape id="_x0000_s2101" o:spid="_x0000_s2101" o:spt="32" type="#_x0000_t32" style="position:absolute;left:11763;top:5514;flip:x;height:528;width:4;" filled="f" coordsize="21600,21600">
                    <v:path arrowok="t"/>
                    <v:fill on="f" focussize="0,0"/>
                    <v:stroke weight="0.25pt" endarrow="block"/>
                    <v:imagedata o:title=""/>
                    <o:lock v:ext="edit"/>
                  </v:shape>
                  <v:shape id="_x0000_s2102" o:spid="_x0000_s2102" o:spt="202" type="#_x0000_t202" style="position:absolute;left:6208;top:5021;height:440;width:770;" filled="f" coordsize="21600,21600">
                    <v:path/>
                    <v:fill on="f" focussize="0,0"/>
                    <v:stroke weight="0.25pt" joinstyle="miter"/>
                    <v:imagedata o:title=""/>
                    <o:lock v:ext="edit"/>
                    <v:textbox>
                      <w:txbxContent>
                        <w:p>
                          <w:pPr>
                            <w:jc w:val="center"/>
                          </w:pPr>
                          <w:r>
                            <w:rPr>
                              <w:rFonts w:hint="eastAsia"/>
                            </w:rPr>
                            <w:t>混料</w:t>
                          </w:r>
                        </w:p>
                      </w:txbxContent>
                    </v:textbox>
                  </v:shape>
                  <v:shape id="_x0000_s2103" o:spid="_x0000_s2103" o:spt="32" type="#_x0000_t32" style="position:absolute;left:6988;top:5242;flip:y;height:0;width:380;" filled="f" coordsize="21600,21600">
                    <v:path arrowok="t"/>
                    <v:fill on="f" focussize="0,0"/>
                    <v:stroke weight="0.25pt" endarrow="block"/>
                    <v:imagedata o:title=""/>
                    <o:lock v:ext="edit"/>
                  </v:shape>
                  <v:shape id="_x0000_s2104" o:spid="_x0000_s2104" o:spt="202" type="#_x0000_t202" style="position:absolute;left:5368;top:6550;height:460;width:940;" filled="f" stroked="f" coordsize="21600,21600">
                    <v:path/>
                    <v:fill on="f" focussize="0,0"/>
                    <v:stroke on="f" joinstyle="miter"/>
                    <v:imagedata o:title=""/>
                    <o:lock v:ext="edit"/>
                    <v:textbox>
                      <w:txbxContent>
                        <w:p>
                          <w:pPr>
                            <w:jc w:val="center"/>
                          </w:pPr>
                          <w:r>
                            <w:rPr>
                              <w:rFonts w:hint="eastAsia"/>
                              <w:bCs/>
                            </w:rPr>
                            <w:t>S</w:t>
                          </w:r>
                        </w:p>
                      </w:txbxContent>
                    </v:textbox>
                  </v:shape>
                  <v:shape id="_x0000_s2105" o:spid="_x0000_s2105" o:spt="202" type="#_x0000_t202" style="position:absolute;left:10117;top:5036;height:440;width:771;" filled="f" coordsize="21600,21600">
                    <v:path/>
                    <v:fill on="f" focussize="0,0"/>
                    <v:stroke weight="0.25pt" joinstyle="miter"/>
                    <v:imagedata o:title=""/>
                    <o:lock v:ext="edit"/>
                    <v:textbox>
                      <w:txbxContent>
                        <w:p>
                          <w:pPr>
                            <w:jc w:val="center"/>
                          </w:pPr>
                          <w:r>
                            <w:rPr>
                              <w:rFonts w:hint="eastAsia"/>
                            </w:rPr>
                            <w:t>冷却</w:t>
                          </w:r>
                        </w:p>
                      </w:txbxContent>
                    </v:textbox>
                  </v:shape>
                  <v:shape id="_x0000_s2106" o:spid="_x0000_s2106" o:spt="202" type="#_x0000_t202" style="position:absolute;left:11313;top:5036;height:460;width:820;" filled="f" coordsize="21600,21600">
                    <v:path/>
                    <v:fill on="f" focussize="0,0"/>
                    <v:stroke weight="0.25pt" joinstyle="miter"/>
                    <v:imagedata o:title=""/>
                    <o:lock v:ext="edit"/>
                    <v:textbox>
                      <w:txbxContent>
                        <w:p>
                          <w:pPr>
                            <w:jc w:val="center"/>
                          </w:pPr>
                          <w:r>
                            <w:rPr>
                              <w:rFonts w:hint="eastAsia"/>
                            </w:rPr>
                            <w:t>收卷</w:t>
                          </w:r>
                        </w:p>
                      </w:txbxContent>
                    </v:textbox>
                  </v:shape>
                  <v:shape id="_x0000_s2107" o:spid="_x0000_s2107" o:spt="32" type="#_x0000_t32" style="position:absolute;left:10867;top:6263;flip:x y;height:7;width:486;" filled="f" coordsize="21600,21600">
                    <v:path arrowok="t"/>
                    <v:fill on="f" focussize="0,0"/>
                    <v:stroke weight="0.25pt" endarrow="block"/>
                    <v:imagedata o:title=""/>
                    <o:lock v:ext="edit"/>
                  </v:shape>
                  <v:shape id="_x0000_s2108" o:spid="_x0000_s2108" o:spt="202" type="#_x0000_t202" style="position:absolute;left:11353;top:6490;height:460;width:920;" filled="f" stroked="f" coordsize="21600,21600">
                    <v:path/>
                    <v:fill on="f" focussize="0,0"/>
                    <v:stroke on="f" joinstyle="miter"/>
                    <v:imagedata o:title=""/>
                    <o:lock v:ext="edit"/>
                    <v:textbox>
                      <w:txbxContent>
                        <w:p>
                          <w:pPr>
                            <w:jc w:val="center"/>
                          </w:pPr>
                          <w:r>
                            <w:t>N</w:t>
                          </w:r>
                          <w:r>
                            <w:rPr>
                              <w:rFonts w:hint="eastAsia"/>
                            </w:rPr>
                            <w:t xml:space="preserve"> </w:t>
                          </w:r>
                        </w:p>
                      </w:txbxContent>
                    </v:textbox>
                  </v:shape>
                  <v:shape id="_x0000_s2109" o:spid="_x0000_s2109" o:spt="202" type="#_x0000_t202" style="position:absolute;left:7153;top:4571;height:460;width:1051;" filled="f" stroked="f" coordsize="21600,21600">
                    <v:path/>
                    <v:fill on="f" focussize="0,0"/>
                    <v:stroke on="f" joinstyle="miter"/>
                    <v:imagedata o:title=""/>
                    <o:lock v:ext="edit"/>
                    <v:textbox>
                      <w:txbxContent>
                        <w:p>
                          <w:pPr>
                            <w:jc w:val="center"/>
                          </w:pPr>
                          <w:r>
                            <w:rPr>
                              <w:bCs/>
                            </w:rPr>
                            <w:t>G</w:t>
                          </w:r>
                          <w:r>
                            <w:rPr>
                              <w:rFonts w:hint="eastAsia"/>
                              <w:bCs/>
                              <w:vertAlign w:val="subscript"/>
                            </w:rPr>
                            <w:t>2</w:t>
                          </w:r>
                          <w:r>
                            <w:rPr>
                              <w:rFonts w:hint="eastAsia"/>
                              <w:bCs/>
                            </w:rPr>
                            <w:t>S</w:t>
                          </w:r>
                          <w:r>
                            <w:t>N</w:t>
                          </w:r>
                          <w:r>
                            <w:rPr>
                              <w:rFonts w:hint="eastAsia"/>
                            </w:rPr>
                            <w:t xml:space="preserve"> </w:t>
                          </w:r>
                        </w:p>
                      </w:txbxContent>
                    </v:textbox>
                  </v:shape>
                  <v:shape id="_x0000_s2110" o:spid="_x0000_s2110" o:spt="32" type="#_x0000_t32" style="position:absolute;left:9733;top:5261;flip:y;height:0;width:380;" filled="f" coordsize="21600,21600">
                    <v:path arrowok="t"/>
                    <v:fill on="f" focussize="0,0"/>
                    <v:stroke weight="0.25pt" endarrow="block"/>
                    <v:imagedata o:title=""/>
                    <o:lock v:ext="edit"/>
                  </v:shape>
                  <v:shape id="_x0000_s2111" o:spid="_x0000_s2111" o:spt="32" type="#_x0000_t32" style="position:absolute;left:10903;top:5261;flip:y;height:0;width:380;" filled="f" coordsize="21600,21600">
                    <v:path arrowok="t"/>
                    <v:fill on="f" focussize="0,0"/>
                    <v:stroke weight="0.25pt" endarrow="block"/>
                    <v:imagedata o:title=""/>
                    <o:lock v:ext="edit"/>
                  </v:shape>
                  <v:shape id="_x0000_s2112" o:spid="_x0000_s2112" o:spt="202" type="#_x0000_t202" style="position:absolute;left:8098;top:6070;height:460;width:860;" filled="f" coordsize="21600,21600">
                    <v:path/>
                    <v:fill on="f" focussize="0,0"/>
                    <v:stroke weight="0.25pt" joinstyle="miter"/>
                    <v:imagedata o:title=""/>
                    <o:lock v:ext="edit"/>
                    <v:textbox>
                      <w:txbxContent>
                        <w:p>
                          <w:pPr>
                            <w:jc w:val="center"/>
                          </w:pPr>
                          <w:r>
                            <w:rPr>
                              <w:rFonts w:hint="eastAsia"/>
                            </w:rPr>
                            <w:t>冷却</w:t>
                          </w:r>
                        </w:p>
                      </w:txbxContent>
                    </v:textbox>
                  </v:shape>
                  <v:shape id="_x0000_s2113" o:spid="_x0000_s2113" o:spt="32" type="#_x0000_t32" style="position:absolute;left:8958;top:6270;flip:x y;height:0;width:480;" filled="f" coordsize="21600,21600">
                    <v:path arrowok="t"/>
                    <v:fill on="f" focussize="0,0"/>
                    <v:stroke weight="0.25pt" endarrow="block"/>
                    <v:imagedata o:title=""/>
                    <o:lock v:ext="edit"/>
                  </v:shape>
                  <v:shape id="_x0000_s2114" o:spid="_x0000_s2114" o:spt="202" type="#_x0000_t202" style="position:absolute;left:6763;top:6085;height:460;width:860;" filled="f" coordsize="21600,21600">
                    <v:path/>
                    <v:fill on="f" focussize="0,0"/>
                    <v:stroke weight="0.25pt" joinstyle="miter"/>
                    <v:imagedata o:title=""/>
                    <o:lock v:ext="edit"/>
                    <v:textbox>
                      <w:txbxContent>
                        <w:p>
                          <w:pPr>
                            <w:jc w:val="center"/>
                          </w:pPr>
                          <w:r>
                            <w:rPr>
                              <w:rFonts w:hint="eastAsia"/>
                            </w:rPr>
                            <w:t>检验</w:t>
                          </w:r>
                        </w:p>
                      </w:txbxContent>
                    </v:textbox>
                  </v:shape>
                  <v:shape id="_x0000_s2115" o:spid="_x0000_s2115" o:spt="32" type="#_x0000_t32" style="position:absolute;left:7623;top:6300;flip:x y;height:0;width:480;" filled="f" coordsize="21600,21600">
                    <v:path arrowok="t"/>
                    <v:fill on="f" focussize="0,0"/>
                    <v:stroke weight="0.25pt" endarrow="block"/>
                    <v:imagedata o:title=""/>
                    <o:lock v:ext="edit"/>
                  </v:shape>
                  <v:shape id="_x0000_s2116" o:spid="_x0000_s2116" o:spt="202" type="#_x0000_t202" style="position:absolute;left:5398;top:6085;height:460;width:860;" filled="f" coordsize="21600,21600">
                    <v:path/>
                    <v:fill on="f" focussize="0,0"/>
                    <v:stroke weight="0.25pt" joinstyle="miter"/>
                    <v:imagedata o:title=""/>
                    <o:lock v:ext="edit"/>
                    <v:textbox>
                      <w:txbxContent>
                        <w:p>
                          <w:pPr>
                            <w:jc w:val="center"/>
                          </w:pPr>
                          <w:r>
                            <w:rPr>
                              <w:rFonts w:hint="eastAsia"/>
                            </w:rPr>
                            <w:t>包装</w:t>
                          </w:r>
                        </w:p>
                      </w:txbxContent>
                    </v:textbox>
                  </v:shape>
                  <v:shape id="_x0000_s2117" o:spid="_x0000_s2117" o:spt="32" type="#_x0000_t32" style="position:absolute;left:6273;top:6315;flip:x y;height:0;width:480;" filled="f" coordsize="21600,21600">
                    <v:path arrowok="t"/>
                    <v:fill on="f" focussize="0,0"/>
                    <v:stroke weight="0.25pt" endarrow="block"/>
                    <v:imagedata o:title=""/>
                    <o:lock v:ext="edit"/>
                  </v:shape>
                  <v:shape id="_x0000_s2118" o:spid="_x0000_s2118" o:spt="202" type="#_x0000_t202" style="position:absolute;left:6028;top:4586;height:460;width:1040;" filled="f" stroked="f" coordsize="21600,21600">
                    <v:path/>
                    <v:fill on="f" focussize="0,0"/>
                    <v:stroke on="f" joinstyle="miter"/>
                    <v:imagedata o:title=""/>
                    <o:lock v:ext="edit"/>
                    <v:textbox>
                      <w:txbxContent>
                        <w:p>
                          <w:pPr>
                            <w:jc w:val="center"/>
                          </w:pPr>
                          <w:r>
                            <w:rPr>
                              <w:bCs/>
                            </w:rPr>
                            <w:t>G</w:t>
                          </w:r>
                          <w:r>
                            <w:rPr>
                              <w:rFonts w:hint="eastAsia"/>
                              <w:bCs/>
                              <w:vertAlign w:val="subscript"/>
                            </w:rPr>
                            <w:t>1</w:t>
                          </w:r>
                          <w:r>
                            <w:rPr>
                              <w:rFonts w:hint="eastAsia"/>
                              <w:bCs/>
                            </w:rPr>
                            <w:t>S</w:t>
                          </w:r>
                          <w:r>
                            <w:t>N</w:t>
                          </w:r>
                          <w:r>
                            <w:rPr>
                              <w:rFonts w:hint="eastAsia"/>
                            </w:rPr>
                            <w:t xml:space="preserve"> </w:t>
                          </w:r>
                        </w:p>
                      </w:txbxContent>
                    </v:textbox>
                  </v:shape>
                  <v:shape id="_x0000_s2119" o:spid="_x0000_s2119" o:spt="202" type="#_x0000_t202" style="position:absolute;left:8488;top:4586;height:460;width:1085;" filled="f" stroked="f" coordsize="21600,21600">
                    <v:path/>
                    <v:fill on="f" focussize="0,0"/>
                    <v:stroke on="f" joinstyle="miter"/>
                    <v:imagedata o:title=""/>
                    <o:lock v:ext="edit"/>
                    <v:textbox>
                      <w:txbxContent>
                        <w:p>
                          <w:pPr>
                            <w:jc w:val="center"/>
                          </w:pPr>
                          <w:r>
                            <w:rPr>
                              <w:bCs/>
                            </w:rPr>
                            <w:t>G</w:t>
                          </w:r>
                          <w:r>
                            <w:rPr>
                              <w:rFonts w:hint="eastAsia"/>
                              <w:bCs/>
                              <w:vertAlign w:val="subscript"/>
                            </w:rPr>
                            <w:t>2</w:t>
                          </w:r>
                          <w:r>
                            <w:rPr>
                              <w:rFonts w:hint="eastAsia"/>
                              <w:bCs/>
                            </w:rPr>
                            <w:t>S</w:t>
                          </w:r>
                          <w:r>
                            <w:t>N</w:t>
                          </w:r>
                          <w:r>
                            <w:rPr>
                              <w:rFonts w:hint="eastAsia"/>
                            </w:rPr>
                            <w:t xml:space="preserve"> </w:t>
                          </w:r>
                        </w:p>
                      </w:txbxContent>
                    </v:textbox>
                  </v:shape>
                  <w10:wrap type="none"/>
                  <w10:anchorlock/>
                </v:group>
              </w:pict>
            </w:r>
          </w:p>
          <w:p>
            <w:pPr>
              <w:spacing w:line="336" w:lineRule="auto"/>
              <w:rPr>
                <w:b/>
                <w:bCs/>
                <w:color w:val="auto"/>
                <w:sz w:val="24"/>
              </w:rPr>
            </w:pPr>
            <w:r>
              <w:rPr>
                <w:rFonts w:hint="eastAsia"/>
                <w:b/>
                <w:bCs/>
                <w:color w:val="auto"/>
                <w:sz w:val="24"/>
              </w:rPr>
              <w:t>二、</w:t>
            </w:r>
            <w:r>
              <w:rPr>
                <w:b/>
                <w:bCs/>
                <w:color w:val="auto"/>
                <w:sz w:val="24"/>
              </w:rPr>
              <w:t>主要工艺流程简述</w:t>
            </w:r>
          </w:p>
          <w:p>
            <w:pPr>
              <w:pStyle w:val="34"/>
              <w:tabs>
                <w:tab w:val="left" w:pos="660"/>
              </w:tabs>
              <w:snapToGrid w:val="0"/>
              <w:spacing w:line="336" w:lineRule="auto"/>
              <w:ind w:firstLine="482"/>
              <w:rPr>
                <w:rFonts w:ascii="宋体" w:hAnsi="宋体"/>
                <w:color w:val="auto"/>
                <w:szCs w:val="24"/>
              </w:rPr>
            </w:pPr>
            <w:r>
              <w:rPr>
                <w:rFonts w:hint="eastAsia"/>
                <w:b/>
                <w:color w:val="auto"/>
              </w:rPr>
              <w:t>混料：</w:t>
            </w:r>
            <w:r>
              <w:rPr>
                <w:rFonts w:hint="eastAsia"/>
                <w:color w:val="auto"/>
              </w:rPr>
              <w:t>项目通过人工将外购的PVC塑胶粉、增塑剂、碳酸钙粉、色粉等物料按照比例投入搅拌机内，并进行搅拌均匀。</w:t>
            </w:r>
            <w:r>
              <w:rPr>
                <w:iCs/>
                <w:color w:val="auto"/>
              </w:rPr>
              <w:t>其中</w:t>
            </w:r>
            <w:r>
              <w:rPr>
                <w:rFonts w:hint="eastAsia"/>
                <w:color w:val="auto"/>
              </w:rPr>
              <w:t>PVC塑胶粉、碳酸钙粉、色粉等均为粉状原料</w:t>
            </w:r>
            <w:r>
              <w:rPr>
                <w:iCs/>
                <w:color w:val="auto"/>
              </w:rPr>
              <w:t>，在投料过程中会产生少量的粉尘，</w:t>
            </w:r>
            <w:r>
              <w:rPr>
                <w:rFonts w:hint="eastAsia" w:ascii="宋体" w:hAnsi="宋体"/>
                <w:color w:val="auto"/>
                <w:szCs w:val="24"/>
              </w:rPr>
              <w:t>该过程产生投料粉尘、原材料的废包装材料（除增塑剂包装桶外，其由供应商回收）和噪声。</w:t>
            </w:r>
          </w:p>
          <w:p>
            <w:pPr>
              <w:tabs>
                <w:tab w:val="left" w:pos="1860"/>
              </w:tabs>
              <w:spacing w:line="336" w:lineRule="auto"/>
              <w:ind w:firstLine="472" w:firstLineChars="196"/>
              <w:jc w:val="left"/>
              <w:rPr>
                <w:bCs/>
                <w:color w:val="auto"/>
                <w:sz w:val="24"/>
              </w:rPr>
            </w:pPr>
            <w:r>
              <w:rPr>
                <w:rFonts w:hint="eastAsia"/>
                <w:b/>
                <w:bCs/>
                <w:color w:val="auto"/>
                <w:sz w:val="24"/>
              </w:rPr>
              <w:t>造粒：</w:t>
            </w:r>
            <w:r>
              <w:rPr>
                <w:rFonts w:hint="eastAsia"/>
                <w:bCs/>
                <w:color w:val="auto"/>
                <w:sz w:val="24"/>
              </w:rPr>
              <w:t>使用造粒机将</w:t>
            </w:r>
            <w:r>
              <w:rPr>
                <w:rFonts w:hint="eastAsia"/>
                <w:color w:val="auto"/>
                <w:sz w:val="24"/>
              </w:rPr>
              <w:t>搅拌均匀</w:t>
            </w:r>
            <w:r>
              <w:rPr>
                <w:rFonts w:hint="eastAsia"/>
                <w:bCs/>
                <w:color w:val="auto"/>
                <w:sz w:val="24"/>
              </w:rPr>
              <w:t>的物料加热融化并造粒，颗粒冷却环节采用风冷却，得到所需塑胶粒，</w:t>
            </w:r>
            <w:r>
              <w:rPr>
                <w:bCs/>
                <w:color w:val="auto"/>
                <w:sz w:val="24"/>
              </w:rPr>
              <w:t>工作温度</w:t>
            </w:r>
            <w:r>
              <w:rPr>
                <w:rFonts w:hint="eastAsia"/>
                <w:bCs/>
                <w:color w:val="auto"/>
                <w:sz w:val="24"/>
              </w:rPr>
              <w:t>约为150</w:t>
            </w:r>
            <w:r>
              <w:rPr>
                <w:bCs/>
                <w:color w:val="auto"/>
                <w:sz w:val="24"/>
              </w:rPr>
              <w:t>℃，</w:t>
            </w:r>
            <w:r>
              <w:rPr>
                <w:rFonts w:hint="eastAsia"/>
                <w:bCs/>
                <w:color w:val="auto"/>
                <w:sz w:val="24"/>
              </w:rPr>
              <w:t>根据有关资料，二噁英产生的条件为400~800℃，因此项目造粒工序不会产生二噁英。</w:t>
            </w:r>
            <w:r>
              <w:rPr>
                <w:bCs/>
                <w:color w:val="auto"/>
                <w:sz w:val="24"/>
              </w:rPr>
              <w:t>该过程产生</w:t>
            </w:r>
            <w:r>
              <w:rPr>
                <w:rFonts w:hint="eastAsia"/>
                <w:bCs/>
                <w:color w:val="auto"/>
                <w:sz w:val="24"/>
              </w:rPr>
              <w:t>臭气、非甲烷总烃、边角料</w:t>
            </w:r>
            <w:r>
              <w:rPr>
                <w:bCs/>
                <w:color w:val="auto"/>
                <w:sz w:val="24"/>
              </w:rPr>
              <w:t>和噪声。</w:t>
            </w:r>
          </w:p>
          <w:p>
            <w:pPr>
              <w:pStyle w:val="34"/>
              <w:snapToGrid w:val="0"/>
              <w:spacing w:line="336" w:lineRule="auto"/>
              <w:ind w:left="29" w:right="38" w:firstLine="482"/>
              <w:rPr>
                <w:rFonts w:hAnsi="宋体"/>
                <w:bCs/>
                <w:color w:val="auto"/>
                <w:szCs w:val="24"/>
              </w:rPr>
            </w:pPr>
            <w:r>
              <w:rPr>
                <w:rFonts w:hint="eastAsia" w:ascii="宋体" w:hAnsi="宋体"/>
                <w:b/>
                <w:bCs/>
                <w:color w:val="auto"/>
                <w:szCs w:val="24"/>
              </w:rPr>
              <w:t>挤出成型：</w:t>
            </w:r>
            <w:r>
              <w:rPr>
                <w:rFonts w:hint="eastAsia" w:hAnsi="宋体"/>
                <w:bCs/>
                <w:color w:val="auto"/>
                <w:szCs w:val="24"/>
              </w:rPr>
              <w:t>使用挤出机将造粒完成的塑胶粒加热融化并挤出成型，得到</w:t>
            </w:r>
            <w:r>
              <w:rPr>
                <w:rFonts w:hint="eastAsia"/>
                <w:bCs/>
                <w:color w:val="auto"/>
              </w:rPr>
              <w:t>塑胶内管</w:t>
            </w:r>
            <w:r>
              <w:rPr>
                <w:rFonts w:hint="eastAsia" w:hAnsi="宋体"/>
                <w:bCs/>
                <w:color w:val="auto"/>
                <w:szCs w:val="24"/>
              </w:rPr>
              <w:t>，该工序工作温度约为</w:t>
            </w:r>
            <w:r>
              <w:rPr>
                <w:rFonts w:hint="eastAsia"/>
                <w:bCs/>
                <w:color w:val="auto"/>
                <w:szCs w:val="24"/>
              </w:rPr>
              <w:t>150</w:t>
            </w:r>
            <w:r>
              <w:rPr>
                <w:rFonts w:hint="eastAsia" w:hAnsi="宋体"/>
                <w:bCs/>
                <w:color w:val="auto"/>
                <w:szCs w:val="24"/>
              </w:rPr>
              <w:t>℃，根据有关资料，二噁英产生的条件为</w:t>
            </w:r>
            <w:r>
              <w:rPr>
                <w:bCs/>
                <w:color w:val="auto"/>
                <w:szCs w:val="24"/>
              </w:rPr>
              <w:t>400~800</w:t>
            </w:r>
            <w:r>
              <w:rPr>
                <w:rFonts w:hint="eastAsia" w:hAnsi="宋体"/>
                <w:bCs/>
                <w:color w:val="auto"/>
                <w:szCs w:val="24"/>
              </w:rPr>
              <w:t>℃，因此项目挤出成型工序不会产生二噁英。该过程产生</w:t>
            </w:r>
            <w:r>
              <w:rPr>
                <w:rFonts w:hint="eastAsia" w:hAnsi="宋体"/>
                <w:bCs/>
                <w:color w:val="auto"/>
                <w:szCs w:val="24"/>
                <w:lang w:eastAsia="zh-CN"/>
              </w:rPr>
              <w:t>臭气、</w:t>
            </w:r>
            <w:r>
              <w:rPr>
                <w:rFonts w:hint="eastAsia" w:hAnsi="宋体"/>
                <w:bCs/>
                <w:color w:val="auto"/>
                <w:szCs w:val="24"/>
              </w:rPr>
              <w:t>非甲烷总烃</w:t>
            </w:r>
            <w:r>
              <w:rPr>
                <w:rFonts w:hint="eastAsia"/>
                <w:bCs/>
                <w:color w:val="auto"/>
              </w:rPr>
              <w:t>、边角料</w:t>
            </w:r>
            <w:r>
              <w:rPr>
                <w:rFonts w:hint="eastAsia" w:hAnsi="宋体"/>
                <w:bCs/>
                <w:color w:val="auto"/>
                <w:szCs w:val="24"/>
              </w:rPr>
              <w:t>和噪声。</w:t>
            </w:r>
          </w:p>
          <w:p>
            <w:pPr>
              <w:spacing w:line="336" w:lineRule="auto"/>
              <w:ind w:firstLine="470" w:firstLineChars="195"/>
              <w:rPr>
                <w:bCs/>
                <w:color w:val="auto"/>
                <w:sz w:val="24"/>
              </w:rPr>
            </w:pPr>
            <w:r>
              <w:rPr>
                <w:rFonts w:hint="eastAsia"/>
                <w:b/>
                <w:bCs/>
                <w:color w:val="auto"/>
                <w:sz w:val="24"/>
              </w:rPr>
              <w:t>冷却：</w:t>
            </w:r>
            <w:r>
              <w:rPr>
                <w:rFonts w:hint="eastAsia"/>
                <w:color w:val="auto"/>
                <w:sz w:val="24"/>
              </w:rPr>
              <w:t>经</w:t>
            </w:r>
            <w:r>
              <w:rPr>
                <w:rFonts w:hint="eastAsia"/>
                <w:bCs/>
                <w:color w:val="auto"/>
                <w:sz w:val="24"/>
              </w:rPr>
              <w:t>挤出机挤出的塑胶内管通过挤出机配套冷却槽的冷却水进行冷却，该冷却水</w:t>
            </w:r>
            <w:r>
              <w:rPr>
                <w:rFonts w:hint="eastAsia" w:hAnsi="宋体"/>
                <w:bCs/>
                <w:color w:val="auto"/>
                <w:sz w:val="24"/>
              </w:rPr>
              <w:t>为普通自来水，无需添加其它冷却剂，</w:t>
            </w:r>
            <w:r>
              <w:rPr>
                <w:rFonts w:hint="eastAsia" w:hAnsi="宋体"/>
                <w:bCs/>
                <w:color w:val="auto"/>
                <w:sz w:val="24"/>
                <w:lang w:eastAsia="zh-CN"/>
              </w:rPr>
              <w:t>冷却废水</w:t>
            </w:r>
            <w:r>
              <w:rPr>
                <w:rFonts w:hint="eastAsia" w:hAnsi="宋体"/>
                <w:bCs/>
                <w:color w:val="auto"/>
                <w:sz w:val="24"/>
              </w:rPr>
              <w:t>循环使用，定期补充，不外排。</w:t>
            </w:r>
          </w:p>
          <w:p>
            <w:pPr>
              <w:pStyle w:val="34"/>
              <w:tabs>
                <w:tab w:val="left" w:pos="660"/>
              </w:tabs>
              <w:snapToGrid w:val="0"/>
              <w:spacing w:line="336" w:lineRule="auto"/>
              <w:ind w:firstLine="482"/>
              <w:rPr>
                <w:rFonts w:ascii="宋体" w:hAnsi="宋体"/>
                <w:color w:val="auto"/>
                <w:szCs w:val="24"/>
              </w:rPr>
            </w:pPr>
            <w:r>
              <w:rPr>
                <w:rFonts w:hint="eastAsia" w:ascii="宋体" w:hAnsi="宋体"/>
                <w:b/>
                <w:color w:val="auto"/>
                <w:szCs w:val="24"/>
              </w:rPr>
              <w:t>收卷：</w:t>
            </w:r>
            <w:r>
              <w:rPr>
                <w:rFonts w:hint="eastAsia" w:ascii="宋体" w:hAnsi="宋体"/>
                <w:color w:val="auto"/>
                <w:szCs w:val="24"/>
              </w:rPr>
              <w:t>使用收卷机对冷却后的塑胶内管进行收卷，该过程产生噪声。</w:t>
            </w:r>
          </w:p>
          <w:p>
            <w:pPr>
              <w:spacing w:line="336" w:lineRule="auto"/>
              <w:ind w:firstLine="482" w:firstLineChars="200"/>
              <w:rPr>
                <w:b/>
                <w:color w:val="auto"/>
                <w:sz w:val="24"/>
              </w:rPr>
            </w:pPr>
            <w:r>
              <w:rPr>
                <w:rFonts w:hint="eastAsia"/>
                <w:b/>
                <w:color w:val="auto"/>
                <w:sz w:val="24"/>
              </w:rPr>
              <w:t>编织：</w:t>
            </w:r>
            <w:r>
              <w:rPr>
                <w:rFonts w:hint="eastAsia"/>
                <w:color w:val="auto"/>
                <w:sz w:val="24"/>
              </w:rPr>
              <w:t>使用编织机和涤纶线对收卷后的</w:t>
            </w:r>
            <w:r>
              <w:rPr>
                <w:rFonts w:hint="eastAsia" w:ascii="宋体" w:hAnsi="宋体"/>
                <w:color w:val="auto"/>
                <w:sz w:val="24"/>
              </w:rPr>
              <w:t>塑胶</w:t>
            </w:r>
            <w:r>
              <w:rPr>
                <w:rFonts w:hint="eastAsia"/>
                <w:color w:val="auto"/>
                <w:sz w:val="24"/>
              </w:rPr>
              <w:t>内管进行编织</w:t>
            </w:r>
            <w:r>
              <w:rPr>
                <w:rFonts w:hint="eastAsia"/>
                <w:bCs/>
                <w:color w:val="auto"/>
                <w:sz w:val="24"/>
              </w:rPr>
              <w:t>，</w:t>
            </w:r>
            <w:r>
              <w:rPr>
                <w:bCs/>
                <w:color w:val="auto"/>
                <w:sz w:val="24"/>
              </w:rPr>
              <w:t>该过程产生噪声。</w:t>
            </w:r>
          </w:p>
          <w:p>
            <w:pPr>
              <w:pStyle w:val="34"/>
              <w:snapToGrid w:val="0"/>
              <w:spacing w:line="336" w:lineRule="auto"/>
              <w:ind w:right="38" w:firstLine="482" w:firstLineChars="200"/>
              <w:rPr>
                <w:rFonts w:hAnsi="宋体"/>
                <w:bCs/>
                <w:color w:val="auto"/>
                <w:szCs w:val="24"/>
              </w:rPr>
            </w:pPr>
            <w:r>
              <w:rPr>
                <w:rFonts w:hint="eastAsia" w:ascii="宋体" w:hAnsi="宋体"/>
                <w:b/>
                <w:bCs/>
                <w:color w:val="auto"/>
                <w:szCs w:val="24"/>
              </w:rPr>
              <w:t>挤出成型：</w:t>
            </w:r>
            <w:r>
              <w:rPr>
                <w:rFonts w:hint="eastAsia" w:hAnsi="宋体"/>
                <w:bCs/>
                <w:color w:val="auto"/>
                <w:szCs w:val="24"/>
              </w:rPr>
              <w:t>使用挤出机将编织后的内管包覆外层塑胶软管，得到成品，该工序工作温度约为</w:t>
            </w:r>
            <w:r>
              <w:rPr>
                <w:rFonts w:hint="eastAsia"/>
                <w:bCs/>
                <w:color w:val="auto"/>
                <w:szCs w:val="24"/>
              </w:rPr>
              <w:t>150</w:t>
            </w:r>
            <w:r>
              <w:rPr>
                <w:rFonts w:hint="eastAsia" w:hAnsi="宋体"/>
                <w:bCs/>
                <w:color w:val="auto"/>
                <w:szCs w:val="24"/>
              </w:rPr>
              <w:t>℃，根据有关资料，二噁英产生的条件为</w:t>
            </w:r>
            <w:r>
              <w:rPr>
                <w:bCs/>
                <w:color w:val="auto"/>
                <w:szCs w:val="24"/>
              </w:rPr>
              <w:t>400~800</w:t>
            </w:r>
            <w:r>
              <w:rPr>
                <w:rFonts w:hint="eastAsia" w:hAnsi="宋体"/>
                <w:bCs/>
                <w:color w:val="auto"/>
                <w:szCs w:val="24"/>
              </w:rPr>
              <w:t>℃，因此项目挤出成型工序不会产生二噁英。该过程产生</w:t>
            </w:r>
            <w:r>
              <w:rPr>
                <w:rFonts w:hint="eastAsia" w:hAnsi="宋体"/>
                <w:bCs/>
                <w:color w:val="auto"/>
                <w:szCs w:val="24"/>
                <w:lang w:eastAsia="zh-CN"/>
              </w:rPr>
              <w:t>臭气、</w:t>
            </w:r>
            <w:r>
              <w:rPr>
                <w:rFonts w:hint="eastAsia" w:hAnsi="宋体"/>
                <w:bCs/>
                <w:color w:val="auto"/>
                <w:szCs w:val="24"/>
              </w:rPr>
              <w:t>非甲烷总烃</w:t>
            </w:r>
            <w:r>
              <w:rPr>
                <w:rFonts w:hint="eastAsia"/>
                <w:bCs/>
                <w:color w:val="auto"/>
              </w:rPr>
              <w:t>、边角料</w:t>
            </w:r>
            <w:r>
              <w:rPr>
                <w:rFonts w:hint="eastAsia" w:hAnsi="宋体"/>
                <w:bCs/>
                <w:color w:val="auto"/>
                <w:szCs w:val="24"/>
              </w:rPr>
              <w:t>和噪声。</w:t>
            </w:r>
          </w:p>
          <w:p>
            <w:pPr>
              <w:spacing w:line="336" w:lineRule="auto"/>
              <w:ind w:firstLine="470" w:firstLineChars="195"/>
              <w:rPr>
                <w:bCs/>
                <w:color w:val="auto"/>
                <w:sz w:val="24"/>
              </w:rPr>
            </w:pPr>
            <w:r>
              <w:rPr>
                <w:rFonts w:hint="eastAsia"/>
                <w:b/>
                <w:bCs/>
                <w:color w:val="auto"/>
                <w:sz w:val="24"/>
              </w:rPr>
              <w:t>冷却：</w:t>
            </w:r>
            <w:r>
              <w:rPr>
                <w:rFonts w:hint="eastAsia"/>
                <w:color w:val="auto"/>
                <w:sz w:val="24"/>
              </w:rPr>
              <w:t>经</w:t>
            </w:r>
            <w:r>
              <w:rPr>
                <w:rFonts w:hint="eastAsia"/>
                <w:bCs/>
                <w:color w:val="auto"/>
                <w:sz w:val="24"/>
              </w:rPr>
              <w:t>挤出机包覆完成的成品通过挤出机配套冷却槽的冷却水进行冷却，该冷却水</w:t>
            </w:r>
            <w:r>
              <w:rPr>
                <w:rFonts w:hint="eastAsia" w:hAnsi="宋体"/>
                <w:bCs/>
                <w:color w:val="auto"/>
                <w:sz w:val="24"/>
              </w:rPr>
              <w:t>为普通自来水，无需添加其它冷却剂，</w:t>
            </w:r>
            <w:r>
              <w:rPr>
                <w:rFonts w:hint="eastAsia" w:hAnsi="宋体"/>
                <w:bCs/>
                <w:color w:val="auto"/>
                <w:sz w:val="24"/>
                <w:lang w:eastAsia="zh-CN"/>
              </w:rPr>
              <w:t>冷却废水</w:t>
            </w:r>
            <w:r>
              <w:rPr>
                <w:rFonts w:hint="eastAsia" w:hAnsi="宋体"/>
                <w:bCs/>
                <w:color w:val="auto"/>
                <w:sz w:val="24"/>
              </w:rPr>
              <w:t>循环使用，定期补充，不外排。</w:t>
            </w:r>
          </w:p>
          <w:p>
            <w:pPr>
              <w:spacing w:line="336" w:lineRule="auto"/>
              <w:ind w:firstLine="482" w:firstLineChars="200"/>
              <w:rPr>
                <w:b/>
                <w:color w:val="auto"/>
                <w:sz w:val="24"/>
              </w:rPr>
            </w:pPr>
            <w:r>
              <w:rPr>
                <w:rFonts w:hint="eastAsia"/>
                <w:b/>
                <w:color w:val="auto"/>
                <w:sz w:val="24"/>
              </w:rPr>
              <w:t>检验：</w:t>
            </w:r>
            <w:r>
              <w:rPr>
                <w:rFonts w:hint="eastAsia"/>
                <w:bCs/>
                <w:color w:val="auto"/>
                <w:sz w:val="24"/>
              </w:rPr>
              <w:t>人工对冷却后的成品进行质检，</w:t>
            </w:r>
            <w:r>
              <w:rPr>
                <w:bCs/>
                <w:color w:val="auto"/>
                <w:sz w:val="24"/>
              </w:rPr>
              <w:t>该过程产生</w:t>
            </w:r>
            <w:r>
              <w:rPr>
                <w:rFonts w:hint="eastAsia"/>
                <w:bCs/>
                <w:color w:val="auto"/>
                <w:sz w:val="24"/>
              </w:rPr>
              <w:t>不合格品</w:t>
            </w:r>
            <w:r>
              <w:rPr>
                <w:bCs/>
                <w:color w:val="auto"/>
                <w:sz w:val="24"/>
              </w:rPr>
              <w:t>。</w:t>
            </w:r>
          </w:p>
          <w:p>
            <w:pPr>
              <w:spacing w:line="336" w:lineRule="auto"/>
              <w:ind w:firstLine="482" w:firstLineChars="200"/>
              <w:rPr>
                <w:b/>
                <w:color w:val="auto"/>
                <w:sz w:val="24"/>
              </w:rPr>
            </w:pPr>
            <w:r>
              <w:rPr>
                <w:rFonts w:hint="eastAsia"/>
                <w:b/>
                <w:color w:val="auto"/>
                <w:sz w:val="24"/>
              </w:rPr>
              <w:t>包装：</w:t>
            </w:r>
            <w:r>
              <w:rPr>
                <w:rFonts w:hint="eastAsia"/>
                <w:color w:val="auto"/>
                <w:sz w:val="24"/>
              </w:rPr>
              <w:t>人工将成品用包装材料进行包装后即可出货，该过程产生废包装材料。</w:t>
            </w:r>
          </w:p>
          <w:p>
            <w:pPr>
              <w:spacing w:line="336" w:lineRule="auto"/>
              <w:ind w:firstLine="482" w:firstLineChars="200"/>
              <w:rPr>
                <w:color w:val="auto"/>
              </w:rPr>
            </w:pPr>
            <w:r>
              <w:rPr>
                <w:rFonts w:hint="eastAsia" w:hAnsi="宋体"/>
                <w:b/>
                <w:bCs/>
                <w:color w:val="auto"/>
                <w:sz w:val="24"/>
              </w:rPr>
              <w:t>说明：</w:t>
            </w:r>
            <w:r>
              <w:rPr>
                <w:rFonts w:hint="eastAsia" w:hAnsi="宋体"/>
                <w:bCs/>
                <w:color w:val="auto"/>
                <w:sz w:val="24"/>
              </w:rPr>
              <w:t>1、</w:t>
            </w:r>
            <w:r>
              <w:rPr>
                <w:rFonts w:hint="eastAsia"/>
                <w:color w:val="auto"/>
                <w:sz w:val="24"/>
              </w:rPr>
              <w:t>项目空压机、冷却塔为辅助设备，使用过程中产生噪声。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459" w:hRule="atLeast"/>
          <w:jc w:val="center"/>
        </w:trPr>
        <w:tc>
          <w:tcPr>
            <w:tcW w:w="9888" w:type="dxa"/>
            <w:tcBorders>
              <w:bottom w:val="single" w:color="auto" w:sz="4" w:space="0"/>
            </w:tcBorders>
          </w:tcPr>
          <w:p>
            <w:pPr>
              <w:adjustRightInd w:val="0"/>
              <w:snapToGrid w:val="0"/>
              <w:spacing w:line="360" w:lineRule="auto"/>
              <w:rPr>
                <w:b/>
                <w:bCs/>
                <w:color w:val="auto"/>
                <w:sz w:val="24"/>
              </w:rPr>
            </w:pPr>
            <w:r>
              <w:rPr>
                <w:rFonts w:hint="eastAsia"/>
                <w:b/>
                <w:bCs/>
                <w:color w:val="auto"/>
                <w:sz w:val="24"/>
              </w:rPr>
              <w:t>主要污染工序：</w:t>
            </w:r>
          </w:p>
          <w:p>
            <w:pPr>
              <w:spacing w:line="360" w:lineRule="auto"/>
              <w:ind w:firstLine="354" w:firstLineChars="147"/>
              <w:rPr>
                <w:b/>
                <w:bCs/>
                <w:color w:val="auto"/>
                <w:sz w:val="24"/>
              </w:rPr>
            </w:pPr>
            <w:r>
              <w:rPr>
                <w:rFonts w:hint="eastAsia"/>
                <w:b/>
                <w:bCs/>
                <w:color w:val="auto"/>
                <w:sz w:val="24"/>
              </w:rPr>
              <w:t>一、大气污染源</w:t>
            </w:r>
          </w:p>
          <w:p>
            <w:pPr>
              <w:spacing w:line="360" w:lineRule="auto"/>
              <w:ind w:firstLine="482" w:firstLineChars="200"/>
              <w:rPr>
                <w:color w:val="auto"/>
                <w:sz w:val="24"/>
              </w:rPr>
            </w:pPr>
            <w:bookmarkStart w:id="18" w:name="OLE_LINK37"/>
            <w:bookmarkStart w:id="19" w:name="OLE_LINK39"/>
            <w:bookmarkStart w:id="20" w:name="OLE_LINK38"/>
            <w:bookmarkStart w:id="21" w:name="OLE_LINK61"/>
            <w:r>
              <w:rPr>
                <w:rFonts w:hint="eastAsia"/>
                <w:b/>
                <w:color w:val="auto"/>
                <w:sz w:val="24"/>
              </w:rPr>
              <w:t>混料工序</w:t>
            </w:r>
            <w:bookmarkEnd w:id="18"/>
            <w:bookmarkEnd w:id="19"/>
            <w:r>
              <w:rPr>
                <w:rFonts w:hint="eastAsia"/>
                <w:b/>
                <w:color w:val="auto"/>
                <w:sz w:val="24"/>
              </w:rPr>
              <w:t>：</w:t>
            </w:r>
            <w:r>
              <w:rPr>
                <w:rFonts w:hint="eastAsia"/>
                <w:color w:val="auto"/>
                <w:sz w:val="24"/>
              </w:rPr>
              <w:t>项目将PVC塑胶粉、增塑剂、碳酸钙粉、色粉等物料按照比例投入搅拌机内，并进行搅拌均匀。</w:t>
            </w:r>
            <w:r>
              <w:rPr>
                <w:iCs/>
                <w:color w:val="auto"/>
                <w:sz w:val="24"/>
              </w:rPr>
              <w:t>其中</w:t>
            </w:r>
            <w:r>
              <w:rPr>
                <w:rFonts w:hint="eastAsia"/>
                <w:color w:val="auto"/>
                <w:sz w:val="24"/>
              </w:rPr>
              <w:t>PVC塑胶粉、碳酸钙粉、色粉等均为粉状原料</w:t>
            </w:r>
            <w:r>
              <w:rPr>
                <w:iCs/>
                <w:color w:val="auto"/>
                <w:sz w:val="24"/>
              </w:rPr>
              <w:t>，在投料过程中会产生少量的粉尘</w:t>
            </w:r>
            <w:r>
              <w:rPr>
                <w:rFonts w:hint="eastAsia"/>
                <w:color w:val="auto"/>
                <w:sz w:val="24"/>
              </w:rPr>
              <w:t>，主要污染物为颗粒物。类比同类项目</w:t>
            </w:r>
            <w:r>
              <w:rPr>
                <w:color w:val="auto"/>
                <w:sz w:val="24"/>
              </w:rPr>
              <w:t>，粉尘产生量以原材料的0.01%估算，</w:t>
            </w:r>
            <w:bookmarkEnd w:id="20"/>
            <w:bookmarkEnd w:id="21"/>
            <w:r>
              <w:rPr>
                <w:rFonts w:hint="eastAsia"/>
                <w:color w:val="auto"/>
                <w:sz w:val="24"/>
              </w:rPr>
              <w:t>项目粉状</w:t>
            </w:r>
            <w:r>
              <w:rPr>
                <w:color w:val="auto"/>
                <w:sz w:val="24"/>
              </w:rPr>
              <w:t>原材料使用量共为</w:t>
            </w:r>
            <w:r>
              <w:rPr>
                <w:rFonts w:hint="eastAsia"/>
                <w:color w:val="auto"/>
                <w:sz w:val="24"/>
              </w:rPr>
              <w:t>325</w:t>
            </w:r>
            <w:r>
              <w:rPr>
                <w:color w:val="auto"/>
                <w:sz w:val="24"/>
              </w:rPr>
              <w:t>吨，则粉尘产生量为</w:t>
            </w:r>
            <w:r>
              <w:rPr>
                <w:rFonts w:hint="eastAsia"/>
                <w:color w:val="auto"/>
                <w:sz w:val="24"/>
              </w:rPr>
              <w:t>0.0325</w:t>
            </w:r>
            <w:r>
              <w:rPr>
                <w:color w:val="auto"/>
                <w:sz w:val="24"/>
              </w:rPr>
              <w:t>t/a</w:t>
            </w:r>
            <w:r>
              <w:rPr>
                <w:rFonts w:hint="eastAsia"/>
                <w:color w:val="auto"/>
                <w:sz w:val="24"/>
              </w:rPr>
              <w:t>，</w:t>
            </w:r>
            <w:r>
              <w:rPr>
                <w:rFonts w:hint="eastAsia" w:hAnsi="宋体"/>
                <w:color w:val="auto"/>
                <w:sz w:val="24"/>
              </w:rPr>
              <w:t>产生速率为0.014kg/h。</w:t>
            </w:r>
            <w:r>
              <w:rPr>
                <w:color w:val="auto"/>
                <w:sz w:val="24"/>
              </w:rPr>
              <w:t>根据估算</w:t>
            </w:r>
            <w:r>
              <w:rPr>
                <w:rFonts w:hint="eastAsia"/>
                <w:color w:val="auto"/>
                <w:sz w:val="24"/>
              </w:rPr>
              <w:t>模式计算</w:t>
            </w:r>
            <w:r>
              <w:rPr>
                <w:color w:val="auto"/>
                <w:sz w:val="24"/>
              </w:rPr>
              <w:t>，</w:t>
            </w:r>
            <w:r>
              <w:rPr>
                <w:rFonts w:hint="eastAsia"/>
                <w:color w:val="auto"/>
                <w:sz w:val="24"/>
              </w:rPr>
              <w:t>粉尘无组织排放</w:t>
            </w:r>
            <w:r>
              <w:rPr>
                <w:rFonts w:hint="eastAsia"/>
                <w:color w:val="auto"/>
                <w:kern w:val="0"/>
                <w:sz w:val="24"/>
              </w:rPr>
              <w:t>最大地面浓度为</w:t>
            </w:r>
            <w:r>
              <w:rPr>
                <w:rFonts w:hint="eastAsia"/>
                <w:bCs/>
                <w:color w:val="auto"/>
                <w:sz w:val="24"/>
              </w:rPr>
              <w:t>0.0769mg/m</w:t>
            </w:r>
            <w:r>
              <w:rPr>
                <w:rFonts w:hint="eastAsia"/>
                <w:bCs/>
                <w:color w:val="auto"/>
                <w:sz w:val="24"/>
                <w:vertAlign w:val="superscript"/>
              </w:rPr>
              <w:t>3</w:t>
            </w:r>
            <w:r>
              <w:rPr>
                <w:color w:val="auto"/>
                <w:sz w:val="24"/>
              </w:rPr>
              <w:t>，可达到广东省</w:t>
            </w:r>
            <w:r>
              <w:rPr>
                <w:rFonts w:hint="eastAsia"/>
                <w:color w:val="auto"/>
                <w:sz w:val="24"/>
              </w:rPr>
              <w:t>地方标准</w:t>
            </w:r>
            <w:r>
              <w:rPr>
                <w:color w:val="auto"/>
                <w:sz w:val="24"/>
              </w:rPr>
              <w:t>《大气污染物排放限值》（DB44/27－2001）第二时段无组织排放监控浓度限值，对项目周围</w:t>
            </w:r>
            <w:r>
              <w:rPr>
                <w:color w:val="auto"/>
                <w:kern w:val="0"/>
                <w:sz w:val="24"/>
              </w:rPr>
              <w:t>的</w:t>
            </w:r>
            <w:r>
              <w:rPr>
                <w:color w:val="auto"/>
                <w:sz w:val="24"/>
              </w:rPr>
              <w:t>空气环境影响甚微。同时加强车间机械通风措施，使生产车间符合《工业企业设计卫生标准》（TJ36-79）（GBZ1-2010）要求，</w:t>
            </w:r>
            <w:r>
              <w:rPr>
                <w:color w:val="auto"/>
                <w:spacing w:val="-2"/>
                <w:sz w:val="24"/>
              </w:rPr>
              <w:t>另外，建设单位必须做好员工的防护措施（如配带口罩）</w:t>
            </w:r>
            <w:r>
              <w:rPr>
                <w:color w:val="auto"/>
                <w:sz w:val="24"/>
              </w:rPr>
              <w:t>，以确保员工身体健康不受到影响，</w:t>
            </w:r>
            <w:r>
              <w:rPr>
                <w:color w:val="auto"/>
                <w:kern w:val="0"/>
                <w:sz w:val="24"/>
              </w:rPr>
              <w:t>则不会对周围空气环境造成明显影响</w:t>
            </w:r>
            <w:r>
              <w:rPr>
                <w:color w:val="auto"/>
                <w:spacing w:val="-2"/>
                <w:sz w:val="24"/>
              </w:rPr>
              <w:t>。</w:t>
            </w:r>
          </w:p>
          <w:p>
            <w:pPr>
              <w:spacing w:line="360" w:lineRule="auto"/>
              <w:ind w:firstLine="482" w:firstLineChars="200"/>
              <w:rPr>
                <w:rFonts w:hAnsi="宋体"/>
                <w:color w:val="auto"/>
                <w:sz w:val="24"/>
              </w:rPr>
            </w:pPr>
            <w:r>
              <w:rPr>
                <w:rFonts w:hint="eastAsia"/>
                <w:b/>
                <w:color w:val="auto"/>
                <w:sz w:val="24"/>
                <w:szCs w:val="23"/>
              </w:rPr>
              <w:t>造粒、挤出成型工序：</w:t>
            </w:r>
            <w:r>
              <w:rPr>
                <w:rFonts w:hint="eastAsia"/>
                <w:color w:val="auto"/>
                <w:sz w:val="24"/>
              </w:rPr>
              <w:t>项目在造粒、挤出成型工序</w:t>
            </w:r>
            <w:r>
              <w:rPr>
                <w:rFonts w:hAnsi="宋体"/>
                <w:color w:val="auto"/>
                <w:sz w:val="24"/>
              </w:rPr>
              <w:t>中对</w:t>
            </w:r>
            <w:r>
              <w:rPr>
                <w:rFonts w:hint="eastAsia"/>
                <w:color w:val="auto"/>
                <w:sz w:val="24"/>
              </w:rPr>
              <w:t>PVC塑胶</w:t>
            </w:r>
            <w:r>
              <w:rPr>
                <w:rFonts w:hint="eastAsia"/>
                <w:color w:val="auto"/>
                <w:sz w:val="24"/>
                <w:lang w:eastAsia="zh-CN"/>
              </w:rPr>
              <w:t>粉</w:t>
            </w:r>
            <w:r>
              <w:rPr>
                <w:rFonts w:hint="eastAsia" w:hAnsi="宋体"/>
                <w:color w:val="auto"/>
                <w:sz w:val="24"/>
                <w:lang w:eastAsia="zh-CN"/>
              </w:rPr>
              <w:t>和增塑剂</w:t>
            </w:r>
            <w:r>
              <w:rPr>
                <w:rFonts w:hint="eastAsia"/>
                <w:color w:val="auto"/>
                <w:sz w:val="24"/>
              </w:rPr>
              <w:t>进行</w:t>
            </w:r>
            <w:r>
              <w:rPr>
                <w:rFonts w:hAnsi="宋体"/>
                <w:color w:val="auto"/>
                <w:sz w:val="24"/>
              </w:rPr>
              <w:t>加热</w:t>
            </w:r>
            <w:r>
              <w:rPr>
                <w:rFonts w:hint="eastAsia" w:hAnsi="宋体"/>
                <w:color w:val="auto"/>
                <w:sz w:val="24"/>
              </w:rPr>
              <w:t>融化过程</w:t>
            </w:r>
            <w:r>
              <w:rPr>
                <w:rFonts w:hAnsi="宋体"/>
                <w:color w:val="auto"/>
                <w:sz w:val="24"/>
              </w:rPr>
              <w:t>会产生</w:t>
            </w:r>
            <w:r>
              <w:rPr>
                <w:rFonts w:hint="eastAsia" w:hAnsi="宋体"/>
                <w:color w:val="auto"/>
                <w:sz w:val="24"/>
                <w:lang w:eastAsia="zh-CN"/>
              </w:rPr>
              <w:t>臭气和</w:t>
            </w:r>
            <w:r>
              <w:rPr>
                <w:rFonts w:hint="eastAsia" w:hAnsi="宋体"/>
                <w:color w:val="auto"/>
                <w:sz w:val="24"/>
              </w:rPr>
              <w:t>有机废气，臭气浓度较低，通过UV光解+活性炭吸附装置处理，降低恶臭浓度，同时</w:t>
            </w:r>
            <w:r>
              <w:rPr>
                <w:rFonts w:hint="eastAsia"/>
                <w:color w:val="auto"/>
                <w:sz w:val="24"/>
              </w:rPr>
              <w:t>加强车间机械通风措施</w:t>
            </w:r>
            <w:r>
              <w:rPr>
                <w:rFonts w:hint="eastAsia"/>
                <w:color w:val="auto"/>
                <w:sz w:val="24"/>
                <w:lang w:eastAsia="zh-CN"/>
              </w:rPr>
              <w:t>，</w:t>
            </w:r>
            <w:r>
              <w:rPr>
                <w:rFonts w:hint="eastAsia" w:hAnsi="宋体"/>
                <w:color w:val="auto"/>
                <w:sz w:val="24"/>
                <w:lang w:val="en-US" w:eastAsia="zh-CN"/>
              </w:rPr>
              <w:t>臭气无组织排放满足《</w:t>
            </w:r>
            <w:r>
              <w:rPr>
                <w:rFonts w:hint="eastAsia" w:hAnsi="宋体"/>
                <w:color w:val="auto"/>
                <w:sz w:val="24"/>
              </w:rPr>
              <w:t>恶臭污染物排放标准</w:t>
            </w:r>
            <w:r>
              <w:rPr>
                <w:rFonts w:hint="eastAsia" w:hAnsi="宋体"/>
                <w:color w:val="auto"/>
                <w:sz w:val="24"/>
                <w:lang w:val="en-US" w:eastAsia="zh-CN"/>
              </w:rPr>
              <w:t>》（GB 14554—93）表1恶臭污染物厂界标准值二级新扩改建臭气浓度：≤20（无纲量）要求；</w:t>
            </w:r>
            <w:r>
              <w:rPr>
                <w:rFonts w:hint="eastAsia" w:hAnsi="宋体"/>
                <w:color w:val="auto"/>
                <w:sz w:val="24"/>
                <w:lang w:eastAsia="zh-CN"/>
              </w:rPr>
              <w:t>有机废气</w:t>
            </w:r>
            <w:r>
              <w:rPr>
                <w:rFonts w:hint="eastAsia" w:hAnsi="宋体"/>
                <w:color w:val="auto"/>
                <w:sz w:val="24"/>
              </w:rPr>
              <w:t>主要成分为</w:t>
            </w:r>
            <w:r>
              <w:rPr>
                <w:rFonts w:hAnsi="宋体"/>
                <w:color w:val="auto"/>
                <w:sz w:val="24"/>
              </w:rPr>
              <w:t>非甲烷总烃</w:t>
            </w:r>
            <w:r>
              <w:rPr>
                <w:rFonts w:hint="eastAsia" w:hAnsi="宋体"/>
                <w:color w:val="auto"/>
                <w:sz w:val="24"/>
              </w:rPr>
              <w:t>。</w:t>
            </w:r>
            <w:r>
              <w:rPr>
                <w:rFonts w:hAnsi="宋体"/>
                <w:color w:val="auto"/>
                <w:sz w:val="24"/>
              </w:rPr>
              <w:t>根据《空气污染物排放和控制手册》（美国国家环保局）中推荐的公式塑料加工废气排放系数</w:t>
            </w:r>
            <w:r>
              <w:rPr>
                <w:rFonts w:hint="eastAsia" w:hAnsi="宋体"/>
                <w:color w:val="auto"/>
                <w:sz w:val="24"/>
              </w:rPr>
              <w:t>，</w:t>
            </w:r>
            <w:r>
              <w:rPr>
                <w:rFonts w:hAnsi="宋体"/>
                <w:color w:val="auto"/>
                <w:sz w:val="24"/>
              </w:rPr>
              <w:t>非甲烷总烃的排放系数为</w:t>
            </w:r>
            <w:r>
              <w:rPr>
                <w:color w:val="auto"/>
                <w:sz w:val="24"/>
              </w:rPr>
              <w:t>0.35kg/t</w:t>
            </w:r>
            <w:r>
              <w:rPr>
                <w:rFonts w:hAnsi="宋体"/>
                <w:color w:val="auto"/>
                <w:sz w:val="24"/>
              </w:rPr>
              <w:t>树酯原料，</w:t>
            </w:r>
            <w:r>
              <w:rPr>
                <w:rFonts w:hint="eastAsia" w:hAnsi="宋体"/>
                <w:color w:val="auto"/>
                <w:sz w:val="24"/>
              </w:rPr>
              <w:t>项目年用PVC塑胶粉250t</w:t>
            </w:r>
            <w:r>
              <w:rPr>
                <w:rFonts w:hint="eastAsia" w:hAnsi="宋体"/>
                <w:color w:val="auto"/>
                <w:sz w:val="24"/>
                <w:lang w:eastAsia="zh-CN"/>
              </w:rPr>
              <w:t>、增塑剂</w:t>
            </w:r>
            <w:r>
              <w:rPr>
                <w:rFonts w:hint="eastAsia" w:hAnsi="宋体"/>
                <w:color w:val="auto"/>
                <w:sz w:val="24"/>
                <w:lang w:val="en-US" w:eastAsia="zh-CN"/>
              </w:rPr>
              <w:t>150t</w:t>
            </w:r>
            <w:r>
              <w:rPr>
                <w:rFonts w:hint="eastAsia" w:hAnsi="宋体"/>
                <w:color w:val="auto"/>
                <w:sz w:val="24"/>
              </w:rPr>
              <w:t>，</w:t>
            </w:r>
            <w:r>
              <w:rPr>
                <w:rFonts w:hAnsi="宋体"/>
                <w:color w:val="auto"/>
                <w:sz w:val="24"/>
              </w:rPr>
              <w:t>则非甲烷总烃</w:t>
            </w:r>
            <w:r>
              <w:rPr>
                <w:rFonts w:hint="eastAsia" w:hAnsi="宋体"/>
                <w:color w:val="auto"/>
                <w:sz w:val="24"/>
              </w:rPr>
              <w:t>产生量为</w:t>
            </w:r>
            <w:r>
              <w:rPr>
                <w:rFonts w:hint="eastAsia" w:hAnsi="宋体"/>
                <w:color w:val="auto"/>
                <w:sz w:val="24"/>
                <w:lang w:val="en-US" w:eastAsia="zh-CN"/>
              </w:rPr>
              <w:t>0.14</w:t>
            </w:r>
            <w:r>
              <w:rPr>
                <w:rFonts w:hint="eastAsia" w:hAnsi="宋体"/>
                <w:color w:val="auto"/>
                <w:sz w:val="24"/>
              </w:rPr>
              <w:t>t/a。项目设有造粒机、挤出机共5台，拟在造粒、挤出成型工序安装集气装置，集气罩的尺寸为1.6m*0.6m，则集气罩面积为0.96m</w:t>
            </w:r>
            <w:r>
              <w:rPr>
                <w:rFonts w:hint="eastAsia" w:hAnsi="宋体"/>
                <w:color w:val="auto"/>
                <w:sz w:val="24"/>
                <w:vertAlign w:val="superscript"/>
              </w:rPr>
              <w:t>2</w:t>
            </w:r>
            <w:r>
              <w:rPr>
                <w:rFonts w:hint="eastAsia" w:hAnsi="宋体"/>
                <w:color w:val="auto"/>
                <w:sz w:val="24"/>
              </w:rPr>
              <w:t>，风速取0.5m/s，则单个集气罩的风量为0.96m</w:t>
            </w:r>
            <w:r>
              <w:rPr>
                <w:rFonts w:hint="eastAsia" w:hAnsi="宋体"/>
                <w:color w:val="auto"/>
                <w:sz w:val="24"/>
                <w:vertAlign w:val="superscript"/>
              </w:rPr>
              <w:t>2</w:t>
            </w:r>
            <w:r>
              <w:rPr>
                <w:rFonts w:hint="eastAsia" w:hAnsi="宋体"/>
                <w:color w:val="auto"/>
                <w:sz w:val="24"/>
              </w:rPr>
              <w:t>*0.5m/s*3600s=1728m</w:t>
            </w:r>
            <w:r>
              <w:rPr>
                <w:rFonts w:hint="eastAsia" w:hAnsi="宋体"/>
                <w:color w:val="auto"/>
                <w:sz w:val="24"/>
                <w:vertAlign w:val="superscript"/>
              </w:rPr>
              <w:t>3</w:t>
            </w:r>
            <w:r>
              <w:rPr>
                <w:rFonts w:hint="eastAsia" w:hAnsi="宋体"/>
                <w:color w:val="auto"/>
                <w:sz w:val="24"/>
              </w:rPr>
              <w:t>/h，即总风机风量约为8600m</w:t>
            </w:r>
            <w:r>
              <w:rPr>
                <w:rFonts w:hint="eastAsia" w:hAnsi="宋体"/>
                <w:color w:val="auto"/>
                <w:sz w:val="24"/>
                <w:vertAlign w:val="superscript"/>
              </w:rPr>
              <w:t>3</w:t>
            </w:r>
            <w:r>
              <w:rPr>
                <w:rFonts w:hint="eastAsia" w:hAnsi="宋体"/>
                <w:color w:val="auto"/>
                <w:sz w:val="24"/>
              </w:rPr>
              <w:t>/h，收集效率可达80%，将有机废气统一收集至UV光解+活性炭吸附装置处理，处理效率可达80%，处理达标后高空排放</w:t>
            </w:r>
            <w:r>
              <w:rPr>
                <w:color w:val="auto"/>
                <w:sz w:val="24"/>
              </w:rPr>
              <w:t>（编号为G</w:t>
            </w:r>
            <w:r>
              <w:rPr>
                <w:rFonts w:hint="eastAsia"/>
                <w:color w:val="auto"/>
                <w:sz w:val="24"/>
              </w:rPr>
              <w:t>1</w:t>
            </w:r>
            <w:r>
              <w:rPr>
                <w:color w:val="auto"/>
                <w:sz w:val="24"/>
              </w:rPr>
              <w:t>）</w:t>
            </w:r>
            <w:r>
              <w:rPr>
                <w:rFonts w:hint="eastAsia" w:hAnsi="宋体"/>
                <w:color w:val="auto"/>
                <w:sz w:val="24"/>
              </w:rPr>
              <w:t>，排气筒高度</w:t>
            </w:r>
            <w:r>
              <w:rPr>
                <w:rFonts w:hint="eastAsia" w:hAnsi="宋体"/>
                <w:color w:val="auto"/>
                <w:sz w:val="24"/>
                <w:lang w:eastAsia="zh-CN"/>
              </w:rPr>
              <w:t>为</w:t>
            </w:r>
            <w:r>
              <w:rPr>
                <w:rFonts w:hint="eastAsia" w:hAnsi="宋体"/>
                <w:color w:val="auto"/>
                <w:sz w:val="24"/>
                <w:lang w:val="en-US" w:eastAsia="zh-CN"/>
              </w:rPr>
              <w:t>1</w:t>
            </w:r>
            <w:r>
              <w:rPr>
                <w:rFonts w:hint="eastAsia" w:hAnsi="宋体"/>
                <w:color w:val="auto"/>
                <w:sz w:val="24"/>
              </w:rPr>
              <w:t>5米。项目有机废气产生和排放情况如下表所示。</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项目有机废气</w:t>
            </w:r>
            <w:r>
              <w:rPr>
                <w:rFonts w:hint="eastAsia" w:eastAsia="宋体" w:cs="Times New Roman"/>
                <w:b/>
                <w:color w:val="auto"/>
                <w:sz w:val="21"/>
                <w:szCs w:val="21"/>
              </w:rPr>
              <w:t>产生和</w:t>
            </w:r>
            <w:r>
              <w:rPr>
                <w:rFonts w:eastAsia="宋体" w:cs="Times New Roman"/>
                <w:b/>
                <w:color w:val="auto"/>
                <w:sz w:val="21"/>
                <w:szCs w:val="21"/>
              </w:rPr>
              <w:t>排放情况一览表</w:t>
            </w:r>
          </w:p>
          <w:tbl>
            <w:tblPr>
              <w:tblStyle w:val="45"/>
              <w:tblW w:w="9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245"/>
              <w:gridCol w:w="1251"/>
              <w:gridCol w:w="1185"/>
              <w:gridCol w:w="1050"/>
              <w:gridCol w:w="1365"/>
              <w:gridCol w:w="1185"/>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986" w:type="dxa"/>
                  <w:tcBorders>
                    <w:tl2br w:val="nil"/>
                    <w:tr2bl w:val="nil"/>
                  </w:tcBorders>
                  <w:vAlign w:val="center"/>
                </w:tcPr>
                <w:p>
                  <w:pPr>
                    <w:kinsoku w:val="0"/>
                    <w:snapToGrid w:val="0"/>
                    <w:jc w:val="center"/>
                    <w:outlineLvl w:val="0"/>
                    <w:rPr>
                      <w:bCs/>
                      <w:color w:val="auto"/>
                      <w:szCs w:val="21"/>
                    </w:rPr>
                  </w:pPr>
                  <w:r>
                    <w:rPr>
                      <w:b/>
                      <w:color w:val="auto"/>
                      <w:szCs w:val="21"/>
                    </w:rPr>
                    <w:t>污染物</w:t>
                  </w:r>
                </w:p>
              </w:tc>
              <w:tc>
                <w:tcPr>
                  <w:tcW w:w="1245" w:type="dxa"/>
                  <w:tcBorders>
                    <w:tl2br w:val="nil"/>
                    <w:tr2bl w:val="nil"/>
                  </w:tcBorders>
                  <w:vAlign w:val="center"/>
                </w:tcPr>
                <w:p>
                  <w:pPr>
                    <w:kinsoku w:val="0"/>
                    <w:snapToGrid w:val="0"/>
                    <w:jc w:val="center"/>
                    <w:outlineLvl w:val="0"/>
                    <w:rPr>
                      <w:bCs/>
                      <w:color w:val="auto"/>
                      <w:szCs w:val="21"/>
                    </w:rPr>
                  </w:pPr>
                  <w:r>
                    <w:rPr>
                      <w:b/>
                      <w:color w:val="auto"/>
                      <w:szCs w:val="21"/>
                    </w:rPr>
                    <w:t>排放方式</w:t>
                  </w:r>
                </w:p>
              </w:tc>
              <w:tc>
                <w:tcPr>
                  <w:tcW w:w="1251" w:type="dxa"/>
                  <w:tcBorders>
                    <w:tl2br w:val="nil"/>
                    <w:tr2bl w:val="nil"/>
                  </w:tcBorders>
                  <w:vAlign w:val="center"/>
                </w:tcPr>
                <w:p>
                  <w:pPr>
                    <w:kinsoku w:val="0"/>
                    <w:snapToGrid w:val="0"/>
                    <w:jc w:val="center"/>
                    <w:outlineLvl w:val="0"/>
                    <w:rPr>
                      <w:color w:val="auto"/>
                    </w:rPr>
                  </w:pPr>
                  <w:r>
                    <w:rPr>
                      <w:b/>
                      <w:color w:val="auto"/>
                      <w:szCs w:val="21"/>
                    </w:rPr>
                    <w:t>产生浓度（mg/m³）</w:t>
                  </w:r>
                </w:p>
              </w:tc>
              <w:tc>
                <w:tcPr>
                  <w:tcW w:w="1185" w:type="dxa"/>
                  <w:tcBorders>
                    <w:tl2br w:val="nil"/>
                    <w:tr2bl w:val="nil"/>
                  </w:tcBorders>
                  <w:vAlign w:val="center"/>
                </w:tcPr>
                <w:p>
                  <w:pPr>
                    <w:kinsoku w:val="0"/>
                    <w:snapToGrid w:val="0"/>
                    <w:jc w:val="center"/>
                    <w:outlineLvl w:val="0"/>
                    <w:rPr>
                      <w:b/>
                      <w:color w:val="auto"/>
                      <w:szCs w:val="21"/>
                    </w:rPr>
                  </w:pPr>
                  <w:r>
                    <w:rPr>
                      <w:b/>
                      <w:color w:val="auto"/>
                      <w:szCs w:val="21"/>
                    </w:rPr>
                    <w:t>产生速率</w:t>
                  </w:r>
                </w:p>
                <w:p>
                  <w:pPr>
                    <w:kinsoku w:val="0"/>
                    <w:snapToGrid w:val="0"/>
                    <w:jc w:val="center"/>
                    <w:outlineLvl w:val="0"/>
                    <w:rPr>
                      <w:bCs/>
                      <w:color w:val="auto"/>
                      <w:szCs w:val="21"/>
                    </w:rPr>
                  </w:pPr>
                  <w:r>
                    <w:rPr>
                      <w:b/>
                      <w:color w:val="auto"/>
                      <w:szCs w:val="21"/>
                    </w:rPr>
                    <w:t>（kg/h）</w:t>
                  </w:r>
                </w:p>
              </w:tc>
              <w:tc>
                <w:tcPr>
                  <w:tcW w:w="1050" w:type="dxa"/>
                  <w:tcBorders>
                    <w:tl2br w:val="nil"/>
                    <w:tr2bl w:val="nil"/>
                  </w:tcBorders>
                  <w:vAlign w:val="center"/>
                </w:tcPr>
                <w:p>
                  <w:pPr>
                    <w:kinsoku w:val="0"/>
                    <w:snapToGrid w:val="0"/>
                    <w:jc w:val="center"/>
                    <w:outlineLvl w:val="0"/>
                    <w:rPr>
                      <w:b/>
                      <w:color w:val="auto"/>
                      <w:szCs w:val="21"/>
                    </w:rPr>
                  </w:pPr>
                  <w:r>
                    <w:rPr>
                      <w:b/>
                      <w:color w:val="auto"/>
                      <w:szCs w:val="21"/>
                    </w:rPr>
                    <w:t>产生量</w:t>
                  </w:r>
                </w:p>
                <w:p>
                  <w:pPr>
                    <w:kinsoku w:val="0"/>
                    <w:snapToGrid w:val="0"/>
                    <w:jc w:val="center"/>
                    <w:outlineLvl w:val="0"/>
                    <w:rPr>
                      <w:color w:val="auto"/>
                    </w:rPr>
                  </w:pPr>
                  <w:r>
                    <w:rPr>
                      <w:b/>
                      <w:color w:val="auto"/>
                      <w:szCs w:val="21"/>
                    </w:rPr>
                    <w:t>（</w:t>
                  </w:r>
                  <w:r>
                    <w:rPr>
                      <w:rFonts w:hint="eastAsia"/>
                      <w:b/>
                      <w:color w:val="auto"/>
                      <w:szCs w:val="21"/>
                    </w:rPr>
                    <w:t>t</w:t>
                  </w:r>
                  <w:r>
                    <w:rPr>
                      <w:b/>
                      <w:color w:val="auto"/>
                      <w:szCs w:val="21"/>
                    </w:rPr>
                    <w:t>/a）</w:t>
                  </w:r>
                </w:p>
              </w:tc>
              <w:tc>
                <w:tcPr>
                  <w:tcW w:w="1365" w:type="dxa"/>
                  <w:tcBorders>
                    <w:tl2br w:val="nil"/>
                    <w:tr2bl w:val="nil"/>
                  </w:tcBorders>
                  <w:vAlign w:val="center"/>
                </w:tcPr>
                <w:p>
                  <w:pPr>
                    <w:kinsoku w:val="0"/>
                    <w:snapToGrid w:val="0"/>
                    <w:jc w:val="center"/>
                    <w:outlineLvl w:val="0"/>
                    <w:rPr>
                      <w:b/>
                      <w:color w:val="auto"/>
                      <w:szCs w:val="21"/>
                    </w:rPr>
                  </w:pPr>
                  <w:r>
                    <w:rPr>
                      <w:b/>
                      <w:color w:val="auto"/>
                      <w:szCs w:val="21"/>
                    </w:rPr>
                    <w:t>排放浓度</w:t>
                  </w:r>
                </w:p>
                <w:p>
                  <w:pPr>
                    <w:kinsoku w:val="0"/>
                    <w:snapToGrid w:val="0"/>
                    <w:jc w:val="center"/>
                    <w:outlineLvl w:val="0"/>
                    <w:rPr>
                      <w:color w:val="auto"/>
                    </w:rPr>
                  </w:pPr>
                  <w:r>
                    <w:rPr>
                      <w:b/>
                      <w:color w:val="auto"/>
                      <w:szCs w:val="21"/>
                    </w:rPr>
                    <w:t>（mg/m³）</w:t>
                  </w:r>
                </w:p>
              </w:tc>
              <w:tc>
                <w:tcPr>
                  <w:tcW w:w="1185" w:type="dxa"/>
                  <w:tcBorders>
                    <w:tl2br w:val="nil"/>
                    <w:tr2bl w:val="nil"/>
                  </w:tcBorders>
                  <w:vAlign w:val="center"/>
                </w:tcPr>
                <w:p>
                  <w:pPr>
                    <w:kinsoku w:val="0"/>
                    <w:snapToGrid w:val="0"/>
                    <w:jc w:val="center"/>
                    <w:outlineLvl w:val="0"/>
                    <w:rPr>
                      <w:b/>
                      <w:color w:val="auto"/>
                      <w:szCs w:val="21"/>
                    </w:rPr>
                  </w:pPr>
                  <w:r>
                    <w:rPr>
                      <w:b/>
                      <w:color w:val="auto"/>
                      <w:szCs w:val="21"/>
                    </w:rPr>
                    <w:t>排放速率</w:t>
                  </w:r>
                </w:p>
                <w:p>
                  <w:pPr>
                    <w:kinsoku w:val="0"/>
                    <w:snapToGrid w:val="0"/>
                    <w:jc w:val="center"/>
                    <w:outlineLvl w:val="0"/>
                    <w:rPr>
                      <w:bCs/>
                      <w:color w:val="auto"/>
                      <w:szCs w:val="21"/>
                    </w:rPr>
                  </w:pPr>
                  <w:r>
                    <w:rPr>
                      <w:b/>
                      <w:color w:val="auto"/>
                      <w:szCs w:val="21"/>
                    </w:rPr>
                    <w:t>（kg/h）</w:t>
                  </w:r>
                </w:p>
              </w:tc>
              <w:tc>
                <w:tcPr>
                  <w:tcW w:w="1050" w:type="dxa"/>
                  <w:tcBorders>
                    <w:tl2br w:val="nil"/>
                    <w:tr2bl w:val="nil"/>
                  </w:tcBorders>
                  <w:vAlign w:val="center"/>
                </w:tcPr>
                <w:p>
                  <w:pPr>
                    <w:kinsoku w:val="0"/>
                    <w:snapToGrid w:val="0"/>
                    <w:jc w:val="center"/>
                    <w:outlineLvl w:val="0"/>
                    <w:rPr>
                      <w:b/>
                      <w:color w:val="auto"/>
                      <w:szCs w:val="21"/>
                    </w:rPr>
                  </w:pPr>
                  <w:r>
                    <w:rPr>
                      <w:b/>
                      <w:color w:val="auto"/>
                      <w:szCs w:val="21"/>
                    </w:rPr>
                    <w:t>排放量</w:t>
                  </w:r>
                </w:p>
                <w:p>
                  <w:pPr>
                    <w:kinsoku w:val="0"/>
                    <w:snapToGrid w:val="0"/>
                    <w:jc w:val="center"/>
                    <w:outlineLvl w:val="0"/>
                    <w:rPr>
                      <w:color w:val="auto"/>
                    </w:rPr>
                  </w:pPr>
                  <w:r>
                    <w:rPr>
                      <w:b/>
                      <w:color w:val="auto"/>
                      <w:szCs w:val="21"/>
                    </w:rPr>
                    <w:t>（</w:t>
                  </w:r>
                  <w:r>
                    <w:rPr>
                      <w:rFonts w:hint="eastAsia"/>
                      <w:b/>
                      <w:color w:val="auto"/>
                      <w:szCs w:val="21"/>
                    </w:rPr>
                    <w:t>t</w:t>
                  </w:r>
                  <w:r>
                    <w:rPr>
                      <w:b/>
                      <w:color w:val="auto"/>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986" w:type="dxa"/>
                  <w:vMerge w:val="restart"/>
                  <w:tcBorders>
                    <w:tl2br w:val="nil"/>
                    <w:tr2bl w:val="nil"/>
                  </w:tcBorders>
                  <w:vAlign w:val="center"/>
                </w:tcPr>
                <w:p>
                  <w:pPr>
                    <w:pStyle w:val="2"/>
                    <w:tabs>
                      <w:tab w:val="left" w:pos="607"/>
                    </w:tabs>
                    <w:snapToGrid w:val="0"/>
                    <w:jc w:val="center"/>
                    <w:rPr>
                      <w:rFonts w:ascii="Times New Roman" w:cs="Times New Roman"/>
                      <w:bCs/>
                      <w:color w:val="auto"/>
                      <w:sz w:val="21"/>
                      <w:szCs w:val="21"/>
                    </w:rPr>
                  </w:pPr>
                  <w:r>
                    <w:rPr>
                      <w:rFonts w:hint="eastAsia" w:ascii="Times New Roman" w:cs="Times New Roman"/>
                      <w:bCs/>
                      <w:color w:val="auto"/>
                      <w:sz w:val="21"/>
                      <w:szCs w:val="21"/>
                    </w:rPr>
                    <w:t>非甲烷总烃</w:t>
                  </w:r>
                </w:p>
              </w:tc>
              <w:tc>
                <w:tcPr>
                  <w:tcW w:w="1245" w:type="dxa"/>
                  <w:tcBorders>
                    <w:tl2br w:val="nil"/>
                    <w:tr2bl w:val="nil"/>
                  </w:tcBorders>
                  <w:vAlign w:val="center"/>
                </w:tcPr>
                <w:p>
                  <w:pPr>
                    <w:pStyle w:val="2"/>
                    <w:tabs>
                      <w:tab w:val="left" w:pos="607"/>
                    </w:tabs>
                    <w:snapToGrid w:val="0"/>
                    <w:spacing w:line="360" w:lineRule="auto"/>
                    <w:jc w:val="center"/>
                    <w:rPr>
                      <w:rFonts w:ascii="Times New Roman" w:cs="Times New Roman"/>
                      <w:bCs/>
                      <w:color w:val="auto"/>
                      <w:sz w:val="21"/>
                      <w:szCs w:val="21"/>
                    </w:rPr>
                  </w:pPr>
                  <w:r>
                    <w:rPr>
                      <w:rFonts w:ascii="Times New Roman" w:cs="Times New Roman"/>
                      <w:bCs/>
                      <w:color w:val="auto"/>
                      <w:sz w:val="21"/>
                      <w:szCs w:val="21"/>
                    </w:rPr>
                    <w:t>有组织</w:t>
                  </w:r>
                </w:p>
              </w:tc>
              <w:tc>
                <w:tcPr>
                  <w:tcW w:w="1251" w:type="dxa"/>
                  <w:tcBorders>
                    <w:tl2br w:val="nil"/>
                    <w:tr2bl w:val="nil"/>
                  </w:tcBorders>
                  <w:vAlign w:val="center"/>
                </w:tcPr>
                <w:p>
                  <w:pPr>
                    <w:widowControl/>
                    <w:jc w:val="center"/>
                    <w:textAlignment w:val="center"/>
                    <w:rPr>
                      <w:rFonts w:hint="default" w:eastAsia="宋体"/>
                      <w:color w:val="auto"/>
                      <w:lang w:val="en-US" w:eastAsia="zh-CN"/>
                    </w:rPr>
                  </w:pPr>
                  <w:r>
                    <w:rPr>
                      <w:rFonts w:hint="eastAsia"/>
                      <w:color w:val="auto"/>
                      <w:lang w:val="en-US" w:eastAsia="zh-CN"/>
                    </w:rPr>
                    <w:t>5.426</w:t>
                  </w:r>
                </w:p>
              </w:tc>
              <w:tc>
                <w:tcPr>
                  <w:tcW w:w="1185" w:type="dxa"/>
                  <w:tcBorders>
                    <w:tl2br w:val="nil"/>
                    <w:tr2bl w:val="nil"/>
                  </w:tcBorders>
                  <w:vAlign w:val="center"/>
                </w:tcPr>
                <w:p>
                  <w:pPr>
                    <w:widowControl/>
                    <w:jc w:val="center"/>
                    <w:textAlignment w:val="center"/>
                    <w:rPr>
                      <w:rFonts w:hint="default" w:eastAsia="宋体"/>
                      <w:color w:val="auto"/>
                      <w:lang w:val="en-US" w:eastAsia="zh-CN"/>
                    </w:rPr>
                  </w:pPr>
                  <w:r>
                    <w:rPr>
                      <w:rFonts w:hint="eastAsia"/>
                      <w:color w:val="auto"/>
                      <w:lang w:val="en-US" w:eastAsia="zh-CN"/>
                    </w:rPr>
                    <w:t>0.047</w:t>
                  </w:r>
                </w:p>
              </w:tc>
              <w:tc>
                <w:tcPr>
                  <w:tcW w:w="1050" w:type="dxa"/>
                  <w:tcBorders>
                    <w:tl2br w:val="nil"/>
                    <w:tr2bl w:val="nil"/>
                  </w:tcBorders>
                  <w:vAlign w:val="center"/>
                </w:tcPr>
                <w:p>
                  <w:pPr>
                    <w:widowControl/>
                    <w:jc w:val="center"/>
                    <w:textAlignment w:val="center"/>
                    <w:rPr>
                      <w:rFonts w:hint="default" w:eastAsia="宋体"/>
                      <w:color w:val="auto"/>
                      <w:lang w:val="en-US" w:eastAsia="zh-CN"/>
                    </w:rPr>
                  </w:pPr>
                  <w:r>
                    <w:rPr>
                      <w:rFonts w:hint="eastAsia"/>
                      <w:color w:val="auto"/>
                      <w:lang w:val="en-US" w:eastAsia="zh-CN"/>
                    </w:rPr>
                    <w:t>0.112</w:t>
                  </w:r>
                </w:p>
              </w:tc>
              <w:tc>
                <w:tcPr>
                  <w:tcW w:w="1365" w:type="dxa"/>
                  <w:tcBorders>
                    <w:tl2br w:val="nil"/>
                    <w:tr2bl w:val="nil"/>
                  </w:tcBorders>
                  <w:vAlign w:val="center"/>
                </w:tcPr>
                <w:p>
                  <w:pPr>
                    <w:widowControl/>
                    <w:jc w:val="center"/>
                    <w:textAlignment w:val="center"/>
                    <w:rPr>
                      <w:rFonts w:hint="default" w:eastAsia="宋体"/>
                      <w:color w:val="auto"/>
                      <w:lang w:val="en-US" w:eastAsia="zh-CN"/>
                    </w:rPr>
                  </w:pPr>
                  <w:r>
                    <w:rPr>
                      <w:rFonts w:hint="eastAsia"/>
                      <w:color w:val="auto"/>
                      <w:lang w:val="en-US" w:eastAsia="zh-CN"/>
                    </w:rPr>
                    <w:t>1.085</w:t>
                  </w:r>
                </w:p>
              </w:tc>
              <w:tc>
                <w:tcPr>
                  <w:tcW w:w="1185" w:type="dxa"/>
                  <w:tcBorders>
                    <w:tl2br w:val="nil"/>
                    <w:tr2bl w:val="nil"/>
                  </w:tcBorders>
                  <w:vAlign w:val="center"/>
                </w:tcPr>
                <w:p>
                  <w:pPr>
                    <w:widowControl/>
                    <w:jc w:val="center"/>
                    <w:textAlignment w:val="center"/>
                    <w:rPr>
                      <w:rFonts w:hint="default" w:eastAsia="宋体"/>
                      <w:color w:val="auto"/>
                      <w:lang w:val="en-US" w:eastAsia="zh-CN"/>
                    </w:rPr>
                  </w:pPr>
                  <w:r>
                    <w:rPr>
                      <w:rFonts w:hint="eastAsia"/>
                      <w:color w:val="auto"/>
                      <w:lang w:val="en-US" w:eastAsia="zh-CN"/>
                    </w:rPr>
                    <w:t>0.009</w:t>
                  </w:r>
                </w:p>
              </w:tc>
              <w:tc>
                <w:tcPr>
                  <w:tcW w:w="1050" w:type="dxa"/>
                  <w:tcBorders>
                    <w:tl2br w:val="nil"/>
                    <w:tr2bl w:val="nil"/>
                  </w:tcBorders>
                  <w:vAlign w:val="center"/>
                </w:tcPr>
                <w:p>
                  <w:pPr>
                    <w:widowControl/>
                    <w:jc w:val="center"/>
                    <w:textAlignment w:val="center"/>
                    <w:rPr>
                      <w:rFonts w:hint="default" w:eastAsia="宋体"/>
                      <w:color w:val="auto"/>
                      <w:lang w:val="en-US" w:eastAsia="zh-CN"/>
                    </w:rPr>
                  </w:pPr>
                  <w:r>
                    <w:rPr>
                      <w:rFonts w:hint="eastAsia"/>
                      <w:color w:val="auto"/>
                      <w:lang w:val="en-US" w:eastAsia="zh-CN"/>
                    </w:rPr>
                    <w:t>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continue"/>
                  <w:tcBorders>
                    <w:tl2br w:val="nil"/>
                    <w:tr2bl w:val="nil"/>
                  </w:tcBorders>
                  <w:vAlign w:val="center"/>
                </w:tcPr>
                <w:p>
                  <w:pPr>
                    <w:pStyle w:val="2"/>
                    <w:tabs>
                      <w:tab w:val="left" w:pos="607"/>
                    </w:tabs>
                    <w:snapToGrid w:val="0"/>
                    <w:spacing w:line="360" w:lineRule="auto"/>
                    <w:jc w:val="center"/>
                    <w:rPr>
                      <w:rFonts w:ascii="Times New Roman" w:cs="Times New Roman"/>
                      <w:bCs/>
                      <w:color w:val="auto"/>
                      <w:sz w:val="21"/>
                      <w:szCs w:val="21"/>
                    </w:rPr>
                  </w:pPr>
                </w:p>
              </w:tc>
              <w:tc>
                <w:tcPr>
                  <w:tcW w:w="1245" w:type="dxa"/>
                  <w:tcBorders>
                    <w:tl2br w:val="nil"/>
                    <w:tr2bl w:val="nil"/>
                  </w:tcBorders>
                  <w:vAlign w:val="center"/>
                </w:tcPr>
                <w:p>
                  <w:pPr>
                    <w:pStyle w:val="2"/>
                    <w:tabs>
                      <w:tab w:val="left" w:pos="607"/>
                    </w:tabs>
                    <w:snapToGrid w:val="0"/>
                    <w:spacing w:line="360" w:lineRule="auto"/>
                    <w:jc w:val="center"/>
                    <w:rPr>
                      <w:rFonts w:ascii="Times New Roman" w:cs="Times New Roman"/>
                      <w:bCs/>
                      <w:color w:val="auto"/>
                      <w:sz w:val="21"/>
                      <w:szCs w:val="21"/>
                    </w:rPr>
                  </w:pPr>
                  <w:r>
                    <w:rPr>
                      <w:rFonts w:ascii="Times New Roman" w:cs="Times New Roman"/>
                      <w:bCs/>
                      <w:color w:val="auto"/>
                      <w:sz w:val="21"/>
                      <w:szCs w:val="21"/>
                    </w:rPr>
                    <w:t>无组织</w:t>
                  </w:r>
                </w:p>
              </w:tc>
              <w:tc>
                <w:tcPr>
                  <w:tcW w:w="1251" w:type="dxa"/>
                  <w:tcBorders>
                    <w:tl2br w:val="nil"/>
                    <w:tr2bl w:val="nil"/>
                  </w:tcBorders>
                  <w:vAlign w:val="center"/>
                </w:tcPr>
                <w:p>
                  <w:pPr>
                    <w:widowControl/>
                    <w:jc w:val="center"/>
                    <w:textAlignment w:val="center"/>
                    <w:rPr>
                      <w:color w:val="auto"/>
                    </w:rPr>
                  </w:pPr>
                  <w:r>
                    <w:rPr>
                      <w:color w:val="auto"/>
                    </w:rPr>
                    <w:t>/</w:t>
                  </w:r>
                </w:p>
              </w:tc>
              <w:tc>
                <w:tcPr>
                  <w:tcW w:w="1185" w:type="dxa"/>
                  <w:tcBorders>
                    <w:tl2br w:val="nil"/>
                    <w:tr2bl w:val="nil"/>
                  </w:tcBorders>
                  <w:vAlign w:val="center"/>
                </w:tcPr>
                <w:p>
                  <w:pPr>
                    <w:widowControl/>
                    <w:jc w:val="center"/>
                    <w:textAlignment w:val="center"/>
                    <w:rPr>
                      <w:rFonts w:hint="default" w:eastAsia="宋体"/>
                      <w:color w:val="auto"/>
                      <w:lang w:val="en-US" w:eastAsia="zh-CN"/>
                    </w:rPr>
                  </w:pPr>
                  <w:r>
                    <w:rPr>
                      <w:rFonts w:hint="eastAsia"/>
                      <w:color w:val="auto"/>
                      <w:lang w:val="en-US" w:eastAsia="zh-CN"/>
                    </w:rPr>
                    <w:t>0.012</w:t>
                  </w:r>
                </w:p>
              </w:tc>
              <w:tc>
                <w:tcPr>
                  <w:tcW w:w="1050" w:type="dxa"/>
                  <w:tcBorders>
                    <w:tl2br w:val="nil"/>
                    <w:tr2bl w:val="nil"/>
                  </w:tcBorders>
                  <w:vAlign w:val="center"/>
                </w:tcPr>
                <w:p>
                  <w:pPr>
                    <w:widowControl/>
                    <w:jc w:val="center"/>
                    <w:textAlignment w:val="center"/>
                    <w:rPr>
                      <w:rFonts w:hint="default" w:eastAsia="宋体"/>
                      <w:color w:val="auto"/>
                      <w:lang w:val="en-US" w:eastAsia="zh-CN"/>
                    </w:rPr>
                  </w:pPr>
                  <w:r>
                    <w:rPr>
                      <w:rFonts w:hint="eastAsia"/>
                      <w:color w:val="auto"/>
                    </w:rPr>
                    <w:t>0.0</w:t>
                  </w:r>
                  <w:r>
                    <w:rPr>
                      <w:rFonts w:hint="eastAsia"/>
                      <w:color w:val="auto"/>
                      <w:lang w:val="en-US" w:eastAsia="zh-CN"/>
                    </w:rPr>
                    <w:t>28</w:t>
                  </w:r>
                </w:p>
              </w:tc>
              <w:tc>
                <w:tcPr>
                  <w:tcW w:w="1365" w:type="dxa"/>
                  <w:tcBorders>
                    <w:tl2br w:val="nil"/>
                    <w:tr2bl w:val="nil"/>
                  </w:tcBorders>
                  <w:vAlign w:val="center"/>
                </w:tcPr>
                <w:p>
                  <w:pPr>
                    <w:widowControl/>
                    <w:jc w:val="center"/>
                    <w:textAlignment w:val="center"/>
                    <w:rPr>
                      <w:color w:val="auto"/>
                    </w:rPr>
                  </w:pPr>
                  <w:r>
                    <w:rPr>
                      <w:color w:val="auto"/>
                    </w:rPr>
                    <w:t>/</w:t>
                  </w:r>
                </w:p>
              </w:tc>
              <w:tc>
                <w:tcPr>
                  <w:tcW w:w="1185" w:type="dxa"/>
                  <w:tcBorders>
                    <w:tl2br w:val="nil"/>
                    <w:tr2bl w:val="nil"/>
                  </w:tcBorders>
                  <w:vAlign w:val="center"/>
                </w:tcPr>
                <w:p>
                  <w:pPr>
                    <w:widowControl/>
                    <w:jc w:val="center"/>
                    <w:textAlignment w:val="center"/>
                    <w:rPr>
                      <w:color w:val="auto"/>
                    </w:rPr>
                  </w:pPr>
                  <w:r>
                    <w:rPr>
                      <w:rFonts w:hint="eastAsia"/>
                      <w:color w:val="auto"/>
                      <w:lang w:val="en-US" w:eastAsia="zh-CN"/>
                    </w:rPr>
                    <w:t>0.012</w:t>
                  </w:r>
                </w:p>
              </w:tc>
              <w:tc>
                <w:tcPr>
                  <w:tcW w:w="1050" w:type="dxa"/>
                  <w:tcBorders>
                    <w:tl2br w:val="nil"/>
                    <w:tr2bl w:val="nil"/>
                  </w:tcBorders>
                  <w:vAlign w:val="center"/>
                </w:tcPr>
                <w:p>
                  <w:pPr>
                    <w:widowControl/>
                    <w:jc w:val="center"/>
                    <w:textAlignment w:val="center"/>
                    <w:rPr>
                      <w:color w:val="auto"/>
                    </w:rPr>
                  </w:pPr>
                  <w:r>
                    <w:rPr>
                      <w:rFonts w:hint="eastAsia"/>
                      <w:color w:val="auto"/>
                    </w:rPr>
                    <w:t>0.0</w:t>
                  </w:r>
                  <w:r>
                    <w:rPr>
                      <w:rFonts w:hint="eastAsia"/>
                      <w:color w:val="auto"/>
                      <w:lang w:val="en-US" w:eastAsia="zh-CN"/>
                    </w:rPr>
                    <w:t>28</w:t>
                  </w:r>
                </w:p>
              </w:tc>
            </w:tr>
          </w:tbl>
          <w:p>
            <w:pPr>
              <w:spacing w:line="360" w:lineRule="auto"/>
              <w:ind w:firstLine="480" w:firstLineChars="200"/>
              <w:rPr>
                <w:color w:val="auto"/>
                <w:sz w:val="24"/>
              </w:rPr>
            </w:pPr>
            <w:r>
              <w:rPr>
                <w:color w:val="auto"/>
                <w:sz w:val="24"/>
              </w:rPr>
              <w:t>根据上表可知项目非甲烷总烃</w:t>
            </w:r>
            <w:r>
              <w:rPr>
                <w:rFonts w:hint="eastAsia"/>
                <w:color w:val="auto"/>
                <w:sz w:val="24"/>
              </w:rPr>
              <w:t>有组织</w:t>
            </w:r>
            <w:r>
              <w:rPr>
                <w:color w:val="auto"/>
                <w:sz w:val="24"/>
              </w:rPr>
              <w:t>排放浓度和排放速率可以达到《合成树脂工业污染物排放标准》（GB 31572-2015）中表4规定的大气污染物排放标准限值，</w:t>
            </w:r>
            <w:r>
              <w:rPr>
                <w:rFonts w:hint="eastAsia"/>
                <w:color w:val="auto"/>
                <w:sz w:val="24"/>
                <w:shd w:val="clear" w:color="auto" w:fill="FFFFFF"/>
              </w:rPr>
              <w:t>无组织排放量较少，</w:t>
            </w:r>
            <w:r>
              <w:rPr>
                <w:color w:val="auto"/>
                <w:sz w:val="24"/>
                <w:shd w:val="clear" w:color="auto" w:fill="FFFFFF"/>
              </w:rPr>
              <w:t>根据估算，</w:t>
            </w:r>
            <w:r>
              <w:rPr>
                <w:color w:val="auto"/>
                <w:sz w:val="24"/>
              </w:rPr>
              <w:t>周界外非甲烷总烃</w:t>
            </w:r>
            <w:r>
              <w:rPr>
                <w:rFonts w:hint="eastAsia"/>
                <w:color w:val="auto"/>
                <w:kern w:val="0"/>
                <w:sz w:val="24"/>
              </w:rPr>
              <w:t>最大地面浓度未超过</w:t>
            </w:r>
            <w:r>
              <w:rPr>
                <w:color w:val="auto"/>
                <w:kern w:val="0"/>
                <w:sz w:val="24"/>
              </w:rPr>
              <w:t>《合成树脂工业污染物排放标准》（GB31572-2015）中的表9企业边界大气污染物浓度限值</w:t>
            </w:r>
            <w:r>
              <w:rPr>
                <w:color w:val="auto"/>
                <w:sz w:val="24"/>
              </w:rPr>
              <w:t>（非甲烷总烃：≤4.0mg/m</w:t>
            </w:r>
            <w:r>
              <w:rPr>
                <w:color w:val="auto"/>
                <w:sz w:val="24"/>
                <w:vertAlign w:val="superscript"/>
              </w:rPr>
              <w:t>3</w:t>
            </w:r>
            <w:r>
              <w:rPr>
                <w:color w:val="auto"/>
                <w:sz w:val="24"/>
              </w:rPr>
              <w:t>）</w:t>
            </w:r>
            <w:r>
              <w:rPr>
                <w:rFonts w:hint="eastAsia"/>
                <w:color w:val="auto"/>
                <w:sz w:val="24"/>
              </w:rPr>
              <w:t>，对周围环境影响较小。</w:t>
            </w:r>
          </w:p>
          <w:p>
            <w:pPr>
              <w:spacing w:line="360" w:lineRule="auto"/>
              <w:ind w:firstLine="472" w:firstLineChars="196"/>
              <w:rPr>
                <w:b/>
                <w:bCs/>
                <w:color w:val="auto"/>
                <w:sz w:val="24"/>
              </w:rPr>
            </w:pPr>
            <w:r>
              <w:rPr>
                <w:rFonts w:hint="eastAsia"/>
                <w:b/>
                <w:bCs/>
                <w:color w:val="auto"/>
                <w:sz w:val="24"/>
              </w:rPr>
              <w:t>二、水污染源</w:t>
            </w:r>
          </w:p>
          <w:p>
            <w:pPr>
              <w:adjustRightInd w:val="0"/>
              <w:spacing w:line="360" w:lineRule="auto"/>
              <w:ind w:firstLine="482" w:firstLineChars="200"/>
              <w:rPr>
                <w:color w:val="auto"/>
                <w:sz w:val="24"/>
                <w:szCs w:val="24"/>
                <w:highlight w:val="none"/>
              </w:rPr>
            </w:pPr>
            <w:r>
              <w:rPr>
                <w:rFonts w:hint="eastAsia" w:hAnsi="宋体"/>
                <w:b/>
                <w:color w:val="auto"/>
                <w:sz w:val="24"/>
                <w:lang w:eastAsia="zh-CN"/>
              </w:rPr>
              <w:t>冷却废水</w:t>
            </w:r>
            <w:r>
              <w:rPr>
                <w:rFonts w:hAnsi="宋体"/>
                <w:b/>
                <w:color w:val="auto"/>
                <w:sz w:val="24"/>
              </w:rPr>
              <w:t>：</w:t>
            </w:r>
            <w:r>
              <w:rPr>
                <w:rFonts w:hint="eastAsia" w:hAnsi="宋体"/>
                <w:bCs/>
                <w:color w:val="auto"/>
                <w:sz w:val="24"/>
              </w:rPr>
              <w:t>项目</w:t>
            </w:r>
            <w:r>
              <w:rPr>
                <w:rFonts w:hint="eastAsia"/>
                <w:color w:val="auto"/>
                <w:sz w:val="24"/>
              </w:rPr>
              <w:t>冷却工序的冷却水由冷却塔提供，根据</w:t>
            </w:r>
            <w:r>
              <w:rPr>
                <w:rFonts w:hint="eastAsia" w:hAnsi="宋体"/>
                <w:color w:val="auto"/>
                <w:sz w:val="24"/>
              </w:rPr>
              <w:t>建设单位</w:t>
            </w:r>
            <w:r>
              <w:rPr>
                <w:rFonts w:hint="eastAsia"/>
                <w:color w:val="auto"/>
                <w:sz w:val="24"/>
              </w:rPr>
              <w:t>提供的资料，</w:t>
            </w:r>
            <w:r>
              <w:rPr>
                <w:rFonts w:hint="eastAsia" w:hAnsi="宋体"/>
                <w:color w:val="auto"/>
                <w:sz w:val="24"/>
                <w:lang w:eastAsia="zh-CN"/>
              </w:rPr>
              <w:t>冷却废水</w:t>
            </w:r>
            <w:r>
              <w:rPr>
                <w:rFonts w:hAnsi="宋体"/>
                <w:color w:val="auto"/>
                <w:sz w:val="24"/>
              </w:rPr>
              <w:t>为普通的自来水，其中无需添加矿物油、乳化液等冷却剂，</w:t>
            </w:r>
            <w:r>
              <w:rPr>
                <w:rFonts w:hint="eastAsia"/>
                <w:color w:val="auto"/>
                <w:sz w:val="24"/>
                <w:lang w:eastAsia="zh-CN"/>
              </w:rPr>
              <w:t>该冷却水循环使用，循环水量为10t/h</w:t>
            </w:r>
            <w:r>
              <w:rPr>
                <w:rFonts w:hint="eastAsia"/>
                <w:color w:val="auto"/>
                <w:sz w:val="24"/>
              </w:rPr>
              <w:t>，因受热等因素损失，需定期补充新鲜水，</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0.2t</w:t>
            </w:r>
            <w:r>
              <w:rPr>
                <w:rFonts w:hint="eastAsia"/>
                <w:color w:val="auto"/>
                <w:sz w:val="24"/>
                <w:highlight w:val="none"/>
              </w:rPr>
              <w:t>/d（</w:t>
            </w:r>
            <w:r>
              <w:rPr>
                <w:rFonts w:hint="eastAsia"/>
                <w:color w:val="auto"/>
                <w:sz w:val="24"/>
                <w:highlight w:val="none"/>
                <w:lang w:val="en-US" w:eastAsia="zh-CN"/>
              </w:rPr>
              <w:t>60t</w:t>
            </w:r>
            <w:r>
              <w:rPr>
                <w:rFonts w:hint="eastAsia"/>
                <w:color w:val="auto"/>
                <w:sz w:val="24"/>
                <w:highlight w:val="none"/>
              </w:rPr>
              <w:t>/a）</w:t>
            </w:r>
            <w:r>
              <w:rPr>
                <w:rFonts w:hint="eastAsia" w:cs="宋体"/>
                <w:color w:val="auto"/>
                <w:sz w:val="24"/>
                <w:szCs w:val="24"/>
                <w:highlight w:val="none"/>
                <w:lang w:bidi="ar"/>
              </w:rPr>
              <w:t>。</w:t>
            </w:r>
            <w:r>
              <w:rPr>
                <w:rFonts w:hint="eastAsia" w:cs="Times New Roman"/>
                <w:color w:val="auto"/>
                <w:sz w:val="24"/>
                <w:highlight w:val="none"/>
                <w:lang w:eastAsia="zh-CN"/>
              </w:rPr>
              <w:t>冷却水</w:t>
            </w:r>
            <w:r>
              <w:rPr>
                <w:rFonts w:hint="default" w:ascii="Times New Roman" w:hAnsi="Times New Roman" w:cs="Times New Roman"/>
                <w:color w:val="auto"/>
                <w:sz w:val="24"/>
                <w:highlight w:val="none"/>
              </w:rPr>
              <w:t>在循环蒸发过程中溶解盐类不断被浓缩，含盐量不断增加，为了将循环水中含盐量维持在适宜浓度，</w:t>
            </w:r>
            <w:r>
              <w:rPr>
                <w:rFonts w:hint="default" w:ascii="Times New Roman" w:hAnsi="Times New Roman" w:cs="Times New Roman"/>
                <w:color w:val="auto"/>
                <w:sz w:val="24"/>
                <w:szCs w:val="24"/>
                <w:highlight w:val="none"/>
              </w:rPr>
              <w:t>根据建设单位提供资料，</w:t>
            </w:r>
            <w:r>
              <w:rPr>
                <w:rStyle w:val="50"/>
                <w:rFonts w:hint="default" w:ascii="Times New Roman" w:hAnsi="Times New Roman" w:cs="Times New Roman"/>
                <w:color w:val="auto"/>
                <w:sz w:val="24"/>
                <w:szCs w:val="24"/>
                <w:highlight w:val="none"/>
                <w:lang w:eastAsia="zh-CN"/>
              </w:rPr>
              <w:t>每三个月更换一次，一次更换水量为</w:t>
            </w:r>
            <w:r>
              <w:rPr>
                <w:rStyle w:val="50"/>
                <w:rFonts w:hint="default" w:ascii="Times New Roman" w:hAnsi="Times New Roman" w:cs="Times New Roman"/>
                <w:color w:val="auto"/>
                <w:sz w:val="24"/>
                <w:szCs w:val="24"/>
                <w:highlight w:val="none"/>
                <w:lang w:val="en-US" w:eastAsia="zh-CN"/>
              </w:rPr>
              <w:t>2t，</w:t>
            </w:r>
            <w:r>
              <w:rPr>
                <w:rStyle w:val="50"/>
                <w:rFonts w:hint="eastAsia" w:cs="Times New Roman"/>
                <w:color w:val="auto"/>
                <w:sz w:val="24"/>
                <w:szCs w:val="24"/>
                <w:highlight w:val="none"/>
                <w:lang w:val="en-US" w:eastAsia="zh-CN"/>
              </w:rPr>
              <w:t>即</w:t>
            </w:r>
            <w:r>
              <w:rPr>
                <w:rStyle w:val="50"/>
                <w:rFonts w:hint="default" w:ascii="Times New Roman" w:hAnsi="Times New Roman" w:cs="Times New Roman"/>
                <w:color w:val="auto"/>
                <w:sz w:val="24"/>
                <w:szCs w:val="24"/>
                <w:highlight w:val="none"/>
                <w:lang w:val="en-US" w:eastAsia="zh-CN"/>
              </w:rPr>
              <w:t>8t/a</w:t>
            </w:r>
            <w:r>
              <w:rPr>
                <w:rFonts w:hint="default" w:ascii="Times New Roman" w:hAnsi="Times New Roman" w:cs="Times New Roman"/>
                <w:color w:val="auto"/>
                <w:sz w:val="24"/>
                <w:szCs w:val="24"/>
                <w:highlight w:val="none"/>
              </w:rPr>
              <w:t>。</w:t>
            </w:r>
          </w:p>
          <w:p>
            <w:pPr>
              <w:snapToGrid w:val="0"/>
              <w:spacing w:line="360" w:lineRule="auto"/>
              <w:ind w:firstLine="482" w:firstLineChars="200"/>
              <w:rPr>
                <w:color w:val="auto"/>
                <w:sz w:val="24"/>
              </w:rPr>
            </w:pPr>
            <w:r>
              <w:rPr>
                <w:rFonts w:hint="eastAsia"/>
                <w:b/>
                <w:color w:val="auto"/>
                <w:sz w:val="24"/>
              </w:rPr>
              <w:t>生活污水：</w:t>
            </w:r>
            <w:r>
              <w:rPr>
                <w:color w:val="auto"/>
                <w:sz w:val="24"/>
              </w:rPr>
              <w:t>项目设有员工及管理人员总数为</w:t>
            </w:r>
            <w:r>
              <w:rPr>
                <w:rFonts w:hint="eastAsia"/>
                <w:color w:val="auto"/>
                <w:sz w:val="24"/>
              </w:rPr>
              <w:t>15</w:t>
            </w:r>
            <w:r>
              <w:rPr>
                <w:color w:val="auto"/>
                <w:sz w:val="24"/>
              </w:rPr>
              <w:t>人，</w:t>
            </w:r>
            <w:r>
              <w:rPr>
                <w:rFonts w:hint="eastAsia"/>
                <w:color w:val="auto"/>
                <w:sz w:val="24"/>
              </w:rPr>
              <w:t>均不在项目内食宿</w:t>
            </w:r>
            <w:r>
              <w:rPr>
                <w:rFonts w:hint="eastAsia"/>
                <w:bCs/>
                <w:color w:val="auto"/>
                <w:sz w:val="24"/>
              </w:rPr>
              <w:t>，</w:t>
            </w:r>
            <w:r>
              <w:rPr>
                <w:color w:val="auto"/>
                <w:sz w:val="24"/>
              </w:rPr>
              <w:t>根据《广东省用水定额》（DB44/1461-2014），</w:t>
            </w:r>
            <w:r>
              <w:rPr>
                <w:rFonts w:hint="eastAsia"/>
                <w:color w:val="auto"/>
                <w:sz w:val="24"/>
              </w:rPr>
              <w:t>则项目一天用水量=0.04t</w:t>
            </w:r>
            <w:r>
              <w:rPr>
                <w:color w:val="auto"/>
                <w:sz w:val="24"/>
              </w:rPr>
              <w:t>/d</w:t>
            </w:r>
            <w:r>
              <w:rPr>
                <w:rFonts w:hint="eastAsia"/>
                <w:color w:val="auto"/>
                <w:sz w:val="24"/>
              </w:rPr>
              <w:t>×15=0.6t</w:t>
            </w:r>
            <w:r>
              <w:rPr>
                <w:color w:val="auto"/>
                <w:sz w:val="24"/>
              </w:rPr>
              <w:t>/d</w:t>
            </w:r>
            <w:r>
              <w:rPr>
                <w:rFonts w:hint="eastAsia"/>
                <w:color w:val="auto"/>
                <w:sz w:val="24"/>
              </w:rPr>
              <w:t>，</w:t>
            </w:r>
            <w:r>
              <w:rPr>
                <w:color w:val="auto"/>
                <w:sz w:val="24"/>
              </w:rPr>
              <w:t>一年</w:t>
            </w:r>
            <w:r>
              <w:rPr>
                <w:rFonts w:hint="eastAsia"/>
                <w:color w:val="auto"/>
                <w:sz w:val="24"/>
              </w:rPr>
              <w:t>300</w:t>
            </w:r>
            <w:r>
              <w:rPr>
                <w:color w:val="auto"/>
                <w:sz w:val="24"/>
              </w:rPr>
              <w:t>天计算，生活用水</w:t>
            </w:r>
            <w:r>
              <w:rPr>
                <w:rFonts w:hint="eastAsia"/>
                <w:color w:val="auto"/>
                <w:sz w:val="24"/>
              </w:rPr>
              <w:t>量</w:t>
            </w:r>
            <w:r>
              <w:rPr>
                <w:color w:val="auto"/>
                <w:sz w:val="24"/>
              </w:rPr>
              <w:t>为</w:t>
            </w:r>
            <w:r>
              <w:rPr>
                <w:rFonts w:hint="eastAsia"/>
                <w:color w:val="auto"/>
                <w:sz w:val="24"/>
              </w:rPr>
              <w:t>180</w:t>
            </w:r>
            <w:r>
              <w:rPr>
                <w:color w:val="auto"/>
                <w:sz w:val="24"/>
              </w:rPr>
              <w:t>t/a。项目生活污水排污系数按0.9计算，则生活污水排放量约为</w:t>
            </w:r>
            <w:r>
              <w:rPr>
                <w:rFonts w:hint="eastAsia"/>
                <w:color w:val="auto"/>
                <w:sz w:val="24"/>
              </w:rPr>
              <w:t>162t</w:t>
            </w:r>
            <w:r>
              <w:rPr>
                <w:color w:val="auto"/>
                <w:sz w:val="24"/>
              </w:rPr>
              <w:t>/a，该类污水的主要污染物为COD</w:t>
            </w:r>
            <w:r>
              <w:rPr>
                <w:rFonts w:eastAsia="楷体_GB2312"/>
                <w:color w:val="auto"/>
                <w:sz w:val="24"/>
                <w:vertAlign w:val="subscript"/>
              </w:rPr>
              <w:t>Cr</w:t>
            </w:r>
            <w:r>
              <w:rPr>
                <w:color w:val="auto"/>
                <w:sz w:val="24"/>
              </w:rPr>
              <w:t>（</w:t>
            </w:r>
            <w:r>
              <w:rPr>
                <w:rFonts w:hint="eastAsia"/>
                <w:color w:val="auto"/>
                <w:sz w:val="24"/>
              </w:rPr>
              <w:t>250</w:t>
            </w:r>
            <w:r>
              <w:rPr>
                <w:color w:val="auto"/>
                <w:sz w:val="24"/>
              </w:rPr>
              <w:t>mg/L）、BOD</w:t>
            </w:r>
            <w:r>
              <w:rPr>
                <w:color w:val="auto"/>
                <w:sz w:val="24"/>
                <w:vertAlign w:val="subscript"/>
              </w:rPr>
              <w:t>5</w:t>
            </w:r>
            <w:r>
              <w:rPr>
                <w:color w:val="auto"/>
                <w:sz w:val="24"/>
              </w:rPr>
              <w:t>（</w:t>
            </w:r>
            <w:r>
              <w:rPr>
                <w:rFonts w:hint="eastAsia"/>
                <w:color w:val="auto"/>
                <w:sz w:val="24"/>
              </w:rPr>
              <w:t>150</w:t>
            </w:r>
            <w:r>
              <w:rPr>
                <w:color w:val="auto"/>
                <w:sz w:val="24"/>
              </w:rPr>
              <w:t>mg/L）、SS（</w:t>
            </w:r>
            <w:r>
              <w:rPr>
                <w:rFonts w:hint="eastAsia"/>
                <w:color w:val="auto"/>
                <w:sz w:val="24"/>
              </w:rPr>
              <w:t>150</w:t>
            </w:r>
            <w:r>
              <w:rPr>
                <w:color w:val="auto"/>
                <w:sz w:val="24"/>
              </w:rPr>
              <w:t>mg/L）、NH</w:t>
            </w:r>
            <w:r>
              <w:rPr>
                <w:color w:val="auto"/>
                <w:sz w:val="24"/>
                <w:vertAlign w:val="subscript"/>
              </w:rPr>
              <w:t>3</w:t>
            </w:r>
            <w:r>
              <w:rPr>
                <w:color w:val="auto"/>
                <w:sz w:val="24"/>
              </w:rPr>
              <w:t>-N（25mg/L）。</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lang w:val="zh-CN"/>
              </w:rPr>
              <w:t>冷却废水和</w:t>
            </w:r>
            <w:r>
              <w:rPr>
                <w:rFonts w:eastAsia="宋体" w:cs="Times New Roman"/>
                <w:b/>
                <w:color w:val="auto"/>
                <w:sz w:val="21"/>
                <w:szCs w:val="21"/>
                <w:lang w:val="zh-CN"/>
              </w:rPr>
              <w:t>生活污水污染物</w:t>
            </w:r>
            <w:r>
              <w:rPr>
                <w:rFonts w:hint="eastAsia" w:eastAsia="宋体" w:cs="Times New Roman"/>
                <w:b/>
                <w:color w:val="auto"/>
                <w:sz w:val="21"/>
                <w:szCs w:val="21"/>
                <w:lang w:val="zh-CN"/>
              </w:rPr>
              <w:t>产排情况表</w:t>
            </w:r>
          </w:p>
          <w:tbl>
            <w:tblPr>
              <w:tblStyle w:val="44"/>
              <w:tblW w:w="94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8"/>
              <w:gridCol w:w="1150"/>
              <w:gridCol w:w="1964"/>
              <w:gridCol w:w="1400"/>
              <w:gridCol w:w="1810"/>
              <w:gridCol w:w="15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8" w:type="dxa"/>
                  <w:vMerge w:val="restart"/>
                  <w:tcBorders>
                    <w:tl2br w:val="nil"/>
                    <w:tr2bl w:val="nil"/>
                  </w:tcBorders>
                  <w:vAlign w:val="center"/>
                </w:tcPr>
                <w:p>
                  <w:pPr>
                    <w:widowControl/>
                    <w:jc w:val="center"/>
                    <w:rPr>
                      <w:b/>
                      <w:bCs/>
                      <w:color w:val="auto"/>
                      <w:kern w:val="0"/>
                      <w:szCs w:val="21"/>
                    </w:rPr>
                  </w:pPr>
                  <w:r>
                    <w:rPr>
                      <w:b/>
                      <w:bCs/>
                      <w:color w:val="auto"/>
                      <w:kern w:val="0"/>
                      <w:szCs w:val="21"/>
                    </w:rPr>
                    <w:t>废水量</w:t>
                  </w:r>
                </w:p>
              </w:tc>
              <w:tc>
                <w:tcPr>
                  <w:tcW w:w="1150" w:type="dxa"/>
                  <w:vMerge w:val="restart"/>
                  <w:tcBorders>
                    <w:tl2br w:val="nil"/>
                    <w:tr2bl w:val="nil"/>
                  </w:tcBorders>
                  <w:vAlign w:val="center"/>
                </w:tcPr>
                <w:p>
                  <w:pPr>
                    <w:widowControl/>
                    <w:jc w:val="center"/>
                    <w:rPr>
                      <w:b/>
                      <w:bCs/>
                      <w:color w:val="auto"/>
                      <w:kern w:val="0"/>
                      <w:szCs w:val="21"/>
                    </w:rPr>
                  </w:pPr>
                  <w:r>
                    <w:rPr>
                      <w:b/>
                      <w:bCs/>
                      <w:color w:val="auto"/>
                      <w:kern w:val="0"/>
                      <w:szCs w:val="21"/>
                    </w:rPr>
                    <w:t>污染物</w:t>
                  </w:r>
                </w:p>
              </w:tc>
              <w:tc>
                <w:tcPr>
                  <w:tcW w:w="3364" w:type="dxa"/>
                  <w:gridSpan w:val="2"/>
                  <w:tcBorders>
                    <w:tl2br w:val="nil"/>
                    <w:tr2bl w:val="nil"/>
                  </w:tcBorders>
                  <w:vAlign w:val="center"/>
                </w:tcPr>
                <w:p>
                  <w:pPr>
                    <w:widowControl/>
                    <w:jc w:val="center"/>
                    <w:rPr>
                      <w:b/>
                      <w:bCs/>
                      <w:color w:val="auto"/>
                      <w:kern w:val="0"/>
                      <w:szCs w:val="21"/>
                    </w:rPr>
                  </w:pPr>
                  <w:r>
                    <w:rPr>
                      <w:b/>
                      <w:bCs/>
                      <w:color w:val="auto"/>
                      <w:kern w:val="0"/>
                      <w:szCs w:val="21"/>
                    </w:rPr>
                    <w:t>产生情况</w:t>
                  </w:r>
                </w:p>
              </w:tc>
              <w:tc>
                <w:tcPr>
                  <w:tcW w:w="3378" w:type="dxa"/>
                  <w:gridSpan w:val="2"/>
                  <w:tcBorders>
                    <w:tl2br w:val="nil"/>
                    <w:tr2bl w:val="nil"/>
                  </w:tcBorders>
                  <w:vAlign w:val="center"/>
                </w:tcPr>
                <w:p>
                  <w:pPr>
                    <w:widowControl/>
                    <w:jc w:val="center"/>
                    <w:rPr>
                      <w:b/>
                      <w:bCs/>
                      <w:color w:val="auto"/>
                      <w:kern w:val="0"/>
                      <w:szCs w:val="21"/>
                    </w:rPr>
                  </w:pPr>
                  <w:r>
                    <w:rPr>
                      <w:b/>
                      <w:bCs/>
                      <w:color w:val="auto"/>
                      <w:kern w:val="0"/>
                      <w:szCs w:val="21"/>
                    </w:rPr>
                    <w:t>排放情况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8" w:type="dxa"/>
                  <w:vMerge w:val="continue"/>
                  <w:tcBorders>
                    <w:tl2br w:val="nil"/>
                    <w:tr2bl w:val="nil"/>
                  </w:tcBorders>
                  <w:vAlign w:val="center"/>
                </w:tcPr>
                <w:p>
                  <w:pPr>
                    <w:widowControl/>
                    <w:jc w:val="center"/>
                    <w:rPr>
                      <w:b/>
                      <w:bCs/>
                      <w:color w:val="auto"/>
                      <w:kern w:val="0"/>
                      <w:szCs w:val="21"/>
                    </w:rPr>
                  </w:pPr>
                </w:p>
              </w:tc>
              <w:tc>
                <w:tcPr>
                  <w:tcW w:w="1150" w:type="dxa"/>
                  <w:vMerge w:val="continue"/>
                  <w:tcBorders>
                    <w:tl2br w:val="nil"/>
                    <w:tr2bl w:val="nil"/>
                  </w:tcBorders>
                  <w:vAlign w:val="center"/>
                </w:tcPr>
                <w:p>
                  <w:pPr>
                    <w:widowControl/>
                    <w:jc w:val="center"/>
                    <w:rPr>
                      <w:b/>
                      <w:bCs/>
                      <w:color w:val="auto"/>
                      <w:kern w:val="0"/>
                      <w:szCs w:val="21"/>
                    </w:rPr>
                  </w:pPr>
                </w:p>
              </w:tc>
              <w:tc>
                <w:tcPr>
                  <w:tcW w:w="1964" w:type="dxa"/>
                  <w:tcBorders>
                    <w:tl2br w:val="nil"/>
                    <w:tr2bl w:val="nil"/>
                  </w:tcBorders>
                  <w:vAlign w:val="center"/>
                </w:tcPr>
                <w:p>
                  <w:pPr>
                    <w:widowControl/>
                    <w:jc w:val="center"/>
                    <w:rPr>
                      <w:b/>
                      <w:bCs/>
                      <w:color w:val="auto"/>
                      <w:kern w:val="0"/>
                      <w:szCs w:val="21"/>
                    </w:rPr>
                  </w:pPr>
                  <w:r>
                    <w:rPr>
                      <w:b/>
                      <w:bCs/>
                      <w:color w:val="auto"/>
                      <w:kern w:val="0"/>
                      <w:szCs w:val="21"/>
                    </w:rPr>
                    <w:t>产生浓度</w:t>
                  </w:r>
                  <w:r>
                    <w:rPr>
                      <w:rFonts w:hint="eastAsia"/>
                      <w:b/>
                      <w:bCs/>
                      <w:color w:val="auto"/>
                      <w:kern w:val="0"/>
                      <w:szCs w:val="21"/>
                      <w:lang w:eastAsia="zh-CN"/>
                    </w:rPr>
                    <w:t>（</w:t>
                  </w:r>
                  <w:r>
                    <w:rPr>
                      <w:b/>
                      <w:bCs w:val="0"/>
                      <w:color w:val="auto"/>
                      <w:kern w:val="0"/>
                      <w:szCs w:val="21"/>
                    </w:rPr>
                    <w:t>mg/L</w:t>
                  </w:r>
                  <w:r>
                    <w:rPr>
                      <w:rFonts w:hint="eastAsia"/>
                      <w:b/>
                      <w:bCs/>
                      <w:color w:val="auto"/>
                      <w:kern w:val="0"/>
                      <w:szCs w:val="21"/>
                      <w:lang w:eastAsia="zh-CN"/>
                    </w:rPr>
                    <w:t>）</w:t>
                  </w:r>
                </w:p>
              </w:tc>
              <w:tc>
                <w:tcPr>
                  <w:tcW w:w="1400" w:type="dxa"/>
                  <w:tcBorders>
                    <w:tl2br w:val="nil"/>
                    <w:tr2bl w:val="nil"/>
                  </w:tcBorders>
                  <w:vAlign w:val="center"/>
                </w:tcPr>
                <w:p>
                  <w:pPr>
                    <w:widowControl/>
                    <w:jc w:val="center"/>
                    <w:rPr>
                      <w:b/>
                      <w:bCs/>
                      <w:color w:val="auto"/>
                      <w:kern w:val="0"/>
                      <w:szCs w:val="21"/>
                    </w:rPr>
                  </w:pPr>
                  <w:r>
                    <w:rPr>
                      <w:b/>
                      <w:bCs/>
                      <w:color w:val="auto"/>
                      <w:kern w:val="0"/>
                      <w:szCs w:val="21"/>
                    </w:rPr>
                    <w:t>产生量</w:t>
                  </w:r>
                  <w:r>
                    <w:rPr>
                      <w:rFonts w:hint="eastAsia"/>
                      <w:b/>
                      <w:bCs/>
                      <w:color w:val="auto"/>
                      <w:kern w:val="0"/>
                      <w:szCs w:val="21"/>
                      <w:lang w:eastAsia="zh-CN"/>
                    </w:rPr>
                    <w:t>（</w:t>
                  </w:r>
                  <w:r>
                    <w:rPr>
                      <w:rFonts w:hint="eastAsia"/>
                      <w:b/>
                      <w:bCs/>
                      <w:color w:val="auto"/>
                      <w:kern w:val="0"/>
                      <w:szCs w:val="21"/>
                    </w:rPr>
                    <w:t>t/a</w:t>
                  </w:r>
                  <w:r>
                    <w:rPr>
                      <w:rFonts w:hint="eastAsia"/>
                      <w:b/>
                      <w:bCs/>
                      <w:color w:val="auto"/>
                      <w:kern w:val="0"/>
                      <w:szCs w:val="21"/>
                      <w:lang w:eastAsia="zh-CN"/>
                    </w:rPr>
                    <w:t>）</w:t>
                  </w:r>
                </w:p>
              </w:tc>
              <w:tc>
                <w:tcPr>
                  <w:tcW w:w="1810" w:type="dxa"/>
                  <w:tcBorders>
                    <w:tl2br w:val="nil"/>
                    <w:tr2bl w:val="nil"/>
                  </w:tcBorders>
                  <w:vAlign w:val="center"/>
                </w:tcPr>
                <w:p>
                  <w:pPr>
                    <w:widowControl/>
                    <w:jc w:val="center"/>
                    <w:rPr>
                      <w:b/>
                      <w:bCs/>
                      <w:color w:val="auto"/>
                      <w:kern w:val="0"/>
                      <w:szCs w:val="21"/>
                    </w:rPr>
                  </w:pPr>
                  <w:r>
                    <w:rPr>
                      <w:rFonts w:hint="eastAsia"/>
                      <w:b/>
                      <w:bCs/>
                      <w:color w:val="auto"/>
                      <w:kern w:val="0"/>
                      <w:szCs w:val="21"/>
                      <w:lang w:val="en-US" w:eastAsia="zh-CN"/>
                    </w:rPr>
                    <w:t xml:space="preserve"> </w:t>
                  </w:r>
                  <w:r>
                    <w:rPr>
                      <w:b/>
                      <w:bCs/>
                      <w:color w:val="auto"/>
                      <w:kern w:val="0"/>
                      <w:szCs w:val="21"/>
                    </w:rPr>
                    <w:t>排放浓度</w:t>
                  </w:r>
                  <w:r>
                    <w:rPr>
                      <w:rFonts w:hint="eastAsia"/>
                      <w:b/>
                      <w:bCs/>
                      <w:color w:val="auto"/>
                      <w:kern w:val="0"/>
                      <w:szCs w:val="21"/>
                      <w:lang w:eastAsia="zh-CN"/>
                    </w:rPr>
                    <w:t>（</w:t>
                  </w:r>
                  <w:r>
                    <w:rPr>
                      <w:b/>
                      <w:bCs w:val="0"/>
                      <w:color w:val="auto"/>
                      <w:kern w:val="0"/>
                      <w:szCs w:val="21"/>
                    </w:rPr>
                    <w:t>mg/L</w:t>
                  </w:r>
                  <w:r>
                    <w:rPr>
                      <w:rFonts w:hint="eastAsia"/>
                      <w:b/>
                      <w:bCs/>
                      <w:color w:val="auto"/>
                      <w:kern w:val="0"/>
                      <w:szCs w:val="21"/>
                      <w:lang w:eastAsia="zh-CN"/>
                    </w:rPr>
                    <w:t>）</w:t>
                  </w:r>
                </w:p>
              </w:tc>
              <w:tc>
                <w:tcPr>
                  <w:tcW w:w="1568" w:type="dxa"/>
                  <w:tcBorders>
                    <w:tl2br w:val="nil"/>
                    <w:tr2bl w:val="nil"/>
                  </w:tcBorders>
                  <w:vAlign w:val="center"/>
                </w:tcPr>
                <w:p>
                  <w:pPr>
                    <w:widowControl/>
                    <w:jc w:val="center"/>
                    <w:rPr>
                      <w:b/>
                      <w:bCs/>
                      <w:color w:val="auto"/>
                      <w:kern w:val="0"/>
                      <w:szCs w:val="21"/>
                    </w:rPr>
                  </w:pPr>
                  <w:r>
                    <w:rPr>
                      <w:b/>
                      <w:bCs/>
                      <w:color w:val="auto"/>
                      <w:kern w:val="0"/>
                      <w:szCs w:val="21"/>
                    </w:rPr>
                    <w:t>排放量</w:t>
                  </w:r>
                  <w:r>
                    <w:rPr>
                      <w:rFonts w:hint="eastAsia"/>
                      <w:b/>
                      <w:bCs/>
                      <w:color w:val="auto"/>
                      <w:kern w:val="0"/>
                      <w:szCs w:val="21"/>
                      <w:lang w:eastAsia="zh-CN"/>
                    </w:rPr>
                    <w:t>（</w:t>
                  </w:r>
                  <w:r>
                    <w:rPr>
                      <w:rFonts w:hint="eastAsia"/>
                      <w:b/>
                      <w:bCs/>
                      <w:color w:val="auto"/>
                      <w:kern w:val="0"/>
                      <w:szCs w:val="21"/>
                    </w:rPr>
                    <w:t>t/a</w:t>
                  </w:r>
                  <w:r>
                    <w:rPr>
                      <w:rFonts w:hint="eastAsia"/>
                      <w:b/>
                      <w:bCs/>
                      <w:color w:val="auto"/>
                      <w:kern w:val="0"/>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8" w:type="dxa"/>
                  <w:vMerge w:val="restart"/>
                  <w:tcBorders>
                    <w:tl2br w:val="nil"/>
                    <w:tr2bl w:val="nil"/>
                  </w:tcBorders>
                  <w:vAlign w:val="center"/>
                </w:tcPr>
                <w:p>
                  <w:pPr>
                    <w:jc w:val="center"/>
                    <w:rPr>
                      <w:color w:val="auto"/>
                      <w:szCs w:val="21"/>
                    </w:rPr>
                  </w:pPr>
                  <w:r>
                    <w:rPr>
                      <w:rFonts w:hint="eastAsia"/>
                      <w:color w:val="auto"/>
                      <w:szCs w:val="21"/>
                      <w:lang w:val="en-US" w:eastAsia="zh-CN"/>
                    </w:rPr>
                    <w:t>170</w:t>
                  </w:r>
                  <w:r>
                    <w:rPr>
                      <w:rFonts w:hint="eastAsia"/>
                      <w:color w:val="auto"/>
                      <w:szCs w:val="21"/>
                    </w:rPr>
                    <w:t>t</w:t>
                  </w:r>
                  <w:r>
                    <w:rPr>
                      <w:color w:val="auto"/>
                      <w:szCs w:val="21"/>
                    </w:rPr>
                    <w:t>/a</w:t>
                  </w:r>
                </w:p>
              </w:tc>
              <w:tc>
                <w:tcPr>
                  <w:tcW w:w="1150" w:type="dxa"/>
                  <w:tcBorders>
                    <w:tl2br w:val="nil"/>
                    <w:tr2bl w:val="nil"/>
                  </w:tcBorders>
                  <w:vAlign w:val="center"/>
                </w:tcPr>
                <w:p>
                  <w:pPr>
                    <w:jc w:val="center"/>
                    <w:rPr>
                      <w:color w:val="auto"/>
                      <w:szCs w:val="21"/>
                    </w:rPr>
                  </w:pPr>
                  <w:r>
                    <w:rPr>
                      <w:color w:val="auto"/>
                      <w:szCs w:val="21"/>
                    </w:rPr>
                    <w:t>COD</w:t>
                  </w:r>
                </w:p>
              </w:tc>
              <w:tc>
                <w:tcPr>
                  <w:tcW w:w="1964" w:type="dxa"/>
                  <w:tcBorders>
                    <w:tl2br w:val="nil"/>
                    <w:tr2bl w:val="nil"/>
                  </w:tcBorders>
                  <w:vAlign w:val="center"/>
                </w:tcPr>
                <w:p>
                  <w:pPr>
                    <w:jc w:val="center"/>
                    <w:rPr>
                      <w:color w:val="auto"/>
                      <w:szCs w:val="21"/>
                    </w:rPr>
                  </w:pPr>
                  <w:r>
                    <w:rPr>
                      <w:color w:val="auto"/>
                      <w:szCs w:val="21"/>
                    </w:rPr>
                    <w:t>250</w:t>
                  </w:r>
                </w:p>
              </w:tc>
              <w:tc>
                <w:tcPr>
                  <w:tcW w:w="1400" w:type="dxa"/>
                  <w:tcBorders>
                    <w:tl2br w:val="nil"/>
                    <w:tr2bl w:val="nil"/>
                  </w:tcBorders>
                  <w:vAlign w:val="center"/>
                </w:tcPr>
                <w:p>
                  <w:pPr>
                    <w:keepNext w:val="0"/>
                    <w:keepLines w:val="0"/>
                    <w:widowControl/>
                    <w:suppressLineNumbers w:val="0"/>
                    <w:jc w:val="center"/>
                    <w:textAlignment w:val="center"/>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0.034</w:t>
                  </w:r>
                </w:p>
              </w:tc>
              <w:tc>
                <w:tcPr>
                  <w:tcW w:w="1810" w:type="dxa"/>
                  <w:tcBorders>
                    <w:tl2br w:val="nil"/>
                    <w:tr2bl w:val="nil"/>
                  </w:tcBorders>
                  <w:vAlign w:val="center"/>
                </w:tcPr>
                <w:p>
                  <w:pPr>
                    <w:widowControl/>
                    <w:jc w:val="center"/>
                    <w:rPr>
                      <w:color w:val="auto"/>
                      <w:kern w:val="0"/>
                      <w:sz w:val="21"/>
                      <w:szCs w:val="21"/>
                    </w:rPr>
                  </w:pPr>
                  <w:r>
                    <w:rPr>
                      <w:color w:val="auto"/>
                      <w:kern w:val="0"/>
                      <w:sz w:val="21"/>
                      <w:szCs w:val="21"/>
                    </w:rPr>
                    <w:t>200</w:t>
                  </w:r>
                </w:p>
              </w:tc>
              <w:tc>
                <w:tcPr>
                  <w:tcW w:w="1568" w:type="dxa"/>
                  <w:tcBorders>
                    <w:tl2br w:val="nil"/>
                    <w:tr2bl w:val="nil"/>
                  </w:tcBorders>
                  <w:vAlign w:val="center"/>
                </w:tcPr>
                <w:p>
                  <w:pPr>
                    <w:keepNext w:val="0"/>
                    <w:keepLines w:val="0"/>
                    <w:widowControl/>
                    <w:suppressLineNumbers w:val="0"/>
                    <w:jc w:val="center"/>
                    <w:textAlignment w:val="center"/>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0.034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8" w:type="dxa"/>
                  <w:vMerge w:val="continue"/>
                  <w:tcBorders>
                    <w:tl2br w:val="nil"/>
                    <w:tr2bl w:val="nil"/>
                  </w:tcBorders>
                  <w:vAlign w:val="center"/>
                </w:tcPr>
                <w:p>
                  <w:pPr>
                    <w:widowControl/>
                    <w:jc w:val="center"/>
                    <w:rPr>
                      <w:color w:val="auto"/>
                      <w:szCs w:val="21"/>
                    </w:rPr>
                  </w:pPr>
                </w:p>
              </w:tc>
              <w:tc>
                <w:tcPr>
                  <w:tcW w:w="1150" w:type="dxa"/>
                  <w:tcBorders>
                    <w:tl2br w:val="nil"/>
                    <w:tr2bl w:val="nil"/>
                  </w:tcBorders>
                  <w:vAlign w:val="center"/>
                </w:tcPr>
                <w:p>
                  <w:pPr>
                    <w:jc w:val="center"/>
                    <w:rPr>
                      <w:color w:val="auto"/>
                      <w:szCs w:val="21"/>
                    </w:rPr>
                  </w:pPr>
                  <w:r>
                    <w:rPr>
                      <w:color w:val="auto"/>
                      <w:szCs w:val="21"/>
                    </w:rPr>
                    <w:t>BOD</w:t>
                  </w:r>
                  <w:r>
                    <w:rPr>
                      <w:color w:val="auto"/>
                      <w:szCs w:val="21"/>
                      <w:vertAlign w:val="subscript"/>
                    </w:rPr>
                    <w:t>5</w:t>
                  </w:r>
                </w:p>
              </w:tc>
              <w:tc>
                <w:tcPr>
                  <w:tcW w:w="1964" w:type="dxa"/>
                  <w:tcBorders>
                    <w:tl2br w:val="nil"/>
                    <w:tr2bl w:val="nil"/>
                  </w:tcBorders>
                  <w:vAlign w:val="center"/>
                </w:tcPr>
                <w:p>
                  <w:pPr>
                    <w:jc w:val="center"/>
                    <w:rPr>
                      <w:color w:val="auto"/>
                      <w:szCs w:val="21"/>
                    </w:rPr>
                  </w:pPr>
                  <w:r>
                    <w:rPr>
                      <w:color w:val="auto"/>
                      <w:szCs w:val="21"/>
                    </w:rPr>
                    <w:t>150</w:t>
                  </w:r>
                </w:p>
              </w:tc>
              <w:tc>
                <w:tcPr>
                  <w:tcW w:w="1400" w:type="dxa"/>
                  <w:tcBorders>
                    <w:tl2br w:val="nil"/>
                    <w:tr2bl w:val="nil"/>
                  </w:tcBorders>
                  <w:vAlign w:val="center"/>
                </w:tcPr>
                <w:p>
                  <w:pPr>
                    <w:keepNext w:val="0"/>
                    <w:keepLines w:val="0"/>
                    <w:widowControl/>
                    <w:suppressLineNumbers w:val="0"/>
                    <w:jc w:val="center"/>
                    <w:textAlignment w:val="center"/>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0.026</w:t>
                  </w:r>
                </w:p>
              </w:tc>
              <w:tc>
                <w:tcPr>
                  <w:tcW w:w="1810" w:type="dxa"/>
                  <w:tcBorders>
                    <w:tl2br w:val="nil"/>
                    <w:tr2bl w:val="nil"/>
                  </w:tcBorders>
                  <w:vAlign w:val="center"/>
                </w:tcPr>
                <w:p>
                  <w:pPr>
                    <w:widowControl/>
                    <w:jc w:val="center"/>
                    <w:rPr>
                      <w:color w:val="auto"/>
                      <w:kern w:val="0"/>
                      <w:sz w:val="21"/>
                      <w:szCs w:val="21"/>
                    </w:rPr>
                  </w:pPr>
                  <w:r>
                    <w:rPr>
                      <w:color w:val="auto"/>
                      <w:kern w:val="0"/>
                      <w:sz w:val="21"/>
                      <w:szCs w:val="21"/>
                    </w:rPr>
                    <w:t>120</w:t>
                  </w:r>
                </w:p>
              </w:tc>
              <w:tc>
                <w:tcPr>
                  <w:tcW w:w="1568" w:type="dxa"/>
                  <w:tcBorders>
                    <w:tl2br w:val="nil"/>
                    <w:tr2bl w:val="nil"/>
                  </w:tcBorders>
                  <w:vAlign w:val="center"/>
                </w:tcPr>
                <w:p>
                  <w:pPr>
                    <w:keepNext w:val="0"/>
                    <w:keepLines w:val="0"/>
                    <w:widowControl/>
                    <w:suppressLineNumbers w:val="0"/>
                    <w:jc w:val="center"/>
                    <w:textAlignment w:val="center"/>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8" w:type="dxa"/>
                  <w:vMerge w:val="continue"/>
                  <w:tcBorders>
                    <w:tl2br w:val="nil"/>
                    <w:tr2bl w:val="nil"/>
                  </w:tcBorders>
                  <w:vAlign w:val="center"/>
                </w:tcPr>
                <w:p>
                  <w:pPr>
                    <w:widowControl/>
                    <w:jc w:val="center"/>
                    <w:rPr>
                      <w:color w:val="auto"/>
                      <w:szCs w:val="21"/>
                    </w:rPr>
                  </w:pPr>
                </w:p>
              </w:tc>
              <w:tc>
                <w:tcPr>
                  <w:tcW w:w="1150" w:type="dxa"/>
                  <w:tcBorders>
                    <w:tl2br w:val="nil"/>
                    <w:tr2bl w:val="nil"/>
                  </w:tcBorders>
                  <w:vAlign w:val="center"/>
                </w:tcPr>
                <w:p>
                  <w:pPr>
                    <w:jc w:val="center"/>
                    <w:rPr>
                      <w:color w:val="auto"/>
                      <w:szCs w:val="21"/>
                    </w:rPr>
                  </w:pPr>
                  <w:r>
                    <w:rPr>
                      <w:color w:val="auto"/>
                      <w:szCs w:val="21"/>
                    </w:rPr>
                    <w:t>SS</w:t>
                  </w:r>
                </w:p>
              </w:tc>
              <w:tc>
                <w:tcPr>
                  <w:tcW w:w="1964" w:type="dxa"/>
                  <w:tcBorders>
                    <w:tl2br w:val="nil"/>
                    <w:tr2bl w:val="nil"/>
                  </w:tcBorders>
                  <w:vAlign w:val="center"/>
                </w:tcPr>
                <w:p>
                  <w:pPr>
                    <w:jc w:val="center"/>
                    <w:rPr>
                      <w:color w:val="auto"/>
                      <w:szCs w:val="21"/>
                    </w:rPr>
                  </w:pPr>
                  <w:r>
                    <w:rPr>
                      <w:color w:val="auto"/>
                      <w:szCs w:val="21"/>
                    </w:rPr>
                    <w:t>150</w:t>
                  </w:r>
                </w:p>
              </w:tc>
              <w:tc>
                <w:tcPr>
                  <w:tcW w:w="1400" w:type="dxa"/>
                  <w:tcBorders>
                    <w:tl2br w:val="nil"/>
                    <w:tr2bl w:val="nil"/>
                  </w:tcBorders>
                  <w:vAlign w:val="center"/>
                </w:tcPr>
                <w:p>
                  <w:pPr>
                    <w:keepNext w:val="0"/>
                    <w:keepLines w:val="0"/>
                    <w:widowControl/>
                    <w:suppressLineNumbers w:val="0"/>
                    <w:jc w:val="center"/>
                    <w:textAlignment w:val="center"/>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0.026</w:t>
                  </w:r>
                </w:p>
              </w:tc>
              <w:tc>
                <w:tcPr>
                  <w:tcW w:w="1810" w:type="dxa"/>
                  <w:tcBorders>
                    <w:tl2br w:val="nil"/>
                    <w:tr2bl w:val="nil"/>
                  </w:tcBorders>
                  <w:vAlign w:val="center"/>
                </w:tcPr>
                <w:p>
                  <w:pPr>
                    <w:widowControl/>
                    <w:jc w:val="center"/>
                    <w:rPr>
                      <w:color w:val="auto"/>
                      <w:kern w:val="0"/>
                      <w:sz w:val="21"/>
                      <w:szCs w:val="21"/>
                    </w:rPr>
                  </w:pPr>
                  <w:r>
                    <w:rPr>
                      <w:color w:val="auto"/>
                      <w:kern w:val="0"/>
                      <w:sz w:val="21"/>
                      <w:szCs w:val="21"/>
                    </w:rPr>
                    <w:t>120</w:t>
                  </w:r>
                </w:p>
              </w:tc>
              <w:tc>
                <w:tcPr>
                  <w:tcW w:w="1568" w:type="dxa"/>
                  <w:tcBorders>
                    <w:tl2br w:val="nil"/>
                    <w:tr2bl w:val="nil"/>
                  </w:tcBorders>
                  <w:vAlign w:val="center"/>
                </w:tcPr>
                <w:p>
                  <w:pPr>
                    <w:keepNext w:val="0"/>
                    <w:keepLines w:val="0"/>
                    <w:widowControl/>
                    <w:suppressLineNumbers w:val="0"/>
                    <w:jc w:val="center"/>
                    <w:textAlignment w:val="center"/>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08" w:type="dxa"/>
                  <w:vMerge w:val="continue"/>
                  <w:tcBorders>
                    <w:tl2br w:val="nil"/>
                    <w:tr2bl w:val="nil"/>
                  </w:tcBorders>
                  <w:vAlign w:val="center"/>
                </w:tcPr>
                <w:p>
                  <w:pPr>
                    <w:widowControl/>
                    <w:jc w:val="center"/>
                    <w:rPr>
                      <w:color w:val="auto"/>
                      <w:szCs w:val="21"/>
                    </w:rPr>
                  </w:pPr>
                </w:p>
              </w:tc>
              <w:tc>
                <w:tcPr>
                  <w:tcW w:w="1150" w:type="dxa"/>
                  <w:tcBorders>
                    <w:tl2br w:val="nil"/>
                    <w:tr2bl w:val="nil"/>
                  </w:tcBorders>
                  <w:vAlign w:val="center"/>
                </w:tcPr>
                <w:p>
                  <w:pPr>
                    <w:jc w:val="center"/>
                    <w:rPr>
                      <w:color w:val="auto"/>
                      <w:szCs w:val="21"/>
                    </w:rPr>
                  </w:pPr>
                  <w:r>
                    <w:rPr>
                      <w:color w:val="auto"/>
                      <w:szCs w:val="21"/>
                    </w:rPr>
                    <w:t>NH</w:t>
                  </w:r>
                  <w:r>
                    <w:rPr>
                      <w:color w:val="auto"/>
                      <w:szCs w:val="21"/>
                      <w:vertAlign w:val="subscript"/>
                    </w:rPr>
                    <w:t>3</w:t>
                  </w:r>
                  <w:r>
                    <w:rPr>
                      <w:color w:val="auto"/>
                      <w:szCs w:val="21"/>
                    </w:rPr>
                    <w:t>-N</w:t>
                  </w:r>
                </w:p>
              </w:tc>
              <w:tc>
                <w:tcPr>
                  <w:tcW w:w="1964" w:type="dxa"/>
                  <w:tcBorders>
                    <w:tl2br w:val="nil"/>
                    <w:tr2bl w:val="nil"/>
                  </w:tcBorders>
                  <w:vAlign w:val="center"/>
                </w:tcPr>
                <w:p>
                  <w:pPr>
                    <w:jc w:val="center"/>
                    <w:rPr>
                      <w:color w:val="auto"/>
                      <w:szCs w:val="21"/>
                    </w:rPr>
                  </w:pPr>
                  <w:r>
                    <w:rPr>
                      <w:color w:val="auto"/>
                      <w:szCs w:val="21"/>
                    </w:rPr>
                    <w:t>25</w:t>
                  </w:r>
                </w:p>
              </w:tc>
              <w:tc>
                <w:tcPr>
                  <w:tcW w:w="1400" w:type="dxa"/>
                  <w:tcBorders>
                    <w:tl2br w:val="nil"/>
                    <w:tr2bl w:val="nil"/>
                  </w:tcBorders>
                  <w:vAlign w:val="center"/>
                </w:tcPr>
                <w:p>
                  <w:pPr>
                    <w:keepNext w:val="0"/>
                    <w:keepLines w:val="0"/>
                    <w:widowControl/>
                    <w:suppressLineNumbers w:val="0"/>
                    <w:jc w:val="center"/>
                    <w:textAlignment w:val="center"/>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0.004</w:t>
                  </w:r>
                </w:p>
              </w:tc>
              <w:tc>
                <w:tcPr>
                  <w:tcW w:w="1810" w:type="dxa"/>
                  <w:tcBorders>
                    <w:tl2br w:val="nil"/>
                    <w:tr2bl w:val="nil"/>
                  </w:tcBorders>
                  <w:vAlign w:val="center"/>
                </w:tcPr>
                <w:p>
                  <w:pPr>
                    <w:widowControl/>
                    <w:jc w:val="center"/>
                    <w:rPr>
                      <w:color w:val="auto"/>
                      <w:kern w:val="0"/>
                      <w:sz w:val="21"/>
                      <w:szCs w:val="21"/>
                    </w:rPr>
                  </w:pPr>
                  <w:r>
                    <w:rPr>
                      <w:color w:val="auto"/>
                      <w:kern w:val="0"/>
                      <w:sz w:val="21"/>
                      <w:szCs w:val="21"/>
                    </w:rPr>
                    <w:t>20</w:t>
                  </w:r>
                </w:p>
              </w:tc>
              <w:tc>
                <w:tcPr>
                  <w:tcW w:w="1568" w:type="dxa"/>
                  <w:tcBorders>
                    <w:tl2br w:val="nil"/>
                    <w:tr2bl w:val="nil"/>
                  </w:tcBorders>
                  <w:vAlign w:val="center"/>
                </w:tcPr>
                <w:p>
                  <w:pPr>
                    <w:keepNext w:val="0"/>
                    <w:keepLines w:val="0"/>
                    <w:widowControl/>
                    <w:suppressLineNumbers w:val="0"/>
                    <w:jc w:val="center"/>
                    <w:textAlignment w:val="center"/>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0.003</w:t>
                  </w:r>
                </w:p>
              </w:tc>
            </w:tr>
          </w:tbl>
          <w:p>
            <w:pPr>
              <w:adjustRightInd w:val="0"/>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项目冷却废水与生活污水经三级化粪池预处理后，达到广东省地方标准《水污染物排放限值》（DB44/26-2001）第二时段三级标准和《污水排入城镇下水道水质标准》（CJ343-2010）较严者排放至市政污水管网，然后引至开平市水口污水处理厂处理后达到《城镇污水处理厂污染物排放标准》（GB18918-2002）中一级A 标准及广东省地方标准《水污染物排放限值》（DB44/26-2001）第二时段一级标准的较严值后排放。</w:t>
            </w:r>
          </w:p>
          <w:p>
            <w:pPr>
              <w:adjustRightInd w:val="0"/>
              <w:snapToGrid w:val="0"/>
              <w:spacing w:line="360" w:lineRule="auto"/>
              <w:ind w:firstLine="482" w:firstLineChars="200"/>
              <w:rPr>
                <w:b/>
                <w:bCs/>
                <w:color w:val="auto"/>
                <w:sz w:val="24"/>
              </w:rPr>
            </w:pPr>
            <w:r>
              <w:rPr>
                <w:rFonts w:hint="eastAsia"/>
                <w:b/>
                <w:bCs/>
                <w:color w:val="auto"/>
                <w:sz w:val="24"/>
              </w:rPr>
              <w:t>三、噪声污染源</w:t>
            </w:r>
          </w:p>
          <w:p>
            <w:pPr>
              <w:spacing w:line="360" w:lineRule="auto"/>
              <w:ind w:firstLine="480" w:firstLineChars="200"/>
              <w:jc w:val="left"/>
              <w:rPr>
                <w:color w:val="auto"/>
                <w:sz w:val="24"/>
              </w:rPr>
            </w:pPr>
            <w:r>
              <w:rPr>
                <w:color w:val="auto"/>
                <w:sz w:val="24"/>
              </w:rPr>
              <w:t>项目的主要噪声为：普通加工机械的运行噪声，噪声值约为70～</w:t>
            </w:r>
            <w:r>
              <w:rPr>
                <w:rFonts w:hint="eastAsia"/>
                <w:color w:val="auto"/>
                <w:sz w:val="24"/>
              </w:rPr>
              <w:t>80</w:t>
            </w:r>
            <w:r>
              <w:rPr>
                <w:color w:val="auto"/>
                <w:sz w:val="24"/>
              </w:rPr>
              <w:t>dB（A）；空压机</w:t>
            </w:r>
            <w:r>
              <w:rPr>
                <w:rStyle w:val="50"/>
                <w:rFonts w:hint="eastAsia"/>
                <w:color w:val="auto"/>
              </w:rPr>
              <w:t>、</w:t>
            </w:r>
            <w:r>
              <w:rPr>
                <w:color w:val="auto"/>
                <w:sz w:val="24"/>
              </w:rPr>
              <w:t>冷却塔的运行噪声，噪声值约为</w:t>
            </w:r>
            <w:r>
              <w:rPr>
                <w:rFonts w:hint="eastAsia"/>
                <w:color w:val="auto"/>
                <w:sz w:val="24"/>
              </w:rPr>
              <w:t>80</w:t>
            </w:r>
            <w:r>
              <w:rPr>
                <w:color w:val="auto"/>
                <w:sz w:val="24"/>
              </w:rPr>
              <w:t>～</w:t>
            </w:r>
            <w:r>
              <w:rPr>
                <w:rFonts w:hint="eastAsia"/>
                <w:color w:val="auto"/>
                <w:sz w:val="24"/>
              </w:rPr>
              <w:t>90</w:t>
            </w:r>
            <w:r>
              <w:rPr>
                <w:color w:val="auto"/>
                <w:sz w:val="24"/>
              </w:rPr>
              <w:t>dB（A）；机械通风所用通风机运行时产生的噪声，其噪声级</w:t>
            </w:r>
            <w:r>
              <w:rPr>
                <w:rFonts w:hint="eastAsia"/>
                <w:color w:val="auto"/>
                <w:sz w:val="24"/>
              </w:rPr>
              <w:t>约</w:t>
            </w:r>
            <w:r>
              <w:rPr>
                <w:color w:val="auto"/>
                <w:sz w:val="24"/>
              </w:rPr>
              <w:t>为70～75dB（A）</w:t>
            </w:r>
            <w:r>
              <w:rPr>
                <w:rFonts w:hAnsi="宋体"/>
                <w:color w:val="auto"/>
                <w:sz w:val="24"/>
              </w:rPr>
              <w:t>。</w:t>
            </w:r>
            <w:r>
              <w:rPr>
                <w:rFonts w:hint="eastAsia" w:hAnsi="宋体"/>
                <w:color w:val="auto"/>
                <w:sz w:val="24"/>
              </w:rPr>
              <w:t>各类加工机械</w:t>
            </w:r>
            <w:r>
              <w:rPr>
                <w:rFonts w:hint="eastAsia"/>
                <w:color w:val="auto"/>
                <w:sz w:val="24"/>
              </w:rPr>
              <w:t>具体噪声值见下表。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 xml:space="preserve"> 噪声污染情况一览表</w:t>
            </w:r>
          </w:p>
          <w:tbl>
            <w:tblPr>
              <w:tblStyle w:val="45"/>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2084"/>
              <w:gridCol w:w="2816"/>
              <w:gridCol w:w="1273"/>
              <w:gridCol w:w="1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9" w:type="dxa"/>
                  <w:vAlign w:val="center"/>
                </w:tcPr>
                <w:p>
                  <w:pPr>
                    <w:spacing w:line="360" w:lineRule="auto"/>
                    <w:jc w:val="center"/>
                    <w:rPr>
                      <w:b/>
                      <w:bCs/>
                      <w:color w:val="auto"/>
                      <w:szCs w:val="21"/>
                    </w:rPr>
                  </w:pPr>
                  <w:r>
                    <w:rPr>
                      <w:rFonts w:hint="eastAsia"/>
                      <w:b/>
                      <w:bCs/>
                      <w:color w:val="auto"/>
                      <w:szCs w:val="21"/>
                    </w:rPr>
                    <w:t>序号</w:t>
                  </w:r>
                </w:p>
              </w:tc>
              <w:tc>
                <w:tcPr>
                  <w:tcW w:w="2084" w:type="dxa"/>
                  <w:vAlign w:val="center"/>
                </w:tcPr>
                <w:p>
                  <w:pPr>
                    <w:spacing w:line="360" w:lineRule="auto"/>
                    <w:jc w:val="center"/>
                    <w:rPr>
                      <w:b/>
                      <w:bCs/>
                      <w:color w:val="auto"/>
                      <w:szCs w:val="21"/>
                    </w:rPr>
                  </w:pPr>
                  <w:r>
                    <w:rPr>
                      <w:rFonts w:hint="eastAsia"/>
                      <w:b/>
                      <w:bCs/>
                      <w:color w:val="auto"/>
                      <w:szCs w:val="21"/>
                    </w:rPr>
                    <w:t>噪声源</w:t>
                  </w:r>
                </w:p>
              </w:tc>
              <w:tc>
                <w:tcPr>
                  <w:tcW w:w="2816" w:type="dxa"/>
                  <w:vAlign w:val="center"/>
                </w:tcPr>
                <w:p>
                  <w:pPr>
                    <w:spacing w:line="360" w:lineRule="auto"/>
                    <w:jc w:val="center"/>
                    <w:rPr>
                      <w:b/>
                      <w:bCs/>
                      <w:color w:val="auto"/>
                      <w:szCs w:val="21"/>
                    </w:rPr>
                  </w:pPr>
                  <w:r>
                    <w:rPr>
                      <w:rFonts w:hint="eastAsia"/>
                      <w:b/>
                      <w:bCs/>
                      <w:color w:val="auto"/>
                      <w:szCs w:val="21"/>
                    </w:rPr>
                    <w:t>噪声</w:t>
                  </w:r>
                  <w:r>
                    <w:rPr>
                      <w:rFonts w:hint="eastAsia" w:eastAsia="宋体"/>
                      <w:b/>
                      <w:bCs/>
                      <w:color w:val="auto"/>
                      <w:sz w:val="21"/>
                      <w:szCs w:val="21"/>
                      <w:vertAlign w:val="baseline"/>
                      <w:lang w:eastAsia="zh-CN"/>
                    </w:rPr>
                    <w:t>声功率级</w:t>
                  </w:r>
                  <w:r>
                    <w:rPr>
                      <w:rFonts w:hint="eastAsia"/>
                      <w:b/>
                      <w:bCs/>
                      <w:color w:val="auto"/>
                      <w:szCs w:val="21"/>
                    </w:rPr>
                    <w:t>dB(A)</w:t>
                  </w:r>
                </w:p>
              </w:tc>
              <w:tc>
                <w:tcPr>
                  <w:tcW w:w="1273" w:type="dxa"/>
                  <w:vAlign w:val="center"/>
                </w:tcPr>
                <w:p>
                  <w:pPr>
                    <w:spacing w:line="360" w:lineRule="auto"/>
                    <w:jc w:val="center"/>
                    <w:rPr>
                      <w:rFonts w:hint="eastAsia" w:eastAsia="宋体"/>
                      <w:b/>
                      <w:bCs/>
                      <w:color w:val="auto"/>
                      <w:szCs w:val="21"/>
                      <w:lang w:eastAsia="zh-CN"/>
                    </w:rPr>
                  </w:pPr>
                  <w:r>
                    <w:rPr>
                      <w:rFonts w:hint="eastAsia"/>
                      <w:b/>
                      <w:bCs/>
                      <w:color w:val="auto"/>
                      <w:szCs w:val="21"/>
                      <w:highlight w:val="none"/>
                      <w:lang w:eastAsia="zh-CN"/>
                    </w:rPr>
                    <w:t>取值距离</w:t>
                  </w:r>
                </w:p>
              </w:tc>
              <w:tc>
                <w:tcPr>
                  <w:tcW w:w="1318" w:type="dxa"/>
                  <w:vAlign w:val="center"/>
                </w:tcPr>
                <w:p>
                  <w:pPr>
                    <w:spacing w:line="360" w:lineRule="auto"/>
                    <w:jc w:val="center"/>
                    <w:rPr>
                      <w:rFonts w:hint="eastAsia"/>
                      <w:b/>
                      <w:bCs/>
                      <w:color w:val="auto"/>
                      <w:szCs w:val="21"/>
                    </w:rPr>
                  </w:pPr>
                  <w:r>
                    <w:rPr>
                      <w:rFonts w:hint="eastAsia"/>
                      <w:b/>
                      <w:bCs/>
                      <w:color w:val="auto"/>
                      <w:szCs w:val="21"/>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1</w:t>
                  </w:r>
                </w:p>
              </w:tc>
              <w:tc>
                <w:tcPr>
                  <w:tcW w:w="2084" w:type="dxa"/>
                  <w:vAlign w:val="center"/>
                </w:tcPr>
                <w:p>
                  <w:pPr>
                    <w:widowControl/>
                    <w:spacing w:line="360" w:lineRule="auto"/>
                    <w:jc w:val="center"/>
                    <w:textAlignment w:val="center"/>
                    <w:rPr>
                      <w:color w:val="auto"/>
                      <w:szCs w:val="21"/>
                    </w:rPr>
                  </w:pPr>
                  <w:r>
                    <w:rPr>
                      <w:rFonts w:hint="eastAsia"/>
                      <w:color w:val="auto"/>
                      <w:kern w:val="0"/>
                      <w:szCs w:val="21"/>
                      <w:lang w:bidi="ar"/>
                    </w:rPr>
                    <w:t>搅拌机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restart"/>
                  <w:vAlign w:val="center"/>
                </w:tcPr>
                <w:p>
                  <w:pPr>
                    <w:spacing w:line="360" w:lineRule="auto"/>
                    <w:jc w:val="center"/>
                    <w:rPr>
                      <w:color w:val="auto"/>
                      <w:szCs w:val="21"/>
                    </w:rPr>
                  </w:pPr>
                  <w:r>
                    <w:rPr>
                      <w:rFonts w:hint="eastAsia"/>
                      <w:b w:val="0"/>
                      <w:bCs w:val="0"/>
                      <w:color w:val="auto"/>
                      <w:sz w:val="21"/>
                      <w:szCs w:val="21"/>
                      <w:vertAlign w:val="baseline"/>
                      <w:lang w:val="en-US" w:eastAsia="zh-CN"/>
                    </w:rPr>
                    <w:t>设备1m处</w:t>
                  </w:r>
                </w:p>
              </w:tc>
              <w:tc>
                <w:tcPr>
                  <w:tcW w:w="1318" w:type="dxa"/>
                  <w:vMerge w:val="restart"/>
                  <w:vAlign w:val="center"/>
                </w:tcPr>
                <w:p>
                  <w:pPr>
                    <w:spacing w:line="360" w:lineRule="auto"/>
                    <w:jc w:val="center"/>
                    <w:rPr>
                      <w:rFonts w:hint="eastAsia"/>
                      <w:color w:val="auto"/>
                      <w:szCs w:val="21"/>
                    </w:rPr>
                  </w:pPr>
                  <w:r>
                    <w:rPr>
                      <w:rFonts w:hint="eastAsia"/>
                      <w:color w:val="auto"/>
                      <w:szCs w:val="21"/>
                    </w:rPr>
                    <w:t>车间内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2</w:t>
                  </w:r>
                </w:p>
              </w:tc>
              <w:tc>
                <w:tcPr>
                  <w:tcW w:w="2084" w:type="dxa"/>
                  <w:vAlign w:val="center"/>
                </w:tcPr>
                <w:p>
                  <w:pPr>
                    <w:widowControl/>
                    <w:spacing w:line="360" w:lineRule="auto"/>
                    <w:jc w:val="center"/>
                    <w:textAlignment w:val="center"/>
                    <w:rPr>
                      <w:color w:val="auto"/>
                      <w:szCs w:val="21"/>
                    </w:rPr>
                  </w:pPr>
                  <w:r>
                    <w:rPr>
                      <w:rFonts w:hint="eastAsia"/>
                      <w:color w:val="auto"/>
                      <w:szCs w:val="21"/>
                    </w:rPr>
                    <w:t>造粒机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3</w:t>
                  </w:r>
                </w:p>
              </w:tc>
              <w:tc>
                <w:tcPr>
                  <w:tcW w:w="2084" w:type="dxa"/>
                  <w:vAlign w:val="center"/>
                </w:tcPr>
                <w:p>
                  <w:pPr>
                    <w:widowControl/>
                    <w:spacing w:line="360" w:lineRule="auto"/>
                    <w:jc w:val="center"/>
                    <w:textAlignment w:val="center"/>
                    <w:rPr>
                      <w:color w:val="auto"/>
                      <w:szCs w:val="21"/>
                    </w:rPr>
                  </w:pPr>
                  <w:r>
                    <w:rPr>
                      <w:rFonts w:hint="eastAsia"/>
                      <w:color w:val="auto"/>
                      <w:szCs w:val="21"/>
                    </w:rPr>
                    <w:t>挤出机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4</w:t>
                  </w:r>
                </w:p>
              </w:tc>
              <w:tc>
                <w:tcPr>
                  <w:tcW w:w="2084" w:type="dxa"/>
                  <w:vAlign w:val="center"/>
                </w:tcPr>
                <w:p>
                  <w:pPr>
                    <w:widowControl/>
                    <w:spacing w:line="360" w:lineRule="auto"/>
                    <w:jc w:val="center"/>
                    <w:textAlignment w:val="center"/>
                    <w:rPr>
                      <w:color w:val="auto"/>
                      <w:szCs w:val="21"/>
                    </w:rPr>
                  </w:pPr>
                  <w:r>
                    <w:rPr>
                      <w:rFonts w:hint="eastAsia"/>
                      <w:color w:val="auto"/>
                      <w:szCs w:val="21"/>
                    </w:rPr>
                    <w:t>收卷机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5</w:t>
                  </w:r>
                </w:p>
              </w:tc>
              <w:tc>
                <w:tcPr>
                  <w:tcW w:w="2084" w:type="dxa"/>
                  <w:vAlign w:val="center"/>
                </w:tcPr>
                <w:p>
                  <w:pPr>
                    <w:widowControl/>
                    <w:spacing w:line="360" w:lineRule="auto"/>
                    <w:jc w:val="center"/>
                    <w:textAlignment w:val="center"/>
                    <w:rPr>
                      <w:color w:val="auto"/>
                      <w:szCs w:val="21"/>
                    </w:rPr>
                  </w:pPr>
                  <w:r>
                    <w:rPr>
                      <w:rFonts w:hint="eastAsia"/>
                      <w:color w:val="auto"/>
                      <w:szCs w:val="21"/>
                    </w:rPr>
                    <w:t>编织机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6</w:t>
                  </w:r>
                </w:p>
              </w:tc>
              <w:tc>
                <w:tcPr>
                  <w:tcW w:w="2084" w:type="dxa"/>
                  <w:vAlign w:val="center"/>
                </w:tcPr>
                <w:p>
                  <w:pPr>
                    <w:widowControl/>
                    <w:spacing w:line="360" w:lineRule="auto"/>
                    <w:jc w:val="center"/>
                    <w:textAlignment w:val="center"/>
                    <w:rPr>
                      <w:color w:val="auto"/>
                      <w:szCs w:val="21"/>
                    </w:rPr>
                  </w:pPr>
                  <w:r>
                    <w:rPr>
                      <w:rFonts w:hint="eastAsia"/>
                      <w:color w:val="auto"/>
                      <w:kern w:val="0"/>
                      <w:szCs w:val="21"/>
                      <w:lang w:bidi="ar"/>
                    </w:rPr>
                    <w:t>搅拌机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7</w:t>
                  </w:r>
                </w:p>
              </w:tc>
              <w:tc>
                <w:tcPr>
                  <w:tcW w:w="2084" w:type="dxa"/>
                  <w:vAlign w:val="center"/>
                </w:tcPr>
                <w:p>
                  <w:pPr>
                    <w:spacing w:line="360" w:lineRule="auto"/>
                    <w:jc w:val="center"/>
                    <w:rPr>
                      <w:color w:val="auto"/>
                      <w:szCs w:val="21"/>
                    </w:rPr>
                  </w:pPr>
                  <w:r>
                    <w:rPr>
                      <w:rFonts w:hint="eastAsia"/>
                      <w:color w:val="auto"/>
                      <w:szCs w:val="21"/>
                    </w:rPr>
                    <w:t>空压机</w:t>
                  </w:r>
                </w:p>
              </w:tc>
              <w:tc>
                <w:tcPr>
                  <w:tcW w:w="2816" w:type="dxa"/>
                  <w:vAlign w:val="center"/>
                </w:tcPr>
                <w:p>
                  <w:pPr>
                    <w:spacing w:line="360" w:lineRule="auto"/>
                    <w:jc w:val="center"/>
                    <w:rPr>
                      <w:color w:val="auto"/>
                      <w:szCs w:val="21"/>
                    </w:rPr>
                  </w:pPr>
                  <w:r>
                    <w:rPr>
                      <w:rFonts w:hint="eastAsia"/>
                      <w:color w:val="auto"/>
                      <w:szCs w:val="21"/>
                    </w:rPr>
                    <w:t>80~90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8</w:t>
                  </w:r>
                </w:p>
              </w:tc>
              <w:tc>
                <w:tcPr>
                  <w:tcW w:w="2084" w:type="dxa"/>
                  <w:vAlign w:val="center"/>
                </w:tcPr>
                <w:p>
                  <w:pPr>
                    <w:spacing w:line="360" w:lineRule="auto"/>
                    <w:jc w:val="center"/>
                    <w:rPr>
                      <w:color w:val="auto"/>
                      <w:szCs w:val="21"/>
                    </w:rPr>
                  </w:pPr>
                  <w:r>
                    <w:rPr>
                      <w:rFonts w:hint="eastAsia" w:ascii="宋体" w:hAnsi="宋体"/>
                      <w:color w:val="auto"/>
                      <w:szCs w:val="21"/>
                    </w:rPr>
                    <w:t>冷却塔</w:t>
                  </w:r>
                </w:p>
              </w:tc>
              <w:tc>
                <w:tcPr>
                  <w:tcW w:w="2816" w:type="dxa"/>
                  <w:vAlign w:val="center"/>
                </w:tcPr>
                <w:p>
                  <w:pPr>
                    <w:spacing w:line="360" w:lineRule="auto"/>
                    <w:jc w:val="center"/>
                    <w:rPr>
                      <w:color w:val="auto"/>
                      <w:szCs w:val="21"/>
                    </w:rPr>
                  </w:pPr>
                  <w:r>
                    <w:rPr>
                      <w:rFonts w:hint="eastAsia"/>
                      <w:color w:val="auto"/>
                      <w:szCs w:val="21"/>
                    </w:rPr>
                    <w:t>80~90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bl>
          <w:p>
            <w:pPr>
              <w:spacing w:line="360" w:lineRule="auto"/>
              <w:ind w:firstLine="472" w:firstLineChars="196"/>
              <w:rPr>
                <w:b/>
                <w:bCs/>
                <w:color w:val="auto"/>
                <w:sz w:val="24"/>
              </w:rPr>
            </w:pPr>
            <w:r>
              <w:rPr>
                <w:rFonts w:hint="eastAsia"/>
                <w:b/>
                <w:bCs/>
                <w:color w:val="auto"/>
                <w:sz w:val="24"/>
              </w:rPr>
              <w:t>四、固体废弃物污染源</w:t>
            </w:r>
          </w:p>
          <w:p>
            <w:pPr>
              <w:pStyle w:val="53"/>
              <w:autoSpaceDE/>
              <w:autoSpaceDN/>
              <w:snapToGrid w:val="0"/>
              <w:spacing w:line="360" w:lineRule="auto"/>
              <w:ind w:firstLine="475" w:firstLineChars="197"/>
              <w:textAlignment w:val="auto"/>
              <w:rPr>
                <w:rFonts w:hAnsi="宋体" w:eastAsia="宋体"/>
                <w:bCs/>
                <w:color w:val="auto"/>
              </w:rPr>
            </w:pPr>
            <w:r>
              <w:rPr>
                <w:rFonts w:hint="eastAsia" w:ascii="宋体" w:hAnsi="宋体" w:eastAsia="宋体"/>
                <w:b/>
                <w:color w:val="auto"/>
                <w:kern w:val="2"/>
                <w:szCs w:val="24"/>
              </w:rPr>
              <w:t>生活垃圾：</w:t>
            </w:r>
            <w:r>
              <w:rPr>
                <w:rFonts w:hint="eastAsia" w:hAnsi="宋体" w:eastAsia="宋体"/>
                <w:color w:val="auto"/>
              </w:rPr>
              <w:t>项目员工生活垃圾排放量计算如下：0.5</w:t>
            </w:r>
            <w:r>
              <w:rPr>
                <w:rFonts w:eastAsia="宋体"/>
                <w:color w:val="auto"/>
              </w:rPr>
              <w:t>kg/</w:t>
            </w:r>
            <w:r>
              <w:rPr>
                <w:rFonts w:hint="eastAsia" w:hAnsi="宋体" w:eastAsia="宋体"/>
                <w:color w:val="auto"/>
              </w:rPr>
              <w:t>人</w:t>
            </w:r>
            <w:r>
              <w:rPr>
                <w:rFonts w:eastAsia="宋体"/>
                <w:color w:val="auto"/>
              </w:rPr>
              <w:t>·d×</w:t>
            </w:r>
            <w:r>
              <w:rPr>
                <w:rFonts w:hint="eastAsia" w:eastAsia="宋体"/>
                <w:color w:val="auto"/>
              </w:rPr>
              <w:t>15</w:t>
            </w:r>
            <w:r>
              <w:rPr>
                <w:rFonts w:hint="eastAsia" w:hAnsi="宋体" w:eastAsia="宋体"/>
                <w:color w:val="auto"/>
              </w:rPr>
              <w:t>人＝7.2</w:t>
            </w:r>
            <w:r>
              <w:rPr>
                <w:rFonts w:eastAsia="宋体"/>
                <w:color w:val="auto"/>
              </w:rPr>
              <w:t>kg/d</w:t>
            </w:r>
            <w:r>
              <w:rPr>
                <w:rFonts w:hint="eastAsia" w:hAnsi="宋体" w:eastAsia="宋体"/>
                <w:color w:val="auto"/>
              </w:rPr>
              <w:t>，即2.25</w:t>
            </w:r>
            <w:r>
              <w:rPr>
                <w:rFonts w:eastAsia="宋体"/>
                <w:color w:val="auto"/>
              </w:rPr>
              <w:t>t/a</w:t>
            </w:r>
            <w:r>
              <w:rPr>
                <w:rFonts w:hint="eastAsia" w:hAnsi="宋体" w:eastAsia="宋体"/>
                <w:color w:val="auto"/>
              </w:rPr>
              <w:t>。</w:t>
            </w:r>
            <w:r>
              <w:rPr>
                <w:rFonts w:hint="eastAsia" w:hAnsi="宋体" w:eastAsia="宋体"/>
                <w:bCs/>
                <w:color w:val="auto"/>
              </w:rPr>
              <w:t>生活垃圾包括平时生活使用的废旧塑料袋、饮料罐、纸盒等。生活垃圾中铝制罐、塑料瓶、玻璃瓶、报纸等可回收利用物质，分类收集再利用。对堆放点进行消毒杀菌，不能再利用的剩余垃圾交予环卫部门进行集中填埋处理处置。</w:t>
            </w:r>
          </w:p>
          <w:p>
            <w:pPr>
              <w:adjustRightInd w:val="0"/>
              <w:snapToGrid w:val="0"/>
              <w:spacing w:line="360" w:lineRule="auto"/>
              <w:ind w:firstLine="482" w:firstLineChars="200"/>
              <w:rPr>
                <w:color w:val="auto"/>
                <w:sz w:val="24"/>
              </w:rPr>
            </w:pPr>
            <w:r>
              <w:rPr>
                <w:rFonts w:hint="eastAsia" w:ascii="宋体" w:hAnsi="宋体"/>
                <w:b/>
                <w:color w:val="auto"/>
                <w:sz w:val="24"/>
              </w:rPr>
              <w:t>一般工业固废</w:t>
            </w:r>
            <w:r>
              <w:rPr>
                <w:rFonts w:hint="eastAsia"/>
                <w:color w:val="auto"/>
                <w:sz w:val="24"/>
              </w:rPr>
              <w:t>：</w:t>
            </w:r>
            <w:r>
              <w:rPr>
                <w:color w:val="auto"/>
                <w:sz w:val="24"/>
                <w:szCs w:val="22"/>
              </w:rPr>
              <w:t>根据建设单位提供的资料，</w:t>
            </w:r>
            <w:r>
              <w:rPr>
                <w:bCs/>
                <w:color w:val="auto"/>
                <w:sz w:val="24"/>
              </w:rPr>
              <w:t>项目</w:t>
            </w:r>
            <w:r>
              <w:rPr>
                <w:rFonts w:hint="eastAsia"/>
                <w:bCs/>
                <w:color w:val="auto"/>
                <w:sz w:val="24"/>
              </w:rPr>
              <w:t>造粒、挤出成型工序</w:t>
            </w:r>
            <w:r>
              <w:rPr>
                <w:bCs/>
                <w:color w:val="auto"/>
                <w:sz w:val="24"/>
              </w:rPr>
              <w:t>产生</w:t>
            </w:r>
            <w:r>
              <w:rPr>
                <w:rFonts w:hint="eastAsia"/>
                <w:bCs/>
                <w:color w:val="auto"/>
                <w:sz w:val="24"/>
              </w:rPr>
              <w:t>少量</w:t>
            </w:r>
            <w:r>
              <w:rPr>
                <w:bCs/>
                <w:color w:val="auto"/>
                <w:sz w:val="24"/>
              </w:rPr>
              <w:t>边角料，产生量约为</w:t>
            </w:r>
            <w:r>
              <w:rPr>
                <w:rFonts w:hint="eastAsia"/>
                <w:bCs/>
                <w:color w:val="auto"/>
                <w:sz w:val="24"/>
              </w:rPr>
              <w:t>2</w:t>
            </w:r>
            <w:r>
              <w:rPr>
                <w:color w:val="auto"/>
                <w:spacing w:val="-2"/>
                <w:sz w:val="24"/>
              </w:rPr>
              <w:t>t/a</w:t>
            </w:r>
            <w:r>
              <w:rPr>
                <w:bCs/>
                <w:color w:val="auto"/>
                <w:sz w:val="24"/>
              </w:rPr>
              <w:t>；</w:t>
            </w:r>
            <w:r>
              <w:rPr>
                <w:rFonts w:hint="eastAsia"/>
                <w:bCs/>
                <w:color w:val="auto"/>
                <w:sz w:val="24"/>
              </w:rPr>
              <w:t>检验工序产生少量不合格品，产生量约为3</w:t>
            </w:r>
            <w:r>
              <w:rPr>
                <w:color w:val="auto"/>
                <w:spacing w:val="-2"/>
                <w:sz w:val="24"/>
              </w:rPr>
              <w:t>t/a</w:t>
            </w:r>
            <w:r>
              <w:rPr>
                <w:rFonts w:hint="eastAsia"/>
                <w:color w:val="auto"/>
                <w:spacing w:val="-2"/>
                <w:sz w:val="24"/>
              </w:rPr>
              <w:t>；混料、包装工序产生少量废包装材料</w:t>
            </w:r>
            <w:r>
              <w:rPr>
                <w:rFonts w:hint="eastAsia"/>
                <w:bCs/>
                <w:color w:val="auto"/>
                <w:sz w:val="24"/>
              </w:rPr>
              <w:t>，产生量约为0.3</w:t>
            </w:r>
            <w:r>
              <w:rPr>
                <w:color w:val="auto"/>
                <w:spacing w:val="-2"/>
                <w:sz w:val="24"/>
              </w:rPr>
              <w:t>t/a</w:t>
            </w:r>
            <w:r>
              <w:rPr>
                <w:rFonts w:hint="eastAsia"/>
                <w:color w:val="auto"/>
                <w:spacing w:val="-2"/>
                <w:sz w:val="24"/>
              </w:rPr>
              <w:t>。</w:t>
            </w:r>
            <w:r>
              <w:rPr>
                <w:color w:val="auto"/>
                <w:sz w:val="24"/>
              </w:rPr>
              <w:t>综上所述，项目一般固废产生量为</w:t>
            </w:r>
            <w:r>
              <w:rPr>
                <w:rFonts w:hint="eastAsia"/>
                <w:color w:val="auto"/>
                <w:sz w:val="24"/>
              </w:rPr>
              <w:t>5.3</w:t>
            </w:r>
            <w:r>
              <w:rPr>
                <w:color w:val="auto"/>
                <w:spacing w:val="-2"/>
                <w:sz w:val="24"/>
              </w:rPr>
              <w:t>t/a</w:t>
            </w:r>
            <w:r>
              <w:rPr>
                <w:color w:val="auto"/>
                <w:sz w:val="24"/>
              </w:rPr>
              <w:t>，经收集后</w:t>
            </w:r>
            <w:r>
              <w:rPr>
                <w:color w:val="auto"/>
                <w:spacing w:val="-2"/>
                <w:sz w:val="24"/>
              </w:rPr>
              <w:t>交专业公司回收处理</w:t>
            </w:r>
            <w:r>
              <w:rPr>
                <w:color w:val="auto"/>
                <w:sz w:val="24"/>
              </w:rPr>
              <w:t>。</w:t>
            </w:r>
          </w:p>
          <w:p>
            <w:pPr>
              <w:spacing w:line="360" w:lineRule="auto"/>
              <w:ind w:firstLine="482" w:firstLineChars="200"/>
              <w:rPr>
                <w:rFonts w:hint="eastAsia" w:hAnsi="宋体" w:eastAsia="宋体"/>
                <w:b/>
                <w:color w:val="auto"/>
                <w:sz w:val="24"/>
                <w:lang w:eastAsia="zh-CN"/>
              </w:rPr>
            </w:pPr>
            <w:r>
              <w:rPr>
                <w:rFonts w:hint="eastAsia" w:hAnsi="宋体"/>
                <w:b/>
                <w:color w:val="auto"/>
                <w:sz w:val="24"/>
              </w:rPr>
              <w:t>中转物：</w:t>
            </w:r>
            <w:r>
              <w:rPr>
                <w:rFonts w:hint="eastAsia"/>
                <w:color w:val="auto"/>
                <w:sz w:val="24"/>
              </w:rPr>
              <w:t>根据《固体废物鉴别标准 通则（GB 34330-2017）》中“任何不需要修复和加工即可用于其原始用途的物质，或者在产生点经过修复和加工后满足国家、地方制定或行业通行的产品质量标准并且用于其原始用途的物质，可不作为固体废物管理”。故本项目中的增塑剂包装桶属于中转物，可不计入固体废物管理，产生量约1t/a，经收集后交给供应商回收处理。</w:t>
            </w:r>
            <w:r>
              <w:rPr>
                <w:rFonts w:hint="eastAsia"/>
                <w:color w:val="auto"/>
                <w:sz w:val="24"/>
                <w:szCs w:val="24"/>
              </w:rPr>
              <w:t>若供应商不愿回收，</w:t>
            </w:r>
            <w:r>
              <w:rPr>
                <w:rFonts w:hint="eastAsia"/>
                <w:color w:val="auto"/>
                <w:sz w:val="24"/>
                <w:szCs w:val="24"/>
                <w:lang w:eastAsia="zh-CN"/>
              </w:rPr>
              <w:t>则作为危险废物交给有危险废物处置资质单位处置，</w:t>
            </w:r>
            <w:r>
              <w:rPr>
                <w:rFonts w:hint="default" w:ascii="Times New Roman" w:hAnsi="Times New Roman" w:eastAsia="宋体" w:cs="Times New Roman"/>
                <w:color w:val="auto"/>
                <w:sz w:val="24"/>
                <w:szCs w:val="20"/>
                <w:highlight w:val="none"/>
              </w:rPr>
              <w:t>废物类别：HW49其他废物，废物代码：900-041-49</w:t>
            </w:r>
            <w:r>
              <w:rPr>
                <w:rFonts w:hint="eastAsia" w:cs="Times New Roman"/>
                <w:color w:val="auto"/>
                <w:sz w:val="24"/>
                <w:szCs w:val="20"/>
                <w:highlight w:val="none"/>
                <w:lang w:eastAsia="zh-CN"/>
              </w:rPr>
              <w:t>。</w:t>
            </w:r>
          </w:p>
          <w:p>
            <w:pPr>
              <w:pStyle w:val="157"/>
              <w:spacing w:line="360" w:lineRule="auto"/>
              <w:ind w:firstLine="482" w:firstLineChars="200"/>
              <w:rPr>
                <w:rFonts w:ascii="Times New Roman" w:hAnsi="Times New Roman"/>
                <w:color w:val="auto"/>
                <w:szCs w:val="24"/>
              </w:rPr>
            </w:pPr>
            <w:r>
              <w:rPr>
                <w:rFonts w:ascii="Times New Roman" w:hAnsi="Times New Roman"/>
                <w:b/>
                <w:color w:val="auto"/>
              </w:rPr>
              <w:t>危险废物</w:t>
            </w:r>
            <w:r>
              <w:rPr>
                <w:rFonts w:ascii="Times New Roman" w:hAnsi="Times New Roman"/>
                <w:color w:val="auto"/>
              </w:rPr>
              <w:t>：</w:t>
            </w:r>
            <w:r>
              <w:rPr>
                <w:rFonts w:hint="eastAsia" w:ascii="Times New Roman" w:hAnsi="Times New Roman"/>
                <w:color w:val="auto"/>
                <w:szCs w:val="24"/>
              </w:rPr>
              <w:t>项目危险废</w:t>
            </w:r>
            <w:r>
              <w:rPr>
                <w:rFonts w:ascii="Times New Roman" w:hAnsi="Times New Roman"/>
                <w:color w:val="auto"/>
                <w:szCs w:val="24"/>
              </w:rPr>
              <w:t>物主要包括废UV灯管、废活性炭。</w:t>
            </w:r>
          </w:p>
          <w:p>
            <w:pPr>
              <w:pStyle w:val="157"/>
              <w:spacing w:line="360" w:lineRule="auto"/>
              <w:ind w:firstLine="480" w:firstLineChars="200"/>
              <w:rPr>
                <w:rFonts w:ascii="Times New Roman" w:hAnsi="Times New Roman"/>
                <w:bCs/>
                <w:color w:val="auto"/>
                <w:szCs w:val="24"/>
              </w:rPr>
            </w:pPr>
            <w:r>
              <w:rPr>
                <w:rFonts w:ascii="Times New Roman" w:hAnsi="Times New Roman"/>
                <w:bCs/>
                <w:color w:val="auto"/>
                <w:szCs w:val="24"/>
              </w:rPr>
              <w:t>项目设置一套</w:t>
            </w:r>
            <w:r>
              <w:rPr>
                <w:rFonts w:ascii="Times New Roman" w:hAnsi="Times New Roman"/>
                <w:color w:val="auto"/>
              </w:rPr>
              <w:t>UV光解+活性炭吸附装置</w:t>
            </w:r>
            <w:r>
              <w:rPr>
                <w:rFonts w:hint="eastAsia" w:ascii="Times New Roman" w:hAnsi="Times New Roman"/>
                <w:bCs/>
                <w:color w:val="auto"/>
                <w:szCs w:val="24"/>
              </w:rPr>
              <w:t>。根据工程设计规范，正常情况下，一般处理10000m</w:t>
            </w:r>
            <w:r>
              <w:rPr>
                <w:rFonts w:hint="eastAsia" w:ascii="Times New Roman" w:hAnsi="Times New Roman"/>
                <w:bCs/>
                <w:color w:val="auto"/>
                <w:szCs w:val="24"/>
                <w:vertAlign w:val="superscript"/>
              </w:rPr>
              <w:t>3</w:t>
            </w:r>
            <w:r>
              <w:rPr>
                <w:rFonts w:hint="eastAsia" w:ascii="Times New Roman" w:hAnsi="Times New Roman"/>
                <w:bCs/>
                <w:color w:val="auto"/>
                <w:szCs w:val="24"/>
              </w:rPr>
              <w:t>/h的风量的废气，需要配备4kw的</w:t>
            </w:r>
            <w:r>
              <w:rPr>
                <w:rFonts w:ascii="Times New Roman" w:hAnsi="Times New Roman"/>
                <w:color w:val="auto"/>
              </w:rPr>
              <w:t>UV</w:t>
            </w:r>
            <w:r>
              <w:rPr>
                <w:rFonts w:hint="eastAsia" w:ascii="Times New Roman" w:hAnsi="Times New Roman"/>
                <w:bCs/>
                <w:color w:val="auto"/>
                <w:szCs w:val="24"/>
              </w:rPr>
              <w:t>灯管，1根灯管的功率为150w。本项目</w:t>
            </w:r>
            <w:r>
              <w:rPr>
                <w:rFonts w:hint="eastAsia"/>
                <w:color w:val="auto"/>
              </w:rPr>
              <w:t>造粒、挤出成型工序</w:t>
            </w:r>
            <w:r>
              <w:rPr>
                <w:rFonts w:hint="eastAsia" w:ascii="Times New Roman" w:hAnsi="Times New Roman"/>
                <w:bCs/>
                <w:color w:val="auto"/>
                <w:szCs w:val="24"/>
              </w:rPr>
              <w:t>风量为8600m</w:t>
            </w:r>
            <w:r>
              <w:rPr>
                <w:rFonts w:hint="eastAsia" w:ascii="Times New Roman" w:hAnsi="Times New Roman"/>
                <w:bCs/>
                <w:color w:val="auto"/>
                <w:szCs w:val="24"/>
                <w:vertAlign w:val="superscript"/>
              </w:rPr>
              <w:t>3</w:t>
            </w:r>
            <w:r>
              <w:rPr>
                <w:rFonts w:hint="eastAsia" w:ascii="Times New Roman" w:hAnsi="Times New Roman"/>
                <w:bCs/>
                <w:color w:val="auto"/>
                <w:szCs w:val="24"/>
              </w:rPr>
              <w:t>/h，则需要配备3.44kw的</w:t>
            </w:r>
            <w:r>
              <w:rPr>
                <w:rFonts w:ascii="Times New Roman" w:hAnsi="Times New Roman"/>
                <w:color w:val="auto"/>
              </w:rPr>
              <w:t>UV</w:t>
            </w:r>
            <w:r>
              <w:rPr>
                <w:rFonts w:hint="eastAsia" w:ascii="Times New Roman" w:hAnsi="Times New Roman"/>
                <w:bCs/>
                <w:color w:val="auto"/>
                <w:szCs w:val="24"/>
              </w:rPr>
              <w:t>灯管，即需要23根UV灯管。UV灯管</w:t>
            </w:r>
            <w:r>
              <w:rPr>
                <w:rFonts w:ascii="Times New Roman" w:hAnsi="Times New Roman"/>
                <w:bCs/>
                <w:color w:val="auto"/>
                <w:szCs w:val="24"/>
              </w:rPr>
              <w:t>使用寿命为2400小时，则废紫外灯管</w:t>
            </w:r>
            <w:r>
              <w:rPr>
                <w:rStyle w:val="50"/>
                <w:rFonts w:ascii="Times New Roman" w:hAnsi="Times New Roman"/>
                <w:color w:val="auto"/>
                <w:sz w:val="24"/>
                <w:szCs w:val="24"/>
              </w:rPr>
              <w:t>（HW29 含汞废物，废物代码：900-023-29）</w:t>
            </w:r>
            <w:r>
              <w:rPr>
                <w:rFonts w:ascii="Times New Roman" w:hAnsi="Times New Roman"/>
                <w:bCs/>
                <w:color w:val="auto"/>
                <w:szCs w:val="24"/>
              </w:rPr>
              <w:t>年产生量为</w:t>
            </w:r>
            <w:r>
              <w:rPr>
                <w:rFonts w:hint="eastAsia" w:ascii="Times New Roman" w:hAnsi="Times New Roman"/>
                <w:bCs/>
                <w:color w:val="auto"/>
                <w:szCs w:val="24"/>
              </w:rPr>
              <w:t>23根。</w:t>
            </w:r>
          </w:p>
          <w:p>
            <w:pPr>
              <w:pStyle w:val="157"/>
              <w:spacing w:line="360" w:lineRule="auto"/>
              <w:ind w:firstLine="480" w:firstLineChars="200"/>
              <w:rPr>
                <w:rFonts w:hint="eastAsia" w:ascii="Times New Roman" w:hAnsi="Times New Roman"/>
                <w:color w:val="auto"/>
              </w:rPr>
            </w:pPr>
            <w:r>
              <w:rPr>
                <w:rFonts w:hint="eastAsia" w:ascii="Times New Roman" w:hAnsi="Times New Roman"/>
                <w:color w:val="auto"/>
              </w:rPr>
              <w:t>根据工程设计单位提供的资料，本项目活性炭装置中活性炭的有效填充长度为1.2m，宽度为0.8m，活性炭层厚为0.3m，填充密度为550kg/m</w:t>
            </w:r>
            <w:r>
              <w:rPr>
                <w:rFonts w:hint="eastAsia" w:ascii="Times New Roman" w:hAnsi="Times New Roman"/>
                <w:color w:val="auto"/>
                <w:vertAlign w:val="superscript"/>
              </w:rPr>
              <w:t>3</w:t>
            </w:r>
            <w:r>
              <w:rPr>
                <w:rFonts w:hint="eastAsia" w:ascii="Times New Roman" w:hAnsi="Times New Roman"/>
                <w:color w:val="auto"/>
              </w:rPr>
              <w:t>，则活性炭的初次装填量为1.2m*0.8m*0.3m*550kg/m</w:t>
            </w:r>
            <w:r>
              <w:rPr>
                <w:rFonts w:hint="eastAsia" w:ascii="Times New Roman" w:hAnsi="Times New Roman"/>
                <w:color w:val="auto"/>
                <w:vertAlign w:val="superscript"/>
              </w:rPr>
              <w:t>3</w:t>
            </w:r>
            <w:r>
              <w:rPr>
                <w:rFonts w:hint="eastAsia" w:ascii="Times New Roman" w:hAnsi="Times New Roman"/>
                <w:bCs/>
                <w:color w:val="auto"/>
                <w:szCs w:val="24"/>
              </w:rPr>
              <w:t>=0.16t。</w:t>
            </w:r>
            <w:r>
              <w:rPr>
                <w:rFonts w:ascii="Times New Roman" w:hAnsi="Times New Roman"/>
                <w:color w:val="auto"/>
              </w:rPr>
              <w:t>活性炭吸附装置中的活性炭，吸附一段时间后饱和，需要更换，</w:t>
            </w:r>
            <w:r>
              <w:rPr>
                <w:rFonts w:hint="eastAsia" w:ascii="Times New Roman" w:hAnsi="Times New Roman"/>
                <w:color w:val="auto"/>
              </w:rPr>
              <w:t>每半年更换一次，则更换量为0.32t</w:t>
            </w:r>
            <w:r>
              <w:rPr>
                <w:rFonts w:ascii="Times New Roman" w:hAnsi="Times New Roman"/>
                <w:color w:val="auto"/>
              </w:rPr>
              <w:t>/a</w:t>
            </w:r>
            <w:r>
              <w:rPr>
                <w:rFonts w:hint="eastAsia" w:ascii="Times New Roman" w:hAnsi="Times New Roman"/>
                <w:color w:val="auto"/>
              </w:rPr>
              <w:t>。因此废活性炭（</w:t>
            </w:r>
            <w:r>
              <w:rPr>
                <w:rFonts w:ascii="Times New Roman" w:hAnsi="Times New Roman"/>
                <w:color w:val="auto"/>
              </w:rPr>
              <w:t>废物类别：HW49其他废物，废物代码：900-041-49）</w:t>
            </w:r>
            <w:r>
              <w:rPr>
                <w:rFonts w:hint="eastAsia" w:ascii="Times New Roman" w:hAnsi="Times New Roman"/>
                <w:color w:val="auto"/>
              </w:rPr>
              <w:t>产生量=更换量+吸附的废气量=0.32</w:t>
            </w:r>
            <w:r>
              <w:rPr>
                <w:rFonts w:ascii="Times New Roman" w:hAnsi="Times New Roman"/>
                <w:color w:val="auto"/>
              </w:rPr>
              <w:t>t/a</w:t>
            </w:r>
            <w:r>
              <w:rPr>
                <w:rFonts w:hint="eastAsia" w:ascii="Times New Roman" w:hAnsi="Times New Roman"/>
                <w:color w:val="auto"/>
              </w:rPr>
              <w:t>+0.056</w:t>
            </w:r>
            <w:r>
              <w:rPr>
                <w:rFonts w:ascii="Times New Roman" w:hAnsi="Times New Roman"/>
                <w:color w:val="auto"/>
              </w:rPr>
              <w:t>t/a</w:t>
            </w:r>
            <w:r>
              <w:rPr>
                <w:rFonts w:hint="eastAsia" w:ascii="Times New Roman" w:hAnsi="Times New Roman"/>
                <w:color w:val="auto"/>
              </w:rPr>
              <w:t>=0.376</w:t>
            </w:r>
            <w:r>
              <w:rPr>
                <w:rFonts w:ascii="Times New Roman" w:hAnsi="Times New Roman"/>
                <w:color w:val="auto"/>
              </w:rPr>
              <w:t>t/a</w:t>
            </w:r>
            <w:r>
              <w:rPr>
                <w:rFonts w:hint="eastAsia" w:ascii="Times New Roman" w:hAnsi="Times New Roman"/>
                <w:color w:val="auto"/>
              </w:rPr>
              <w:t>。</w:t>
            </w:r>
          </w:p>
          <w:p>
            <w:pPr>
              <w:pStyle w:val="157"/>
              <w:spacing w:line="360" w:lineRule="auto"/>
              <w:ind w:firstLine="480" w:firstLineChars="200"/>
              <w:rPr>
                <w:rFonts w:ascii="Times New Roman" w:hAnsi="Times New Roman"/>
                <w:color w:val="auto"/>
              </w:rPr>
            </w:pPr>
            <w:r>
              <w:rPr>
                <w:rFonts w:hint="eastAsia" w:ascii="Times New Roman" w:hAnsi="Times New Roman"/>
                <w:color w:val="auto"/>
              </w:rPr>
              <w:t>活性炭装置装填量可行性分析：活性炭的吸附值为0.2kgNMHC /kg，即</w:t>
            </w:r>
            <w:r>
              <w:rPr>
                <w:rFonts w:ascii="Times New Roman" w:hAnsi="Times New Roman"/>
                <w:color w:val="auto"/>
              </w:rPr>
              <w:t>活性炭用量约为废气去除量（吸附量）的</w:t>
            </w:r>
            <w:r>
              <w:rPr>
                <w:rFonts w:hint="eastAsia" w:ascii="Times New Roman" w:hAnsi="Times New Roman"/>
                <w:color w:val="auto"/>
              </w:rPr>
              <w:t>5</w:t>
            </w:r>
            <w:r>
              <w:rPr>
                <w:rFonts w:ascii="Times New Roman" w:hAnsi="Times New Roman"/>
                <w:color w:val="auto"/>
              </w:rPr>
              <w:t>倍</w:t>
            </w:r>
            <w:r>
              <w:rPr>
                <w:rFonts w:hint="eastAsia" w:ascii="Times New Roman" w:hAnsi="Times New Roman"/>
                <w:color w:val="auto"/>
              </w:rPr>
              <w:t>，本项目非甲烷总烃的吸附量为0.056</w:t>
            </w:r>
            <w:r>
              <w:rPr>
                <w:rFonts w:ascii="Times New Roman" w:hAnsi="Times New Roman"/>
                <w:color w:val="auto"/>
              </w:rPr>
              <w:t>t/a</w:t>
            </w:r>
            <w:r>
              <w:rPr>
                <w:rFonts w:hint="eastAsia" w:ascii="Times New Roman" w:hAnsi="Times New Roman"/>
                <w:color w:val="auto"/>
              </w:rPr>
              <w:t>，</w:t>
            </w:r>
            <w:r>
              <w:rPr>
                <w:rFonts w:ascii="Times New Roman" w:hAnsi="Times New Roman"/>
                <w:color w:val="auto"/>
              </w:rPr>
              <w:t>则活性炭用量</w:t>
            </w:r>
            <w:r>
              <w:rPr>
                <w:rFonts w:hint="eastAsia" w:ascii="Times New Roman" w:hAnsi="Times New Roman"/>
                <w:color w:val="auto"/>
              </w:rPr>
              <w:t>为0.28</w:t>
            </w:r>
            <w:r>
              <w:rPr>
                <w:rFonts w:ascii="Times New Roman" w:hAnsi="Times New Roman"/>
                <w:color w:val="auto"/>
              </w:rPr>
              <w:t>t/a</w:t>
            </w:r>
            <w:r>
              <w:rPr>
                <w:rFonts w:hint="eastAsia" w:ascii="Times New Roman" w:hAnsi="Times New Roman"/>
                <w:color w:val="auto"/>
              </w:rPr>
              <w:t>＜0.32</w:t>
            </w:r>
            <w:r>
              <w:rPr>
                <w:rFonts w:ascii="Times New Roman" w:hAnsi="Times New Roman"/>
                <w:color w:val="auto"/>
              </w:rPr>
              <w:t>t/a</w:t>
            </w:r>
            <w:r>
              <w:rPr>
                <w:rFonts w:hint="eastAsia" w:ascii="Times New Roman" w:hAnsi="Times New Roman"/>
                <w:color w:val="auto"/>
              </w:rPr>
              <w:t>，因此本项目设计的活性炭装填量可满足废气处理的需要。</w:t>
            </w:r>
          </w:p>
          <w:p>
            <w:pPr>
              <w:pStyle w:val="2"/>
              <w:spacing w:line="360" w:lineRule="auto"/>
              <w:ind w:firstLine="480" w:firstLineChars="200"/>
              <w:rPr>
                <w:rFonts w:ascii="Times New Roman" w:cs="Times New Roman"/>
                <w:color w:val="auto"/>
              </w:rPr>
            </w:pPr>
            <w:r>
              <w:rPr>
                <w:rFonts w:ascii="Times New Roman" w:cs="Times New Roman"/>
                <w:color w:val="auto"/>
              </w:rPr>
              <w:t>废UV灯管、废活性炭收集后暂存于项目危废暂存区，定期</w:t>
            </w:r>
            <w:r>
              <w:rPr>
                <w:rFonts w:hint="eastAsia" w:ascii="Times New Roman" w:cs="Times New Roman"/>
                <w:color w:val="auto"/>
                <w:lang w:eastAsia="zh-CN"/>
              </w:rPr>
              <w:t>交给有危险废物处置资质单位处置</w:t>
            </w:r>
            <w:r>
              <w:rPr>
                <w:rFonts w:ascii="Times New Roman" w:cs="Times New Roman"/>
                <w:color w:val="auto"/>
              </w:rPr>
              <w:t>。</w:t>
            </w:r>
          </w:p>
          <w:p>
            <w:pPr>
              <w:pStyle w:val="2"/>
              <w:spacing w:line="360" w:lineRule="auto"/>
              <w:ind w:firstLine="480" w:firstLineChars="200"/>
              <w:rPr>
                <w:rFonts w:ascii="Times New Roman" w:cs="Times New Roman"/>
                <w:color w:val="auto"/>
              </w:rPr>
            </w:pPr>
            <w:r>
              <w:rPr>
                <w:rFonts w:ascii="Times New Roman" w:cs="Times New Roman"/>
                <w:color w:val="auto"/>
              </w:rPr>
              <w:t>按照《建设项目危险废物环境影响评价指南》（环境保护部公告2017年第43号），本项目所涉及的危险废物产排、处置等情况汇总如下表。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危险废物汇总表</w:t>
            </w:r>
          </w:p>
          <w:tbl>
            <w:tblPr>
              <w:tblStyle w:val="44"/>
              <w:tblW w:w="93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
              <w:gridCol w:w="1127"/>
              <w:gridCol w:w="958"/>
              <w:gridCol w:w="780"/>
              <w:gridCol w:w="955"/>
              <w:gridCol w:w="825"/>
              <w:gridCol w:w="480"/>
              <w:gridCol w:w="875"/>
              <w:gridCol w:w="690"/>
              <w:gridCol w:w="730"/>
              <w:gridCol w:w="555"/>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blHeader/>
                <w:jc w:val="center"/>
              </w:trPr>
              <w:tc>
                <w:tcPr>
                  <w:tcW w:w="415"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序号</w:t>
                  </w:r>
                </w:p>
              </w:tc>
              <w:tc>
                <w:tcPr>
                  <w:tcW w:w="1127"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危险废物名称</w:t>
                  </w:r>
                </w:p>
              </w:tc>
              <w:tc>
                <w:tcPr>
                  <w:tcW w:w="958"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危险废物类别</w:t>
                  </w:r>
                </w:p>
              </w:tc>
              <w:tc>
                <w:tcPr>
                  <w:tcW w:w="78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危险废物代码</w:t>
                  </w:r>
                </w:p>
              </w:tc>
              <w:tc>
                <w:tcPr>
                  <w:tcW w:w="955"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产生量</w:t>
                  </w:r>
                </w:p>
              </w:tc>
              <w:tc>
                <w:tcPr>
                  <w:tcW w:w="825"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产生工序及装置</w:t>
                  </w:r>
                </w:p>
              </w:tc>
              <w:tc>
                <w:tcPr>
                  <w:tcW w:w="48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形态</w:t>
                  </w:r>
                </w:p>
              </w:tc>
              <w:tc>
                <w:tcPr>
                  <w:tcW w:w="875"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主要成分</w:t>
                  </w:r>
                </w:p>
              </w:tc>
              <w:tc>
                <w:tcPr>
                  <w:tcW w:w="69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有害成分</w:t>
                  </w:r>
                </w:p>
              </w:tc>
              <w:tc>
                <w:tcPr>
                  <w:tcW w:w="73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产废周期</w:t>
                  </w:r>
                </w:p>
              </w:tc>
              <w:tc>
                <w:tcPr>
                  <w:tcW w:w="555"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危险</w:t>
                  </w:r>
                </w:p>
                <w:p>
                  <w:pPr>
                    <w:topLinePunct/>
                    <w:adjustRightInd w:val="0"/>
                    <w:snapToGrid w:val="0"/>
                    <w:jc w:val="center"/>
                    <w:rPr>
                      <w:b/>
                      <w:bCs/>
                      <w:color w:val="auto"/>
                      <w:kern w:val="0"/>
                      <w:szCs w:val="21"/>
                    </w:rPr>
                  </w:pPr>
                  <w:r>
                    <w:rPr>
                      <w:b/>
                      <w:bCs/>
                      <w:color w:val="auto"/>
                      <w:kern w:val="0"/>
                      <w:szCs w:val="21"/>
                    </w:rPr>
                    <w:t>特性</w:t>
                  </w:r>
                </w:p>
              </w:tc>
              <w:tc>
                <w:tcPr>
                  <w:tcW w:w="919"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1" w:hRule="atLeast"/>
                <w:jc w:val="center"/>
              </w:trPr>
              <w:tc>
                <w:tcPr>
                  <w:tcW w:w="415"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1</w:t>
                  </w:r>
                </w:p>
              </w:tc>
              <w:tc>
                <w:tcPr>
                  <w:tcW w:w="1127"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废UV灯管</w:t>
                  </w:r>
                </w:p>
              </w:tc>
              <w:tc>
                <w:tcPr>
                  <w:tcW w:w="958"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含汞废物</w:t>
                  </w:r>
                </w:p>
              </w:tc>
              <w:tc>
                <w:tcPr>
                  <w:tcW w:w="780" w:type="dxa"/>
                  <w:tcBorders>
                    <w:tl2br w:val="nil"/>
                    <w:tr2bl w:val="nil"/>
                  </w:tcBorders>
                  <w:vAlign w:val="center"/>
                </w:tcPr>
                <w:p>
                  <w:pPr>
                    <w:topLinePunct/>
                    <w:adjustRightInd w:val="0"/>
                    <w:snapToGrid w:val="0"/>
                    <w:jc w:val="center"/>
                    <w:rPr>
                      <w:color w:val="auto"/>
                      <w:szCs w:val="21"/>
                    </w:rPr>
                  </w:pPr>
                  <w:r>
                    <w:rPr>
                      <w:rFonts w:hint="eastAsia"/>
                      <w:color w:val="auto"/>
                      <w:szCs w:val="21"/>
                    </w:rPr>
                    <w:t>900-023-29</w:t>
                  </w:r>
                </w:p>
              </w:tc>
              <w:tc>
                <w:tcPr>
                  <w:tcW w:w="955"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23根</w:t>
                  </w:r>
                  <w:r>
                    <w:rPr>
                      <w:color w:val="auto"/>
                      <w:kern w:val="0"/>
                      <w:szCs w:val="21"/>
                    </w:rPr>
                    <w:t>/</w:t>
                  </w:r>
                  <w:r>
                    <w:rPr>
                      <w:rFonts w:hint="eastAsia"/>
                      <w:color w:val="auto"/>
                      <w:kern w:val="0"/>
                      <w:szCs w:val="21"/>
                    </w:rPr>
                    <w:t>a</w:t>
                  </w:r>
                </w:p>
              </w:tc>
              <w:tc>
                <w:tcPr>
                  <w:tcW w:w="825"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UV光解装置</w:t>
                  </w:r>
                </w:p>
              </w:tc>
              <w:tc>
                <w:tcPr>
                  <w:tcW w:w="480" w:type="dxa"/>
                  <w:tcBorders>
                    <w:tl2br w:val="nil"/>
                    <w:tr2bl w:val="nil"/>
                  </w:tcBorders>
                  <w:vAlign w:val="center"/>
                </w:tcPr>
                <w:p>
                  <w:pPr>
                    <w:topLinePunct/>
                    <w:adjustRightInd w:val="0"/>
                    <w:snapToGrid w:val="0"/>
                    <w:jc w:val="center"/>
                    <w:rPr>
                      <w:color w:val="auto"/>
                      <w:kern w:val="0"/>
                      <w:szCs w:val="21"/>
                    </w:rPr>
                  </w:pPr>
                  <w:r>
                    <w:rPr>
                      <w:bCs/>
                      <w:color w:val="auto"/>
                      <w:szCs w:val="21"/>
                    </w:rPr>
                    <w:t>固态</w:t>
                  </w:r>
                </w:p>
              </w:tc>
              <w:tc>
                <w:tcPr>
                  <w:tcW w:w="875"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含汞废物</w:t>
                  </w:r>
                </w:p>
              </w:tc>
              <w:tc>
                <w:tcPr>
                  <w:tcW w:w="690"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汞</w:t>
                  </w:r>
                </w:p>
              </w:tc>
              <w:tc>
                <w:tcPr>
                  <w:tcW w:w="730" w:type="dxa"/>
                  <w:tcBorders>
                    <w:tl2br w:val="nil"/>
                    <w:tr2bl w:val="nil"/>
                  </w:tcBorders>
                  <w:vAlign w:val="center"/>
                </w:tcPr>
                <w:p>
                  <w:pPr>
                    <w:topLinePunct/>
                    <w:adjustRightInd w:val="0"/>
                    <w:snapToGrid w:val="0"/>
                    <w:jc w:val="center"/>
                    <w:rPr>
                      <w:color w:val="auto"/>
                      <w:kern w:val="0"/>
                      <w:szCs w:val="21"/>
                    </w:rPr>
                  </w:pPr>
                  <w:r>
                    <w:rPr>
                      <w:rFonts w:hint="eastAsia"/>
                      <w:bCs/>
                      <w:color w:val="auto"/>
                      <w:szCs w:val="21"/>
                    </w:rPr>
                    <w:t>1</w:t>
                  </w:r>
                  <w:r>
                    <w:rPr>
                      <w:bCs/>
                      <w:color w:val="auto"/>
                      <w:szCs w:val="21"/>
                    </w:rPr>
                    <w:t>年</w:t>
                  </w:r>
                </w:p>
              </w:tc>
              <w:tc>
                <w:tcPr>
                  <w:tcW w:w="555" w:type="dxa"/>
                  <w:tcBorders>
                    <w:tl2br w:val="nil"/>
                    <w:tr2bl w:val="nil"/>
                  </w:tcBorders>
                  <w:vAlign w:val="center"/>
                </w:tcPr>
                <w:p>
                  <w:pPr>
                    <w:topLinePunct/>
                    <w:adjustRightInd w:val="0"/>
                    <w:snapToGrid w:val="0"/>
                    <w:jc w:val="center"/>
                    <w:rPr>
                      <w:color w:val="auto"/>
                      <w:kern w:val="0"/>
                      <w:szCs w:val="21"/>
                    </w:rPr>
                  </w:pPr>
                  <w:r>
                    <w:rPr>
                      <w:color w:val="auto"/>
                      <w:kern w:val="0"/>
                      <w:szCs w:val="21"/>
                    </w:rPr>
                    <w:t>T</w:t>
                  </w:r>
                </w:p>
              </w:tc>
              <w:tc>
                <w:tcPr>
                  <w:tcW w:w="919" w:type="dxa"/>
                  <w:vMerge w:val="restart"/>
                  <w:tcBorders>
                    <w:tl2br w:val="nil"/>
                    <w:tr2bl w:val="nil"/>
                  </w:tcBorders>
                  <w:vAlign w:val="center"/>
                </w:tcPr>
                <w:p>
                  <w:pPr>
                    <w:topLinePunct/>
                    <w:adjustRightInd w:val="0"/>
                    <w:snapToGrid w:val="0"/>
                    <w:jc w:val="center"/>
                    <w:rPr>
                      <w:bCs/>
                      <w:color w:val="auto"/>
                      <w:kern w:val="0"/>
                      <w:szCs w:val="21"/>
                    </w:rPr>
                  </w:pPr>
                  <w:r>
                    <w:rPr>
                      <w:bCs/>
                      <w:color w:val="auto"/>
                      <w:kern w:val="0"/>
                      <w:szCs w:val="21"/>
                    </w:rPr>
                    <w:t>暂存于项目内危废暂存区，定期交</w:t>
                  </w:r>
                  <w:r>
                    <w:rPr>
                      <w:rFonts w:hint="eastAsia"/>
                      <w:bCs/>
                      <w:color w:val="auto"/>
                      <w:kern w:val="0"/>
                      <w:szCs w:val="21"/>
                    </w:rPr>
                    <w:t>给有危险废物处置资质单位处置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15"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2</w:t>
                  </w:r>
                </w:p>
              </w:tc>
              <w:tc>
                <w:tcPr>
                  <w:tcW w:w="1127" w:type="dxa"/>
                  <w:tcBorders>
                    <w:tl2br w:val="nil"/>
                    <w:tr2bl w:val="nil"/>
                  </w:tcBorders>
                  <w:vAlign w:val="center"/>
                </w:tcPr>
                <w:p>
                  <w:pPr>
                    <w:topLinePunct/>
                    <w:adjustRightInd w:val="0"/>
                    <w:snapToGrid w:val="0"/>
                    <w:jc w:val="center"/>
                    <w:rPr>
                      <w:color w:val="auto"/>
                      <w:szCs w:val="21"/>
                    </w:rPr>
                  </w:pPr>
                  <w:r>
                    <w:rPr>
                      <w:color w:val="auto"/>
                      <w:kern w:val="0"/>
                      <w:szCs w:val="21"/>
                    </w:rPr>
                    <w:t>废活性炭</w:t>
                  </w:r>
                </w:p>
              </w:tc>
              <w:tc>
                <w:tcPr>
                  <w:tcW w:w="958" w:type="dxa"/>
                  <w:tcBorders>
                    <w:tl2br w:val="nil"/>
                    <w:tr2bl w:val="nil"/>
                  </w:tcBorders>
                  <w:vAlign w:val="center"/>
                </w:tcPr>
                <w:p>
                  <w:pPr>
                    <w:topLinePunct/>
                    <w:adjustRightInd w:val="0"/>
                    <w:snapToGrid w:val="0"/>
                    <w:jc w:val="center"/>
                    <w:rPr>
                      <w:color w:val="auto"/>
                      <w:kern w:val="0"/>
                      <w:szCs w:val="21"/>
                    </w:rPr>
                  </w:pPr>
                  <w:r>
                    <w:rPr>
                      <w:color w:val="auto"/>
                      <w:kern w:val="0"/>
                      <w:szCs w:val="21"/>
                    </w:rPr>
                    <w:t>其它废物</w:t>
                  </w:r>
                </w:p>
              </w:tc>
              <w:tc>
                <w:tcPr>
                  <w:tcW w:w="780" w:type="dxa"/>
                  <w:tcBorders>
                    <w:tl2br w:val="nil"/>
                    <w:tr2bl w:val="nil"/>
                  </w:tcBorders>
                  <w:vAlign w:val="center"/>
                </w:tcPr>
                <w:p>
                  <w:pPr>
                    <w:topLinePunct/>
                    <w:adjustRightInd w:val="0"/>
                    <w:snapToGrid w:val="0"/>
                    <w:jc w:val="center"/>
                    <w:rPr>
                      <w:color w:val="auto"/>
                      <w:szCs w:val="21"/>
                    </w:rPr>
                  </w:pPr>
                  <w:r>
                    <w:rPr>
                      <w:color w:val="auto"/>
                      <w:szCs w:val="21"/>
                    </w:rPr>
                    <w:t>900-041-49</w:t>
                  </w:r>
                </w:p>
              </w:tc>
              <w:tc>
                <w:tcPr>
                  <w:tcW w:w="955"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0.376t</w:t>
                  </w:r>
                  <w:r>
                    <w:rPr>
                      <w:color w:val="auto"/>
                      <w:kern w:val="0"/>
                      <w:szCs w:val="21"/>
                    </w:rPr>
                    <w:t>/</w:t>
                  </w:r>
                  <w:r>
                    <w:rPr>
                      <w:rFonts w:hint="eastAsia"/>
                      <w:color w:val="auto"/>
                      <w:kern w:val="0"/>
                      <w:szCs w:val="21"/>
                    </w:rPr>
                    <w:t>a</w:t>
                  </w:r>
                </w:p>
              </w:tc>
              <w:tc>
                <w:tcPr>
                  <w:tcW w:w="825"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活性炭吸附装置</w:t>
                  </w:r>
                </w:p>
              </w:tc>
              <w:tc>
                <w:tcPr>
                  <w:tcW w:w="480" w:type="dxa"/>
                  <w:tcBorders>
                    <w:tl2br w:val="nil"/>
                    <w:tr2bl w:val="nil"/>
                  </w:tcBorders>
                  <w:vAlign w:val="center"/>
                </w:tcPr>
                <w:p>
                  <w:pPr>
                    <w:topLinePunct/>
                    <w:adjustRightInd w:val="0"/>
                    <w:snapToGrid w:val="0"/>
                    <w:jc w:val="center"/>
                    <w:rPr>
                      <w:bCs/>
                      <w:color w:val="auto"/>
                      <w:szCs w:val="21"/>
                    </w:rPr>
                  </w:pPr>
                  <w:r>
                    <w:rPr>
                      <w:color w:val="auto"/>
                      <w:kern w:val="0"/>
                      <w:szCs w:val="21"/>
                    </w:rPr>
                    <w:t>固态</w:t>
                  </w:r>
                </w:p>
              </w:tc>
              <w:tc>
                <w:tcPr>
                  <w:tcW w:w="875" w:type="dxa"/>
                  <w:tcBorders>
                    <w:tl2br w:val="nil"/>
                    <w:tr2bl w:val="nil"/>
                  </w:tcBorders>
                  <w:vAlign w:val="center"/>
                </w:tcPr>
                <w:p>
                  <w:pPr>
                    <w:topLinePunct/>
                    <w:adjustRightInd w:val="0"/>
                    <w:snapToGrid w:val="0"/>
                    <w:jc w:val="center"/>
                    <w:rPr>
                      <w:color w:val="auto"/>
                      <w:szCs w:val="21"/>
                    </w:rPr>
                  </w:pPr>
                  <w:r>
                    <w:rPr>
                      <w:color w:val="auto"/>
                      <w:kern w:val="0"/>
                      <w:szCs w:val="21"/>
                    </w:rPr>
                    <w:t>有机物</w:t>
                  </w:r>
                </w:p>
              </w:tc>
              <w:tc>
                <w:tcPr>
                  <w:tcW w:w="690" w:type="dxa"/>
                  <w:tcBorders>
                    <w:tl2br w:val="nil"/>
                    <w:tr2bl w:val="nil"/>
                  </w:tcBorders>
                  <w:vAlign w:val="center"/>
                </w:tcPr>
                <w:p>
                  <w:pPr>
                    <w:topLinePunct/>
                    <w:adjustRightInd w:val="0"/>
                    <w:snapToGrid w:val="0"/>
                    <w:jc w:val="center"/>
                    <w:rPr>
                      <w:bCs/>
                      <w:color w:val="auto"/>
                      <w:szCs w:val="21"/>
                    </w:rPr>
                  </w:pPr>
                  <w:r>
                    <w:rPr>
                      <w:color w:val="auto"/>
                      <w:kern w:val="0"/>
                      <w:szCs w:val="21"/>
                    </w:rPr>
                    <w:t>COD</w:t>
                  </w:r>
                </w:p>
              </w:tc>
              <w:tc>
                <w:tcPr>
                  <w:tcW w:w="730" w:type="dxa"/>
                  <w:tcBorders>
                    <w:tl2br w:val="nil"/>
                    <w:tr2bl w:val="nil"/>
                  </w:tcBorders>
                  <w:vAlign w:val="center"/>
                </w:tcPr>
                <w:p>
                  <w:pPr>
                    <w:topLinePunct/>
                    <w:adjustRightInd w:val="0"/>
                    <w:snapToGrid w:val="0"/>
                    <w:jc w:val="center"/>
                    <w:rPr>
                      <w:bCs/>
                      <w:color w:val="auto"/>
                      <w:szCs w:val="21"/>
                    </w:rPr>
                  </w:pPr>
                  <w:r>
                    <w:rPr>
                      <w:rFonts w:hint="eastAsia"/>
                      <w:color w:val="auto"/>
                      <w:kern w:val="0"/>
                      <w:szCs w:val="21"/>
                    </w:rPr>
                    <w:t>1年</w:t>
                  </w:r>
                </w:p>
              </w:tc>
              <w:tc>
                <w:tcPr>
                  <w:tcW w:w="555" w:type="dxa"/>
                  <w:tcBorders>
                    <w:tl2br w:val="nil"/>
                    <w:tr2bl w:val="nil"/>
                  </w:tcBorders>
                  <w:vAlign w:val="center"/>
                </w:tcPr>
                <w:p>
                  <w:pPr>
                    <w:topLinePunct/>
                    <w:adjustRightInd w:val="0"/>
                    <w:snapToGrid w:val="0"/>
                    <w:jc w:val="center"/>
                    <w:rPr>
                      <w:color w:val="auto"/>
                      <w:kern w:val="0"/>
                      <w:szCs w:val="21"/>
                    </w:rPr>
                  </w:pPr>
                  <w:r>
                    <w:rPr>
                      <w:color w:val="auto"/>
                      <w:kern w:val="0"/>
                      <w:szCs w:val="21"/>
                    </w:rPr>
                    <w:t xml:space="preserve">T/In </w:t>
                  </w:r>
                </w:p>
              </w:tc>
              <w:tc>
                <w:tcPr>
                  <w:tcW w:w="919" w:type="dxa"/>
                  <w:vMerge w:val="continue"/>
                  <w:tcBorders>
                    <w:tl2br w:val="nil"/>
                    <w:tr2bl w:val="nil"/>
                  </w:tcBorders>
                  <w:vAlign w:val="center"/>
                </w:tcPr>
                <w:p>
                  <w:pPr>
                    <w:topLinePunct/>
                    <w:adjustRightInd w:val="0"/>
                    <w:snapToGrid w:val="0"/>
                    <w:jc w:val="center"/>
                    <w:rPr>
                      <w:bCs/>
                      <w:color w:val="auto"/>
                      <w:kern w:val="0"/>
                      <w:szCs w:val="21"/>
                    </w:rPr>
                  </w:pPr>
                </w:p>
              </w:tc>
            </w:tr>
          </w:tbl>
          <w:p>
            <w:pPr>
              <w:adjustRightInd w:val="0"/>
              <w:snapToGrid w:val="0"/>
              <w:spacing w:line="360" w:lineRule="auto"/>
              <w:rPr>
                <w:color w:val="auto"/>
                <w:sz w:val="24"/>
              </w:rPr>
            </w:pPr>
          </w:p>
        </w:tc>
      </w:tr>
    </w:tbl>
    <w:p>
      <w:pPr>
        <w:spacing w:line="300" w:lineRule="auto"/>
        <w:ind w:firstLine="454"/>
        <w:rPr>
          <w:color w:val="auto"/>
          <w:sz w:val="28"/>
        </w:rPr>
        <w:sectPr>
          <w:footerReference r:id="rId13" w:type="default"/>
          <w:pgSz w:w="11907" w:h="16840"/>
          <w:pgMar w:top="1531" w:right="1134" w:bottom="1134" w:left="1418" w:header="0" w:footer="898" w:gutter="0"/>
          <w:cols w:space="720" w:num="1"/>
          <w:docGrid w:linePitch="326" w:charSpace="-4916"/>
        </w:sectPr>
      </w:pPr>
    </w:p>
    <w:p>
      <w:pPr>
        <w:pStyle w:val="42"/>
        <w:jc w:val="left"/>
        <w:rPr>
          <w:rFonts w:ascii="Times New Roman" w:hAnsi="Times New Roman"/>
          <w:color w:val="auto"/>
        </w:rPr>
      </w:pPr>
      <w:r>
        <w:rPr>
          <w:rFonts w:hint="eastAsia" w:ascii="Times New Roman" w:hAnsi="Times New Roman"/>
          <w:color w:val="auto"/>
        </w:rPr>
        <w:t>项目主要污染物产生及预计排放情况</w:t>
      </w:r>
    </w:p>
    <w:tbl>
      <w:tblPr>
        <w:tblStyle w:val="44"/>
        <w:tblW w:w="984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55"/>
        <w:gridCol w:w="1766"/>
        <w:gridCol w:w="855"/>
        <w:gridCol w:w="945"/>
        <w:gridCol w:w="1457"/>
        <w:gridCol w:w="1276"/>
        <w:gridCol w:w="1418"/>
        <w:gridCol w:w="13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tcBorders>
              <w:bottom w:val="single" w:color="auto" w:sz="4" w:space="0"/>
              <w:tl2br w:val="single" w:color="000000" w:sz="6" w:space="0"/>
            </w:tcBorders>
          </w:tcPr>
          <w:p>
            <w:pPr>
              <w:pStyle w:val="55"/>
              <w:topLinePunct w:val="0"/>
              <w:autoSpaceDE/>
              <w:autoSpaceDN/>
              <w:adjustRightInd/>
              <w:jc w:val="right"/>
              <w:textAlignment w:val="auto"/>
              <w:rPr>
                <w:rFonts w:ascii="Times New Roman" w:hAnsi="Times New Roman"/>
                <w:color w:val="auto"/>
                <w:kern w:val="2"/>
                <w:position w:val="0"/>
                <w:sz w:val="24"/>
                <w:szCs w:val="24"/>
              </w:rPr>
            </w:pPr>
            <w:r>
              <w:rPr>
                <w:rFonts w:ascii="Times New Roman" w:hAnsi="Times New Roman"/>
                <w:color w:val="auto"/>
                <w:kern w:val="2"/>
                <w:position w:val="0"/>
                <w:sz w:val="24"/>
                <w:szCs w:val="24"/>
              </w:rPr>
              <w:t>内容</w:t>
            </w:r>
          </w:p>
          <w:p>
            <w:pPr>
              <w:rPr>
                <w:color w:val="auto"/>
                <w:sz w:val="24"/>
              </w:rPr>
            </w:pPr>
            <w:r>
              <w:rPr>
                <w:color w:val="auto"/>
                <w:sz w:val="24"/>
              </w:rPr>
              <w:t>类型</w:t>
            </w:r>
          </w:p>
        </w:tc>
        <w:tc>
          <w:tcPr>
            <w:tcW w:w="1766" w:type="dxa"/>
            <w:vAlign w:val="center"/>
          </w:tcPr>
          <w:p>
            <w:pPr>
              <w:jc w:val="center"/>
              <w:rPr>
                <w:color w:val="auto"/>
                <w:sz w:val="24"/>
              </w:rPr>
            </w:pPr>
            <w:r>
              <w:rPr>
                <w:color w:val="auto"/>
                <w:sz w:val="24"/>
              </w:rPr>
              <w:t>排放源</w:t>
            </w:r>
          </w:p>
          <w:p>
            <w:pPr>
              <w:jc w:val="center"/>
              <w:rPr>
                <w:color w:val="auto"/>
                <w:sz w:val="24"/>
              </w:rPr>
            </w:pPr>
            <w:r>
              <w:rPr>
                <w:color w:val="auto"/>
                <w:sz w:val="24"/>
              </w:rPr>
              <w:t>(编号)</w:t>
            </w:r>
          </w:p>
        </w:tc>
        <w:tc>
          <w:tcPr>
            <w:tcW w:w="1800" w:type="dxa"/>
            <w:gridSpan w:val="2"/>
            <w:tcBorders>
              <w:right w:val="single" w:color="auto" w:sz="4" w:space="0"/>
            </w:tcBorders>
            <w:vAlign w:val="center"/>
          </w:tcPr>
          <w:p>
            <w:pPr>
              <w:pStyle w:val="55"/>
              <w:rPr>
                <w:rFonts w:ascii="Times New Roman" w:hAnsi="Times New Roman"/>
                <w:color w:val="auto"/>
                <w:position w:val="0"/>
                <w:sz w:val="24"/>
                <w:szCs w:val="24"/>
              </w:rPr>
            </w:pPr>
            <w:r>
              <w:rPr>
                <w:rFonts w:ascii="Times New Roman" w:hAnsi="Times New Roman"/>
                <w:color w:val="auto"/>
                <w:position w:val="0"/>
                <w:sz w:val="24"/>
                <w:szCs w:val="24"/>
              </w:rPr>
              <w:t>污染物名称</w:t>
            </w:r>
          </w:p>
        </w:tc>
        <w:tc>
          <w:tcPr>
            <w:tcW w:w="2733" w:type="dxa"/>
            <w:gridSpan w:val="2"/>
            <w:tcBorders>
              <w:left w:val="single" w:color="auto" w:sz="4" w:space="0"/>
            </w:tcBorders>
            <w:vAlign w:val="center"/>
          </w:tcPr>
          <w:p>
            <w:pPr>
              <w:jc w:val="center"/>
              <w:rPr>
                <w:color w:val="auto"/>
                <w:sz w:val="24"/>
              </w:rPr>
            </w:pPr>
            <w:r>
              <w:rPr>
                <w:color w:val="auto"/>
                <w:sz w:val="24"/>
              </w:rPr>
              <w:t>处理前产生浓度及</w:t>
            </w:r>
          </w:p>
          <w:p>
            <w:pPr>
              <w:jc w:val="center"/>
              <w:rPr>
                <w:color w:val="auto"/>
                <w:sz w:val="24"/>
              </w:rPr>
            </w:pPr>
            <w:r>
              <w:rPr>
                <w:color w:val="auto"/>
                <w:sz w:val="24"/>
              </w:rPr>
              <w:t>产生量(单位)</w:t>
            </w:r>
          </w:p>
        </w:tc>
        <w:tc>
          <w:tcPr>
            <w:tcW w:w="2787" w:type="dxa"/>
            <w:gridSpan w:val="2"/>
            <w:vAlign w:val="center"/>
          </w:tcPr>
          <w:p>
            <w:pPr>
              <w:jc w:val="center"/>
              <w:rPr>
                <w:color w:val="auto"/>
                <w:sz w:val="24"/>
              </w:rPr>
            </w:pPr>
            <w:r>
              <w:rPr>
                <w:color w:val="auto"/>
                <w:sz w:val="24"/>
              </w:rPr>
              <w:t>排放浓度及排放量</w:t>
            </w:r>
          </w:p>
          <w:p>
            <w:pPr>
              <w:jc w:val="center"/>
              <w:rPr>
                <w:color w:val="auto"/>
                <w:sz w:val="24"/>
              </w:rPr>
            </w:pPr>
            <w:r>
              <w:rPr>
                <w:color w:val="auto"/>
                <w:sz w:val="24"/>
              </w:rPr>
              <w:t>(单位)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04" w:hRule="atLeast"/>
          <w:jc w:val="center"/>
        </w:trPr>
        <w:tc>
          <w:tcPr>
            <w:tcW w:w="755" w:type="dxa"/>
            <w:vMerge w:val="restart"/>
            <w:tcBorders>
              <w:top w:val="single" w:color="auto" w:sz="4" w:space="0"/>
            </w:tcBorders>
            <w:vAlign w:val="center"/>
          </w:tcPr>
          <w:p>
            <w:pPr>
              <w:jc w:val="center"/>
              <w:rPr>
                <w:color w:val="auto"/>
                <w:sz w:val="24"/>
              </w:rPr>
            </w:pPr>
            <w:r>
              <w:rPr>
                <w:color w:val="auto"/>
                <w:sz w:val="24"/>
              </w:rPr>
              <w:t>大</w:t>
            </w:r>
          </w:p>
          <w:p>
            <w:pPr>
              <w:jc w:val="center"/>
              <w:rPr>
                <w:color w:val="auto"/>
                <w:sz w:val="24"/>
              </w:rPr>
            </w:pPr>
            <w:r>
              <w:rPr>
                <w:color w:val="auto"/>
                <w:sz w:val="24"/>
              </w:rPr>
              <w:t>气</w:t>
            </w:r>
          </w:p>
          <w:p>
            <w:pPr>
              <w:jc w:val="center"/>
              <w:rPr>
                <w:color w:val="auto"/>
                <w:sz w:val="24"/>
              </w:rPr>
            </w:pPr>
            <w:r>
              <w:rPr>
                <w:color w:val="auto"/>
                <w:sz w:val="24"/>
              </w:rPr>
              <w:t>污</w:t>
            </w:r>
          </w:p>
          <w:p>
            <w:pPr>
              <w:jc w:val="center"/>
              <w:rPr>
                <w:color w:val="auto"/>
                <w:sz w:val="24"/>
              </w:rPr>
            </w:pPr>
            <w:r>
              <w:rPr>
                <w:color w:val="auto"/>
                <w:sz w:val="24"/>
              </w:rPr>
              <w:t>染</w:t>
            </w:r>
          </w:p>
          <w:p>
            <w:pPr>
              <w:jc w:val="center"/>
              <w:rPr>
                <w:color w:val="auto"/>
                <w:sz w:val="24"/>
              </w:rPr>
            </w:pPr>
            <w:r>
              <w:rPr>
                <w:color w:val="auto"/>
                <w:sz w:val="24"/>
              </w:rPr>
              <w:t>物</w:t>
            </w:r>
          </w:p>
        </w:tc>
        <w:tc>
          <w:tcPr>
            <w:tcW w:w="1766" w:type="dxa"/>
            <w:tcBorders>
              <w:top w:val="single" w:color="auto" w:sz="4" w:space="0"/>
              <w:right w:val="single" w:color="auto" w:sz="4" w:space="0"/>
            </w:tcBorders>
            <w:shd w:val="clear" w:color="auto" w:fill="auto"/>
            <w:vAlign w:val="center"/>
          </w:tcPr>
          <w:p>
            <w:pPr>
              <w:pStyle w:val="56"/>
              <w:rPr>
                <w:rFonts w:ascii="Times New Roman" w:hAnsi="Times New Roman"/>
                <w:color w:val="auto"/>
                <w:kern w:val="2"/>
                <w:szCs w:val="24"/>
              </w:rPr>
            </w:pPr>
            <w:r>
              <w:rPr>
                <w:rFonts w:hint="eastAsia"/>
                <w:color w:val="auto"/>
                <w:szCs w:val="24"/>
              </w:rPr>
              <w:t>混料工序</w:t>
            </w:r>
          </w:p>
        </w:tc>
        <w:tc>
          <w:tcPr>
            <w:tcW w:w="1800" w:type="dxa"/>
            <w:gridSpan w:val="2"/>
            <w:tcBorders>
              <w:top w:val="single" w:color="auto" w:sz="4" w:space="0"/>
              <w:left w:val="single" w:color="auto" w:sz="4" w:space="0"/>
              <w:right w:val="single" w:color="auto" w:sz="4" w:space="0"/>
            </w:tcBorders>
            <w:vAlign w:val="center"/>
          </w:tcPr>
          <w:p>
            <w:pPr>
              <w:pStyle w:val="56"/>
              <w:rPr>
                <w:color w:val="auto"/>
                <w:szCs w:val="24"/>
              </w:rPr>
            </w:pPr>
            <w:r>
              <w:rPr>
                <w:rFonts w:hint="eastAsia"/>
                <w:color w:val="auto"/>
                <w:kern w:val="2"/>
                <w:szCs w:val="24"/>
              </w:rPr>
              <w:t>粉尘</w:t>
            </w:r>
          </w:p>
        </w:tc>
        <w:tc>
          <w:tcPr>
            <w:tcW w:w="2733" w:type="dxa"/>
            <w:gridSpan w:val="2"/>
            <w:tcBorders>
              <w:top w:val="single" w:color="auto" w:sz="4" w:space="0"/>
              <w:left w:val="single" w:color="auto" w:sz="4" w:space="0"/>
              <w:bottom w:val="single" w:color="auto" w:sz="4" w:space="0"/>
              <w:right w:val="single" w:color="auto" w:sz="4" w:space="0"/>
            </w:tcBorders>
            <w:vAlign w:val="center"/>
          </w:tcPr>
          <w:p>
            <w:pPr>
              <w:pStyle w:val="55"/>
              <w:snapToGrid w:val="0"/>
              <w:rPr>
                <w:rFonts w:ascii="Times New Roman" w:hAnsi="Times New Roman"/>
                <w:color w:val="auto"/>
                <w:sz w:val="24"/>
                <w:szCs w:val="24"/>
              </w:rPr>
            </w:pPr>
            <w:r>
              <w:rPr>
                <w:rFonts w:hint="eastAsia" w:ascii="Times New Roman"/>
                <w:color w:val="auto"/>
                <w:sz w:val="24"/>
                <w:szCs w:val="24"/>
              </w:rPr>
              <w:t>0.0769</w:t>
            </w:r>
            <w:r>
              <w:rPr>
                <w:rFonts w:ascii="Times New Roman" w:hAnsi="Times New Roman"/>
                <w:color w:val="auto"/>
                <w:sz w:val="24"/>
                <w:szCs w:val="24"/>
              </w:rPr>
              <w:t>mg/m</w:t>
            </w:r>
            <w:r>
              <w:rPr>
                <w:rFonts w:ascii="Times New Roman" w:hAnsi="Times New Roman"/>
                <w:color w:val="auto"/>
                <w:sz w:val="24"/>
                <w:szCs w:val="24"/>
                <w:vertAlign w:val="superscript"/>
              </w:rPr>
              <w:t>3</w:t>
            </w:r>
            <w:r>
              <w:rPr>
                <w:rFonts w:hint="eastAsia" w:ascii="Times New Roman"/>
                <w:color w:val="auto"/>
                <w:sz w:val="24"/>
                <w:szCs w:val="24"/>
              </w:rPr>
              <w:t>，0.0325</w:t>
            </w:r>
            <w:r>
              <w:rPr>
                <w:rFonts w:hint="eastAsia" w:ascii="Times New Roman" w:hAnsi="Times New Roman"/>
                <w:color w:val="auto"/>
                <w:sz w:val="24"/>
                <w:szCs w:val="24"/>
              </w:rPr>
              <w:t>t</w:t>
            </w:r>
            <w:r>
              <w:rPr>
                <w:rFonts w:ascii="Times New Roman" w:hAnsi="Times New Roman"/>
                <w:color w:val="auto"/>
                <w:sz w:val="24"/>
                <w:szCs w:val="24"/>
              </w:rPr>
              <w:t>/a</w:t>
            </w:r>
          </w:p>
        </w:tc>
        <w:tc>
          <w:tcPr>
            <w:tcW w:w="2787" w:type="dxa"/>
            <w:gridSpan w:val="2"/>
            <w:tcBorders>
              <w:top w:val="single" w:color="auto" w:sz="4" w:space="0"/>
              <w:left w:val="single" w:color="auto" w:sz="4" w:space="0"/>
              <w:bottom w:val="single" w:color="auto" w:sz="4" w:space="0"/>
            </w:tcBorders>
            <w:vAlign w:val="center"/>
          </w:tcPr>
          <w:p>
            <w:pPr>
              <w:pStyle w:val="55"/>
              <w:snapToGrid w:val="0"/>
              <w:rPr>
                <w:rFonts w:ascii="Times New Roman" w:hAnsi="Times New Roman"/>
                <w:color w:val="auto"/>
                <w:sz w:val="24"/>
                <w:szCs w:val="24"/>
              </w:rPr>
            </w:pPr>
            <w:r>
              <w:rPr>
                <w:rFonts w:hint="eastAsia" w:ascii="Times New Roman"/>
                <w:color w:val="auto"/>
                <w:sz w:val="24"/>
                <w:szCs w:val="24"/>
              </w:rPr>
              <w:t>0.0769</w:t>
            </w:r>
            <w:r>
              <w:rPr>
                <w:rFonts w:ascii="Times New Roman" w:hAnsi="Times New Roman"/>
                <w:color w:val="auto"/>
                <w:sz w:val="24"/>
                <w:szCs w:val="24"/>
              </w:rPr>
              <w:t>mg/m</w:t>
            </w:r>
            <w:r>
              <w:rPr>
                <w:rFonts w:ascii="Times New Roman" w:hAnsi="Times New Roman"/>
                <w:color w:val="auto"/>
                <w:sz w:val="24"/>
                <w:szCs w:val="24"/>
                <w:vertAlign w:val="superscript"/>
              </w:rPr>
              <w:t>3</w:t>
            </w:r>
            <w:r>
              <w:rPr>
                <w:rFonts w:hint="eastAsia" w:ascii="Times New Roman"/>
                <w:color w:val="auto"/>
                <w:sz w:val="24"/>
                <w:szCs w:val="24"/>
              </w:rPr>
              <w:t>，0.0325</w:t>
            </w:r>
            <w:r>
              <w:rPr>
                <w:rFonts w:hint="eastAsia" w:ascii="Times New Roman" w:hAnsi="Times New Roman"/>
                <w:color w:val="auto"/>
                <w:sz w:val="24"/>
                <w:szCs w:val="24"/>
              </w:rPr>
              <w:t>t</w:t>
            </w:r>
            <w:r>
              <w:rPr>
                <w:rFonts w:ascii="Times New Roman" w:hAnsi="Times New Roman"/>
                <w:color w:val="auto"/>
                <w:sz w:val="24"/>
                <w:szCs w:val="24"/>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04" w:hRule="atLeast"/>
          <w:jc w:val="center"/>
        </w:trPr>
        <w:tc>
          <w:tcPr>
            <w:tcW w:w="755" w:type="dxa"/>
            <w:vMerge w:val="continue"/>
            <w:vAlign w:val="center"/>
          </w:tcPr>
          <w:p>
            <w:pPr>
              <w:jc w:val="center"/>
              <w:rPr>
                <w:color w:val="auto"/>
                <w:sz w:val="24"/>
              </w:rPr>
            </w:pPr>
          </w:p>
        </w:tc>
        <w:tc>
          <w:tcPr>
            <w:tcW w:w="1766" w:type="dxa"/>
            <w:vMerge w:val="restart"/>
            <w:tcBorders>
              <w:top w:val="single" w:color="auto" w:sz="4" w:space="0"/>
              <w:right w:val="single" w:color="auto" w:sz="4" w:space="0"/>
            </w:tcBorders>
            <w:shd w:val="clear" w:color="auto" w:fill="auto"/>
            <w:vAlign w:val="center"/>
          </w:tcPr>
          <w:p>
            <w:pPr>
              <w:pStyle w:val="56"/>
              <w:rPr>
                <w:rFonts w:ascii="Times New Roman" w:hAnsi="Times New Roman"/>
                <w:color w:val="auto"/>
                <w:kern w:val="2"/>
                <w:szCs w:val="24"/>
              </w:rPr>
            </w:pPr>
            <w:r>
              <w:rPr>
                <w:rFonts w:hint="eastAsia" w:ascii="Times New Roman" w:hAnsi="Times New Roman"/>
                <w:color w:val="auto"/>
                <w:kern w:val="2"/>
                <w:szCs w:val="24"/>
              </w:rPr>
              <w:t>造粒、挤出成型</w:t>
            </w:r>
            <w:r>
              <w:rPr>
                <w:rFonts w:ascii="Times New Roman" w:hAnsi="Times New Roman"/>
                <w:color w:val="auto"/>
                <w:kern w:val="2"/>
                <w:szCs w:val="24"/>
              </w:rPr>
              <w:t>工序</w:t>
            </w:r>
            <w:r>
              <w:rPr>
                <w:rFonts w:hint="eastAsia" w:ascii="Times New Roman" w:hAnsi="Times New Roman"/>
                <w:color w:val="auto"/>
                <w:kern w:val="2"/>
                <w:szCs w:val="24"/>
              </w:rPr>
              <w:t>8600</w:t>
            </w:r>
            <w:r>
              <w:rPr>
                <w:rFonts w:ascii="Times New Roman" w:hAnsi="Times New Roman"/>
                <w:color w:val="auto"/>
                <w:kern w:val="2"/>
                <w:szCs w:val="24"/>
              </w:rPr>
              <w:t>m</w:t>
            </w:r>
            <w:r>
              <w:rPr>
                <w:rFonts w:ascii="Times New Roman" w:hAnsi="Times New Roman"/>
                <w:color w:val="auto"/>
                <w:kern w:val="2"/>
                <w:szCs w:val="24"/>
                <w:vertAlign w:val="superscript"/>
              </w:rPr>
              <w:t>3</w:t>
            </w:r>
            <w:r>
              <w:rPr>
                <w:rFonts w:ascii="Times New Roman" w:hAnsi="Times New Roman"/>
                <w:color w:val="auto"/>
                <w:kern w:val="2"/>
                <w:szCs w:val="24"/>
              </w:rPr>
              <w:t>/h</w:t>
            </w:r>
          </w:p>
        </w:tc>
        <w:tc>
          <w:tcPr>
            <w:tcW w:w="1800" w:type="dxa"/>
            <w:gridSpan w:val="2"/>
            <w:tcBorders>
              <w:top w:val="single" w:color="auto" w:sz="4" w:space="0"/>
              <w:left w:val="single" w:color="auto" w:sz="4" w:space="0"/>
              <w:right w:val="single" w:color="auto" w:sz="4" w:space="0"/>
            </w:tcBorders>
            <w:vAlign w:val="center"/>
          </w:tcPr>
          <w:p>
            <w:pPr>
              <w:pStyle w:val="55"/>
              <w:snapToGrid w:val="0"/>
              <w:rPr>
                <w:rFonts w:hint="eastAsia" w:ascii="Times New Roman" w:hAnsi="Times New Roman"/>
                <w:color w:val="auto"/>
                <w:sz w:val="24"/>
                <w:szCs w:val="24"/>
                <w:lang w:eastAsia="zh-CN"/>
              </w:rPr>
            </w:pPr>
            <w:r>
              <w:rPr>
                <w:rFonts w:hint="eastAsia" w:ascii="Times New Roman" w:hAnsi="Times New Roman"/>
                <w:color w:val="auto"/>
                <w:sz w:val="24"/>
                <w:szCs w:val="24"/>
                <w:lang w:val="en-US" w:eastAsia="zh-CN"/>
              </w:rPr>
              <w:t>臭气浓度</w:t>
            </w:r>
          </w:p>
        </w:tc>
        <w:tc>
          <w:tcPr>
            <w:tcW w:w="2733" w:type="dxa"/>
            <w:gridSpan w:val="2"/>
            <w:tcBorders>
              <w:top w:val="single" w:color="auto" w:sz="4" w:space="0"/>
              <w:left w:val="single" w:color="auto" w:sz="4" w:space="0"/>
              <w:bottom w:val="single" w:color="auto" w:sz="4" w:space="0"/>
              <w:right w:val="single" w:color="auto" w:sz="4" w:space="0"/>
            </w:tcBorders>
            <w:vAlign w:val="center"/>
          </w:tcPr>
          <w:p>
            <w:pPr>
              <w:pStyle w:val="55"/>
              <w:snapToGrid w:val="0"/>
              <w:rPr>
                <w:rFonts w:hint="eastAsia" w:ascii="Times New Roman" w:hAnsi="Times New Roman"/>
                <w:color w:val="auto"/>
                <w:sz w:val="24"/>
                <w:szCs w:val="24"/>
                <w:lang w:eastAsia="zh-CN"/>
              </w:rPr>
            </w:pPr>
            <w:r>
              <w:rPr>
                <w:rFonts w:hint="eastAsia" w:ascii="Times New Roman" w:hAnsi="Times New Roman"/>
                <w:color w:val="auto"/>
                <w:sz w:val="24"/>
                <w:szCs w:val="24"/>
                <w:lang w:val="en-US" w:eastAsia="zh-CN"/>
              </w:rPr>
              <w:t>&lt;20</w:t>
            </w: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无纲量</w:t>
            </w:r>
            <w:r>
              <w:rPr>
                <w:rFonts w:hint="eastAsia" w:ascii="Times New Roman" w:hAnsi="Times New Roman"/>
                <w:color w:val="auto"/>
                <w:sz w:val="24"/>
                <w:szCs w:val="24"/>
                <w:lang w:eastAsia="zh-CN"/>
              </w:rPr>
              <w:t>）</w:t>
            </w:r>
          </w:p>
        </w:tc>
        <w:tc>
          <w:tcPr>
            <w:tcW w:w="2787" w:type="dxa"/>
            <w:gridSpan w:val="2"/>
            <w:tcBorders>
              <w:top w:val="single" w:color="auto" w:sz="4" w:space="0"/>
              <w:left w:val="single" w:color="auto" w:sz="4" w:space="0"/>
              <w:bottom w:val="single" w:color="auto" w:sz="4" w:space="0"/>
            </w:tcBorders>
            <w:vAlign w:val="center"/>
          </w:tcPr>
          <w:p>
            <w:pPr>
              <w:pStyle w:val="55"/>
              <w:snapToGrid w:val="0"/>
              <w:rPr>
                <w:rFonts w:hint="eastAsia" w:ascii="Times New Roman" w:hAnsi="Times New Roman"/>
                <w:color w:val="auto"/>
                <w:sz w:val="24"/>
                <w:szCs w:val="24"/>
              </w:rPr>
            </w:pPr>
            <w:r>
              <w:rPr>
                <w:rFonts w:hint="eastAsia" w:ascii="Times New Roman" w:hAnsi="Times New Roman"/>
                <w:color w:val="auto"/>
                <w:sz w:val="24"/>
                <w:szCs w:val="24"/>
                <w:lang w:val="en-US" w:eastAsia="zh-CN"/>
              </w:rPr>
              <w:t>&lt;20</w:t>
            </w: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无纲量</w:t>
            </w:r>
            <w:r>
              <w:rPr>
                <w:rFonts w:hint="eastAsia" w:ascii="Times New Roman" w:hAnsi="Times New Roman"/>
                <w:color w:val="auto"/>
                <w:sz w:val="24"/>
                <w:szCs w:val="24"/>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09" w:hRule="atLeast"/>
          <w:jc w:val="center"/>
        </w:trPr>
        <w:tc>
          <w:tcPr>
            <w:tcW w:w="755" w:type="dxa"/>
            <w:vMerge w:val="continue"/>
            <w:vAlign w:val="center"/>
          </w:tcPr>
          <w:p>
            <w:pPr>
              <w:jc w:val="center"/>
              <w:rPr>
                <w:color w:val="auto"/>
                <w:sz w:val="24"/>
              </w:rPr>
            </w:pPr>
          </w:p>
        </w:tc>
        <w:tc>
          <w:tcPr>
            <w:tcW w:w="1766" w:type="dxa"/>
            <w:vMerge w:val="continue"/>
            <w:tcBorders>
              <w:right w:val="single" w:color="auto" w:sz="4" w:space="0"/>
            </w:tcBorders>
            <w:shd w:val="clear" w:color="auto" w:fill="auto"/>
            <w:vAlign w:val="center"/>
          </w:tcPr>
          <w:p>
            <w:pPr>
              <w:pStyle w:val="56"/>
              <w:rPr>
                <w:rFonts w:ascii="Times New Roman" w:hAnsi="Times New Roman"/>
                <w:color w:val="auto"/>
                <w:kern w:val="2"/>
                <w:szCs w:val="24"/>
              </w:rPr>
            </w:pPr>
          </w:p>
        </w:tc>
        <w:tc>
          <w:tcPr>
            <w:tcW w:w="855" w:type="dxa"/>
            <w:vMerge w:val="restart"/>
            <w:tcBorders>
              <w:top w:val="single" w:color="auto" w:sz="4" w:space="0"/>
              <w:left w:val="single" w:color="auto" w:sz="4" w:space="0"/>
              <w:right w:val="single" w:color="auto" w:sz="4" w:space="0"/>
            </w:tcBorders>
            <w:vAlign w:val="center"/>
          </w:tcPr>
          <w:p>
            <w:pPr>
              <w:adjustRightInd w:val="0"/>
              <w:snapToGrid w:val="0"/>
              <w:jc w:val="center"/>
              <w:rPr>
                <w:color w:val="auto"/>
                <w:sz w:val="24"/>
              </w:rPr>
            </w:pPr>
            <w:r>
              <w:rPr>
                <w:color w:val="auto"/>
                <w:sz w:val="24"/>
              </w:rPr>
              <w:t>非甲烷总烃</w:t>
            </w:r>
          </w:p>
        </w:tc>
        <w:tc>
          <w:tcPr>
            <w:tcW w:w="94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sz w:val="24"/>
              </w:rPr>
            </w:pPr>
            <w:r>
              <w:rPr>
                <w:rFonts w:hint="eastAsia"/>
                <w:color w:val="auto"/>
                <w:sz w:val="24"/>
              </w:rPr>
              <w:t>有组织</w:t>
            </w:r>
          </w:p>
        </w:tc>
        <w:tc>
          <w:tcPr>
            <w:tcW w:w="1457" w:type="dxa"/>
            <w:tcBorders>
              <w:top w:val="single" w:color="auto" w:sz="4" w:space="0"/>
              <w:left w:val="single" w:color="auto" w:sz="4" w:space="0"/>
              <w:bottom w:val="single" w:color="auto" w:sz="4" w:space="0"/>
              <w:right w:val="single" w:color="auto" w:sz="4" w:space="0"/>
            </w:tcBorders>
            <w:vAlign w:val="center"/>
          </w:tcPr>
          <w:p>
            <w:pPr>
              <w:pStyle w:val="55"/>
              <w:snapToGrid w:val="0"/>
              <w:rPr>
                <w:rFonts w:ascii="Times New Roman" w:hAnsi="Times New Roman"/>
                <w:color w:val="auto"/>
                <w:sz w:val="24"/>
                <w:szCs w:val="24"/>
              </w:rPr>
            </w:pPr>
            <w:r>
              <w:rPr>
                <w:rFonts w:hint="eastAsia" w:ascii="Times New Roman" w:hAnsi="Times New Roman"/>
                <w:color w:val="auto"/>
                <w:sz w:val="24"/>
                <w:szCs w:val="24"/>
                <w:lang w:val="en-US" w:eastAsia="zh-CN"/>
              </w:rPr>
              <w:t>5.426</w:t>
            </w:r>
            <w:r>
              <w:rPr>
                <w:rFonts w:ascii="Times New Roman" w:hAnsi="Times New Roman"/>
                <w:color w:val="auto"/>
                <w:sz w:val="24"/>
                <w:szCs w:val="24"/>
              </w:rPr>
              <w:t>mg/m</w:t>
            </w:r>
            <w:r>
              <w:rPr>
                <w:rFonts w:ascii="Times New Roman" w:hAnsi="Times New Roman"/>
                <w:color w:val="auto"/>
                <w:sz w:val="24"/>
                <w:szCs w:val="24"/>
                <w:vertAlign w:val="superscript"/>
              </w:rPr>
              <w:t>3</w:t>
            </w:r>
          </w:p>
        </w:tc>
        <w:tc>
          <w:tcPr>
            <w:tcW w:w="1276" w:type="dxa"/>
            <w:tcBorders>
              <w:top w:val="single" w:color="auto" w:sz="4" w:space="0"/>
              <w:left w:val="single" w:color="auto" w:sz="4" w:space="0"/>
              <w:bottom w:val="single" w:color="auto" w:sz="4" w:space="0"/>
              <w:right w:val="single" w:color="auto" w:sz="4" w:space="0"/>
            </w:tcBorders>
            <w:vAlign w:val="center"/>
          </w:tcPr>
          <w:p>
            <w:pPr>
              <w:pStyle w:val="55"/>
              <w:snapToGrid w:val="0"/>
              <w:rPr>
                <w:rFonts w:ascii="Times New Roman" w:hAnsi="Times New Roman"/>
                <w:color w:val="auto"/>
                <w:sz w:val="24"/>
                <w:szCs w:val="24"/>
              </w:rPr>
            </w:pPr>
            <w:r>
              <w:rPr>
                <w:rFonts w:hint="eastAsia" w:ascii="Times New Roman" w:hAnsi="Times New Roman"/>
                <w:color w:val="auto"/>
                <w:sz w:val="24"/>
                <w:szCs w:val="24"/>
                <w:lang w:val="en-US" w:eastAsia="zh-CN"/>
              </w:rPr>
              <w:t>0.112</w:t>
            </w:r>
            <w:r>
              <w:rPr>
                <w:rFonts w:hint="eastAsia" w:ascii="Times New Roman" w:hAnsi="Times New Roman"/>
                <w:color w:val="auto"/>
                <w:sz w:val="24"/>
                <w:szCs w:val="24"/>
              </w:rPr>
              <w:t>t</w:t>
            </w:r>
            <w:r>
              <w:rPr>
                <w:rFonts w:ascii="Times New Roman" w:hAnsi="Times New Roman"/>
                <w:color w:val="auto"/>
                <w:sz w:val="24"/>
                <w:szCs w:val="24"/>
              </w:rPr>
              <w:t>/a</w:t>
            </w:r>
          </w:p>
        </w:tc>
        <w:tc>
          <w:tcPr>
            <w:tcW w:w="1418" w:type="dxa"/>
            <w:tcBorders>
              <w:top w:val="single" w:color="auto" w:sz="4" w:space="0"/>
              <w:left w:val="single" w:color="auto" w:sz="4" w:space="0"/>
              <w:bottom w:val="single" w:color="auto" w:sz="4" w:space="0"/>
            </w:tcBorders>
            <w:vAlign w:val="center"/>
          </w:tcPr>
          <w:p>
            <w:pPr>
              <w:pStyle w:val="55"/>
              <w:snapToGrid w:val="0"/>
              <w:rPr>
                <w:rFonts w:ascii="Times New Roman" w:hAnsi="Times New Roman"/>
                <w:color w:val="auto"/>
                <w:sz w:val="24"/>
                <w:szCs w:val="24"/>
              </w:rPr>
            </w:pPr>
            <w:r>
              <w:rPr>
                <w:rFonts w:hint="eastAsia" w:ascii="Times New Roman" w:hAnsi="Times New Roman"/>
                <w:color w:val="auto"/>
                <w:sz w:val="24"/>
                <w:szCs w:val="24"/>
                <w:lang w:val="en-US" w:eastAsia="zh-CN"/>
              </w:rPr>
              <w:t>1.085</w:t>
            </w:r>
            <w:r>
              <w:rPr>
                <w:rFonts w:ascii="Times New Roman" w:hAnsi="Times New Roman"/>
                <w:color w:val="auto"/>
                <w:sz w:val="24"/>
                <w:szCs w:val="24"/>
              </w:rPr>
              <w:t>mg/m</w:t>
            </w:r>
            <w:r>
              <w:rPr>
                <w:rFonts w:ascii="Times New Roman" w:hAnsi="Times New Roman"/>
                <w:color w:val="auto"/>
                <w:sz w:val="24"/>
                <w:szCs w:val="24"/>
                <w:vertAlign w:val="superscript"/>
              </w:rPr>
              <w:t>3</w:t>
            </w:r>
          </w:p>
        </w:tc>
        <w:tc>
          <w:tcPr>
            <w:tcW w:w="1369" w:type="dxa"/>
            <w:tcBorders>
              <w:top w:val="single" w:color="auto" w:sz="4" w:space="0"/>
              <w:left w:val="single" w:color="auto" w:sz="4" w:space="0"/>
              <w:bottom w:val="single" w:color="auto" w:sz="4" w:space="0"/>
            </w:tcBorders>
            <w:vAlign w:val="center"/>
          </w:tcPr>
          <w:p>
            <w:pPr>
              <w:pStyle w:val="55"/>
              <w:snapToGrid w:val="0"/>
              <w:rPr>
                <w:rFonts w:ascii="Times New Roman" w:hAnsi="Times New Roman"/>
                <w:color w:val="auto"/>
                <w:sz w:val="24"/>
                <w:szCs w:val="24"/>
              </w:rPr>
            </w:pPr>
            <w:r>
              <w:rPr>
                <w:rFonts w:hint="eastAsia" w:ascii="Times New Roman" w:hAnsi="Times New Roman"/>
                <w:color w:val="auto"/>
                <w:sz w:val="24"/>
                <w:szCs w:val="24"/>
                <w:lang w:val="en-US" w:eastAsia="zh-CN"/>
              </w:rPr>
              <w:t>0.022</w:t>
            </w:r>
            <w:r>
              <w:rPr>
                <w:rFonts w:hint="eastAsia" w:ascii="Times New Roman" w:hAnsi="Times New Roman"/>
                <w:color w:val="auto"/>
                <w:sz w:val="24"/>
                <w:szCs w:val="24"/>
              </w:rPr>
              <w:t>t</w:t>
            </w:r>
            <w:r>
              <w:rPr>
                <w:rFonts w:ascii="Times New Roman" w:hAnsi="Times New Roman"/>
                <w:color w:val="auto"/>
                <w:sz w:val="24"/>
                <w:szCs w:val="24"/>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2" w:hRule="atLeast"/>
          <w:jc w:val="center"/>
        </w:trPr>
        <w:tc>
          <w:tcPr>
            <w:tcW w:w="755" w:type="dxa"/>
            <w:vMerge w:val="continue"/>
            <w:vAlign w:val="center"/>
          </w:tcPr>
          <w:p>
            <w:pPr>
              <w:jc w:val="center"/>
              <w:rPr>
                <w:color w:val="auto"/>
                <w:sz w:val="24"/>
              </w:rPr>
            </w:pPr>
          </w:p>
        </w:tc>
        <w:tc>
          <w:tcPr>
            <w:tcW w:w="1766" w:type="dxa"/>
            <w:vMerge w:val="continue"/>
            <w:tcBorders>
              <w:right w:val="single" w:color="auto" w:sz="4" w:space="0"/>
            </w:tcBorders>
            <w:shd w:val="clear" w:color="auto" w:fill="auto"/>
            <w:vAlign w:val="center"/>
          </w:tcPr>
          <w:p>
            <w:pPr>
              <w:pStyle w:val="56"/>
              <w:rPr>
                <w:rFonts w:ascii="Times New Roman" w:hAnsi="Times New Roman"/>
                <w:color w:val="auto"/>
                <w:kern w:val="2"/>
                <w:szCs w:val="24"/>
              </w:rPr>
            </w:pPr>
          </w:p>
        </w:tc>
        <w:tc>
          <w:tcPr>
            <w:tcW w:w="855" w:type="dxa"/>
            <w:vMerge w:val="continue"/>
            <w:tcBorders>
              <w:left w:val="single" w:color="auto" w:sz="4" w:space="0"/>
              <w:right w:val="single" w:color="auto" w:sz="4" w:space="0"/>
            </w:tcBorders>
            <w:vAlign w:val="center"/>
          </w:tcPr>
          <w:p>
            <w:pPr>
              <w:adjustRightInd w:val="0"/>
              <w:snapToGrid w:val="0"/>
              <w:jc w:val="center"/>
              <w:rPr>
                <w:color w:val="auto"/>
                <w:sz w:val="24"/>
              </w:rPr>
            </w:pPr>
          </w:p>
        </w:tc>
        <w:tc>
          <w:tcPr>
            <w:tcW w:w="94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color w:val="auto"/>
                <w:sz w:val="24"/>
              </w:rPr>
            </w:pPr>
            <w:r>
              <w:rPr>
                <w:rFonts w:hint="eastAsia"/>
                <w:color w:val="auto"/>
                <w:sz w:val="24"/>
              </w:rPr>
              <w:t>无组织</w:t>
            </w:r>
          </w:p>
        </w:tc>
        <w:tc>
          <w:tcPr>
            <w:tcW w:w="1457" w:type="dxa"/>
            <w:tcBorders>
              <w:top w:val="single" w:color="auto" w:sz="4" w:space="0"/>
              <w:left w:val="single" w:color="auto" w:sz="4" w:space="0"/>
              <w:bottom w:val="single" w:color="auto" w:sz="4" w:space="0"/>
              <w:right w:val="single" w:color="auto" w:sz="4" w:space="0"/>
            </w:tcBorders>
            <w:vAlign w:val="center"/>
          </w:tcPr>
          <w:p>
            <w:pPr>
              <w:pStyle w:val="55"/>
              <w:snapToGrid w:val="0"/>
              <w:rPr>
                <w:rFonts w:ascii="Times New Roman" w:hAnsi="Times New Roman"/>
                <w:color w:val="auto"/>
                <w:sz w:val="24"/>
                <w:szCs w:val="24"/>
              </w:rPr>
            </w:pPr>
            <w:r>
              <w:rPr>
                <w:rFonts w:hint="eastAsia" w:ascii="Times New Roman" w:hAnsi="Times New Roman"/>
                <w:color w:val="auto"/>
                <w:sz w:val="24"/>
                <w:szCs w:val="24"/>
              </w:rPr>
              <w:t>——</w:t>
            </w:r>
          </w:p>
        </w:tc>
        <w:tc>
          <w:tcPr>
            <w:tcW w:w="1276" w:type="dxa"/>
            <w:tcBorders>
              <w:top w:val="single" w:color="auto" w:sz="4" w:space="0"/>
              <w:left w:val="single" w:color="auto" w:sz="4" w:space="0"/>
              <w:bottom w:val="single" w:color="auto" w:sz="4" w:space="0"/>
              <w:right w:val="single" w:color="auto" w:sz="4" w:space="0"/>
            </w:tcBorders>
            <w:vAlign w:val="center"/>
          </w:tcPr>
          <w:p>
            <w:pPr>
              <w:pStyle w:val="55"/>
              <w:snapToGrid w:val="0"/>
              <w:rPr>
                <w:rFonts w:ascii="Times New Roman" w:hAnsi="Times New Roman"/>
                <w:color w:val="auto"/>
                <w:sz w:val="24"/>
                <w:szCs w:val="24"/>
              </w:rPr>
            </w:pPr>
            <w:r>
              <w:rPr>
                <w:rFonts w:hint="eastAsia" w:ascii="Times New Roman" w:hAnsi="Times New Roman"/>
                <w:color w:val="auto"/>
                <w:sz w:val="24"/>
                <w:szCs w:val="24"/>
                <w:lang w:val="en-US" w:eastAsia="zh-CN"/>
              </w:rPr>
              <w:t>0.028</w:t>
            </w:r>
            <w:r>
              <w:rPr>
                <w:rFonts w:hint="eastAsia" w:ascii="Times New Roman" w:hAnsi="Times New Roman"/>
                <w:color w:val="auto"/>
                <w:sz w:val="24"/>
                <w:szCs w:val="24"/>
              </w:rPr>
              <w:t>t</w:t>
            </w:r>
            <w:r>
              <w:rPr>
                <w:rFonts w:ascii="Times New Roman" w:hAnsi="Times New Roman"/>
                <w:color w:val="auto"/>
                <w:sz w:val="24"/>
                <w:szCs w:val="24"/>
              </w:rPr>
              <w:t>/a</w:t>
            </w:r>
          </w:p>
        </w:tc>
        <w:tc>
          <w:tcPr>
            <w:tcW w:w="1418" w:type="dxa"/>
            <w:tcBorders>
              <w:top w:val="single" w:color="auto" w:sz="4" w:space="0"/>
              <w:left w:val="single" w:color="auto" w:sz="4" w:space="0"/>
              <w:bottom w:val="single" w:color="auto" w:sz="4" w:space="0"/>
            </w:tcBorders>
            <w:vAlign w:val="center"/>
          </w:tcPr>
          <w:p>
            <w:pPr>
              <w:pStyle w:val="55"/>
              <w:snapToGrid w:val="0"/>
              <w:rPr>
                <w:rFonts w:ascii="Times New Roman" w:hAnsi="Times New Roman"/>
                <w:color w:val="auto"/>
                <w:sz w:val="24"/>
                <w:szCs w:val="24"/>
              </w:rPr>
            </w:pPr>
            <w:r>
              <w:rPr>
                <w:rFonts w:hint="eastAsia" w:ascii="Times New Roman" w:hAnsi="Times New Roman"/>
                <w:color w:val="auto"/>
                <w:sz w:val="24"/>
                <w:szCs w:val="24"/>
              </w:rPr>
              <w:t>——</w:t>
            </w:r>
          </w:p>
        </w:tc>
        <w:tc>
          <w:tcPr>
            <w:tcW w:w="1369" w:type="dxa"/>
            <w:tcBorders>
              <w:top w:val="single" w:color="auto" w:sz="4" w:space="0"/>
              <w:left w:val="single" w:color="auto" w:sz="4" w:space="0"/>
              <w:bottom w:val="single" w:color="auto" w:sz="4" w:space="0"/>
            </w:tcBorders>
            <w:vAlign w:val="center"/>
          </w:tcPr>
          <w:p>
            <w:pPr>
              <w:pStyle w:val="55"/>
              <w:snapToGrid w:val="0"/>
              <w:rPr>
                <w:rFonts w:ascii="Times New Roman" w:hAnsi="Times New Roman"/>
                <w:color w:val="auto"/>
                <w:sz w:val="24"/>
                <w:szCs w:val="24"/>
              </w:rPr>
            </w:pPr>
            <w:r>
              <w:rPr>
                <w:rFonts w:hint="eastAsia" w:ascii="Times New Roman" w:hAnsi="Times New Roman"/>
                <w:color w:val="auto"/>
                <w:sz w:val="24"/>
                <w:szCs w:val="24"/>
                <w:lang w:val="en-US" w:eastAsia="zh-CN"/>
              </w:rPr>
              <w:t>0.028</w:t>
            </w:r>
            <w:r>
              <w:rPr>
                <w:rFonts w:hint="eastAsia" w:ascii="Times New Roman" w:hAnsi="Times New Roman"/>
                <w:color w:val="auto"/>
                <w:sz w:val="24"/>
                <w:szCs w:val="24"/>
              </w:rPr>
              <w:t>t</w:t>
            </w:r>
            <w:r>
              <w:rPr>
                <w:rFonts w:ascii="Times New Roman" w:hAnsi="Times New Roman"/>
                <w:color w:val="auto"/>
                <w:sz w:val="24"/>
                <w:szCs w:val="24"/>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restart"/>
            <w:tcBorders>
              <w:top w:val="single" w:color="auto" w:sz="4" w:space="0"/>
            </w:tcBorders>
            <w:vAlign w:val="center"/>
          </w:tcPr>
          <w:p>
            <w:pPr>
              <w:jc w:val="center"/>
              <w:rPr>
                <w:color w:val="auto"/>
                <w:sz w:val="24"/>
              </w:rPr>
            </w:pPr>
            <w:r>
              <w:rPr>
                <w:color w:val="auto"/>
                <w:sz w:val="24"/>
              </w:rPr>
              <w:t>水</w:t>
            </w:r>
          </w:p>
          <w:p>
            <w:pPr>
              <w:jc w:val="center"/>
              <w:rPr>
                <w:color w:val="auto"/>
                <w:sz w:val="24"/>
              </w:rPr>
            </w:pPr>
            <w:r>
              <w:rPr>
                <w:color w:val="auto"/>
                <w:sz w:val="24"/>
              </w:rPr>
              <w:t>污</w:t>
            </w:r>
          </w:p>
          <w:p>
            <w:pPr>
              <w:jc w:val="center"/>
              <w:rPr>
                <w:color w:val="auto"/>
                <w:sz w:val="24"/>
              </w:rPr>
            </w:pPr>
            <w:r>
              <w:rPr>
                <w:color w:val="auto"/>
                <w:sz w:val="24"/>
              </w:rPr>
              <w:t>染</w:t>
            </w:r>
          </w:p>
          <w:p>
            <w:pPr>
              <w:jc w:val="center"/>
              <w:rPr>
                <w:color w:val="auto"/>
                <w:sz w:val="24"/>
              </w:rPr>
            </w:pPr>
            <w:r>
              <w:rPr>
                <w:color w:val="auto"/>
                <w:sz w:val="24"/>
              </w:rPr>
              <w:t>物</w:t>
            </w:r>
          </w:p>
        </w:tc>
        <w:tc>
          <w:tcPr>
            <w:tcW w:w="1766" w:type="dxa"/>
            <w:vMerge w:val="restart"/>
            <w:tcBorders>
              <w:top w:val="single" w:color="auto" w:sz="4" w:space="0"/>
              <w:right w:val="single" w:color="auto" w:sz="4" w:space="0"/>
            </w:tcBorders>
            <w:vAlign w:val="center"/>
          </w:tcPr>
          <w:p>
            <w:pPr>
              <w:jc w:val="center"/>
              <w:rPr>
                <w:color w:val="auto"/>
                <w:sz w:val="24"/>
              </w:rPr>
            </w:pPr>
            <w:r>
              <w:rPr>
                <w:rFonts w:hint="eastAsia"/>
                <w:color w:val="auto"/>
                <w:sz w:val="24"/>
                <w:lang w:eastAsia="zh-CN"/>
              </w:rPr>
              <w:t>冷却废水和</w:t>
            </w:r>
            <w:r>
              <w:rPr>
                <w:color w:val="auto"/>
                <w:sz w:val="24"/>
              </w:rPr>
              <w:t>生活污水</w:t>
            </w:r>
          </w:p>
          <w:p>
            <w:pPr>
              <w:jc w:val="center"/>
              <w:rPr>
                <w:color w:val="auto"/>
                <w:sz w:val="24"/>
              </w:rPr>
            </w:pPr>
            <w:r>
              <w:rPr>
                <w:color w:val="auto"/>
                <w:sz w:val="24"/>
              </w:rPr>
              <w:t>（</w:t>
            </w:r>
            <w:r>
              <w:rPr>
                <w:rFonts w:hint="eastAsia"/>
                <w:color w:val="auto"/>
                <w:sz w:val="24"/>
                <w:lang w:val="en-US" w:eastAsia="zh-CN"/>
              </w:rPr>
              <w:t>170</w:t>
            </w:r>
            <w:r>
              <w:rPr>
                <w:color w:val="auto"/>
                <w:sz w:val="24"/>
              </w:rPr>
              <w:t>t/a）</w:t>
            </w:r>
          </w:p>
        </w:tc>
        <w:tc>
          <w:tcPr>
            <w:tcW w:w="1800" w:type="dxa"/>
            <w:gridSpan w:val="2"/>
            <w:tcBorders>
              <w:top w:val="single" w:color="auto" w:sz="4" w:space="0"/>
              <w:left w:val="single" w:color="auto" w:sz="4" w:space="0"/>
              <w:bottom w:val="single" w:color="auto" w:sz="4" w:space="0"/>
              <w:right w:val="single" w:color="auto" w:sz="4" w:space="0"/>
            </w:tcBorders>
            <w:vAlign w:val="center"/>
          </w:tcPr>
          <w:p>
            <w:pPr>
              <w:pStyle w:val="55"/>
              <w:rPr>
                <w:rFonts w:ascii="Times New Roman" w:hAnsi="Times New Roman"/>
                <w:color w:val="auto"/>
                <w:position w:val="0"/>
                <w:sz w:val="24"/>
                <w:szCs w:val="24"/>
              </w:rPr>
            </w:pPr>
            <w:r>
              <w:rPr>
                <w:rFonts w:ascii="Times New Roman" w:hAnsi="Times New Roman"/>
                <w:color w:val="auto"/>
                <w:position w:val="0"/>
                <w:sz w:val="24"/>
                <w:szCs w:val="24"/>
              </w:rPr>
              <w:t>CODc</w:t>
            </w:r>
            <w:r>
              <w:rPr>
                <w:rFonts w:ascii="Times New Roman" w:hAnsi="Times New Roman"/>
                <w:color w:val="auto"/>
                <w:position w:val="0"/>
                <w:sz w:val="24"/>
                <w:szCs w:val="24"/>
                <w:vertAlign w:val="subscript"/>
              </w:rPr>
              <w:t>r</w:t>
            </w:r>
          </w:p>
        </w:tc>
        <w:tc>
          <w:tcPr>
            <w:tcW w:w="1457" w:type="dxa"/>
            <w:tcBorders>
              <w:top w:val="single" w:color="auto" w:sz="4" w:space="0"/>
              <w:left w:val="single" w:color="auto" w:sz="4" w:space="0"/>
              <w:bottom w:val="single" w:color="auto" w:sz="4" w:space="0"/>
              <w:right w:val="single" w:color="auto" w:sz="4" w:space="0"/>
            </w:tcBorders>
            <w:vAlign w:val="center"/>
          </w:tcPr>
          <w:p>
            <w:pPr>
              <w:jc w:val="center"/>
              <w:rPr>
                <w:color w:val="auto"/>
                <w:sz w:val="24"/>
              </w:rPr>
            </w:pPr>
            <w:r>
              <w:rPr>
                <w:color w:val="auto"/>
                <w:sz w:val="24"/>
              </w:rPr>
              <w:t>250</w:t>
            </w:r>
            <w:r>
              <w:rPr>
                <w:bCs/>
                <w:color w:val="auto"/>
                <w:kern w:val="0"/>
                <w:sz w:val="24"/>
              </w:rPr>
              <w:t>mg/L</w:t>
            </w: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color w:val="auto"/>
                <w:kern w:val="24"/>
                <w:sz w:val="24"/>
                <w:szCs w:val="24"/>
              </w:rPr>
            </w:pPr>
            <w:r>
              <w:rPr>
                <w:rFonts w:hint="default" w:ascii="Times New Roman" w:hAnsi="Times New Roman" w:eastAsia="宋体" w:cs="Times New Roman"/>
                <w:i w:val="0"/>
                <w:color w:val="auto"/>
                <w:kern w:val="0"/>
                <w:sz w:val="24"/>
                <w:szCs w:val="24"/>
                <w:u w:val="none"/>
                <w:lang w:val="en-US" w:eastAsia="zh-CN" w:bidi="ar"/>
              </w:rPr>
              <w:t>0.034</w:t>
            </w:r>
            <w:r>
              <w:rPr>
                <w:rFonts w:ascii="Times New Roman" w:hAnsi="Times New Roman"/>
                <w:color w:val="auto"/>
                <w:position w:val="0"/>
                <w:sz w:val="24"/>
                <w:szCs w:val="24"/>
              </w:rPr>
              <w:t>t/a</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24"/>
                <w:sz w:val="24"/>
              </w:rPr>
            </w:pPr>
            <w:r>
              <w:rPr>
                <w:color w:val="auto"/>
                <w:kern w:val="0"/>
                <w:sz w:val="24"/>
              </w:rPr>
              <w:t>200mg/L</w:t>
            </w:r>
          </w:p>
        </w:tc>
        <w:tc>
          <w:tcPr>
            <w:tcW w:w="1369" w:type="dxa"/>
            <w:tcBorders>
              <w:top w:val="single" w:color="auto" w:sz="4" w:space="0"/>
              <w:left w:val="single" w:color="auto" w:sz="4" w:space="0"/>
              <w:bottom w:val="single" w:color="auto" w:sz="4" w:space="0"/>
            </w:tcBorders>
            <w:vAlign w:val="center"/>
          </w:tcPr>
          <w:p>
            <w:pPr>
              <w:keepNext w:val="0"/>
              <w:keepLines w:val="0"/>
              <w:widowControl/>
              <w:suppressLineNumbers w:val="0"/>
              <w:jc w:val="center"/>
              <w:textAlignment w:val="center"/>
              <w:rPr>
                <w:color w:val="auto"/>
                <w:kern w:val="24"/>
                <w:sz w:val="24"/>
                <w:szCs w:val="24"/>
              </w:rPr>
            </w:pPr>
            <w:r>
              <w:rPr>
                <w:rFonts w:hint="default" w:ascii="Times New Roman" w:hAnsi="Times New Roman" w:eastAsia="宋体" w:cs="Times New Roman"/>
                <w:i w:val="0"/>
                <w:color w:val="auto"/>
                <w:kern w:val="0"/>
                <w:sz w:val="24"/>
                <w:szCs w:val="24"/>
                <w:u w:val="none"/>
                <w:lang w:val="en-US" w:eastAsia="zh-CN" w:bidi="ar"/>
              </w:rPr>
              <w:t>0.034</w:t>
            </w:r>
            <w:r>
              <w:rPr>
                <w:rFonts w:ascii="Times New Roman" w:hAnsi="Times New Roman"/>
                <w:color w:val="auto"/>
                <w:position w:val="0"/>
                <w:sz w:val="24"/>
                <w:szCs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vMerge w:val="continue"/>
            <w:tcBorders>
              <w:right w:val="single" w:color="auto" w:sz="4" w:space="0"/>
            </w:tcBorders>
            <w:vAlign w:val="center"/>
          </w:tcPr>
          <w:p>
            <w:pPr>
              <w:pStyle w:val="41"/>
              <w:jc w:val="center"/>
              <w:rPr>
                <w:rFonts w:ascii="Times New Roman" w:hAnsi="Times New Roman" w:cs="Times New Roman"/>
                <w:color w:val="auto"/>
              </w:rPr>
            </w:pPr>
          </w:p>
        </w:tc>
        <w:tc>
          <w:tcPr>
            <w:tcW w:w="1800" w:type="dxa"/>
            <w:gridSpan w:val="2"/>
            <w:tcBorders>
              <w:top w:val="single" w:color="auto" w:sz="4" w:space="0"/>
              <w:left w:val="single" w:color="auto" w:sz="4" w:space="0"/>
              <w:bottom w:val="single" w:color="auto" w:sz="4" w:space="0"/>
              <w:right w:val="single" w:color="auto" w:sz="4" w:space="0"/>
            </w:tcBorders>
            <w:vAlign w:val="center"/>
          </w:tcPr>
          <w:p>
            <w:pPr>
              <w:pStyle w:val="55"/>
              <w:rPr>
                <w:rFonts w:ascii="Times New Roman" w:hAnsi="Times New Roman"/>
                <w:color w:val="auto"/>
                <w:position w:val="0"/>
                <w:sz w:val="24"/>
                <w:szCs w:val="24"/>
              </w:rPr>
            </w:pPr>
            <w:r>
              <w:rPr>
                <w:rFonts w:ascii="Times New Roman" w:hAnsi="Times New Roman"/>
                <w:color w:val="auto"/>
                <w:position w:val="0"/>
                <w:sz w:val="24"/>
                <w:szCs w:val="24"/>
              </w:rPr>
              <w:t>BOD</w:t>
            </w:r>
            <w:r>
              <w:rPr>
                <w:rFonts w:ascii="Times New Roman" w:hAnsi="Times New Roman"/>
                <w:color w:val="auto"/>
                <w:position w:val="0"/>
                <w:sz w:val="24"/>
                <w:szCs w:val="24"/>
                <w:vertAlign w:val="subscript"/>
              </w:rPr>
              <w:t>5</w:t>
            </w:r>
          </w:p>
        </w:tc>
        <w:tc>
          <w:tcPr>
            <w:tcW w:w="1457" w:type="dxa"/>
            <w:tcBorders>
              <w:top w:val="single" w:color="auto" w:sz="4" w:space="0"/>
              <w:left w:val="single" w:color="auto" w:sz="4" w:space="0"/>
              <w:bottom w:val="single" w:color="auto" w:sz="4" w:space="0"/>
              <w:right w:val="single" w:color="auto" w:sz="4" w:space="0"/>
            </w:tcBorders>
            <w:vAlign w:val="center"/>
          </w:tcPr>
          <w:p>
            <w:pPr>
              <w:jc w:val="center"/>
              <w:rPr>
                <w:color w:val="auto"/>
                <w:sz w:val="24"/>
              </w:rPr>
            </w:pPr>
            <w:r>
              <w:rPr>
                <w:color w:val="auto"/>
                <w:sz w:val="24"/>
              </w:rPr>
              <w:t>150</w:t>
            </w:r>
            <w:r>
              <w:rPr>
                <w:bCs/>
                <w:color w:val="auto"/>
                <w:kern w:val="0"/>
                <w:sz w:val="24"/>
              </w:rPr>
              <w:t>mg/L</w:t>
            </w: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color w:val="auto"/>
                <w:kern w:val="24"/>
                <w:sz w:val="24"/>
                <w:szCs w:val="24"/>
              </w:rPr>
            </w:pPr>
            <w:r>
              <w:rPr>
                <w:rFonts w:hint="default" w:ascii="Times New Roman" w:hAnsi="Times New Roman" w:eastAsia="宋体" w:cs="Times New Roman"/>
                <w:i w:val="0"/>
                <w:color w:val="auto"/>
                <w:kern w:val="0"/>
                <w:sz w:val="24"/>
                <w:szCs w:val="24"/>
                <w:u w:val="none"/>
                <w:lang w:val="en-US" w:eastAsia="zh-CN" w:bidi="ar"/>
              </w:rPr>
              <w:t>0.026</w:t>
            </w:r>
            <w:r>
              <w:rPr>
                <w:rFonts w:ascii="Times New Roman" w:hAnsi="Times New Roman"/>
                <w:color w:val="auto"/>
                <w:position w:val="0"/>
                <w:sz w:val="24"/>
                <w:szCs w:val="24"/>
              </w:rPr>
              <w:t>t/a</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24"/>
                <w:sz w:val="24"/>
              </w:rPr>
            </w:pPr>
            <w:r>
              <w:rPr>
                <w:color w:val="auto"/>
                <w:kern w:val="0"/>
                <w:sz w:val="24"/>
              </w:rPr>
              <w:t>120mg/L</w:t>
            </w:r>
          </w:p>
        </w:tc>
        <w:tc>
          <w:tcPr>
            <w:tcW w:w="1369" w:type="dxa"/>
            <w:tcBorders>
              <w:top w:val="single" w:color="auto" w:sz="4" w:space="0"/>
              <w:left w:val="single" w:color="auto" w:sz="4" w:space="0"/>
              <w:bottom w:val="single" w:color="auto" w:sz="4" w:space="0"/>
            </w:tcBorders>
            <w:vAlign w:val="center"/>
          </w:tcPr>
          <w:p>
            <w:pPr>
              <w:keepNext w:val="0"/>
              <w:keepLines w:val="0"/>
              <w:widowControl/>
              <w:suppressLineNumbers w:val="0"/>
              <w:jc w:val="center"/>
              <w:textAlignment w:val="center"/>
              <w:rPr>
                <w:color w:val="auto"/>
                <w:kern w:val="24"/>
                <w:sz w:val="24"/>
                <w:szCs w:val="24"/>
              </w:rPr>
            </w:pPr>
            <w:r>
              <w:rPr>
                <w:rFonts w:hint="default" w:ascii="Times New Roman" w:hAnsi="Times New Roman" w:eastAsia="宋体" w:cs="Times New Roman"/>
                <w:i w:val="0"/>
                <w:color w:val="auto"/>
                <w:kern w:val="0"/>
                <w:sz w:val="24"/>
                <w:szCs w:val="24"/>
                <w:u w:val="none"/>
                <w:lang w:val="en-US" w:eastAsia="zh-CN" w:bidi="ar"/>
              </w:rPr>
              <w:t>0.020</w:t>
            </w:r>
            <w:r>
              <w:rPr>
                <w:rFonts w:ascii="Times New Roman" w:hAnsi="Times New Roman"/>
                <w:color w:val="auto"/>
                <w:position w:val="0"/>
                <w:sz w:val="24"/>
                <w:szCs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vMerge w:val="continue"/>
            <w:tcBorders>
              <w:right w:val="single" w:color="auto" w:sz="4" w:space="0"/>
            </w:tcBorders>
            <w:vAlign w:val="center"/>
          </w:tcPr>
          <w:p>
            <w:pPr>
              <w:pStyle w:val="41"/>
              <w:jc w:val="center"/>
              <w:rPr>
                <w:rFonts w:ascii="Times New Roman" w:hAnsi="Times New Roman" w:cs="Times New Roman"/>
                <w:color w:val="auto"/>
              </w:rPr>
            </w:pPr>
          </w:p>
        </w:tc>
        <w:tc>
          <w:tcPr>
            <w:tcW w:w="1800" w:type="dxa"/>
            <w:gridSpan w:val="2"/>
            <w:tcBorders>
              <w:top w:val="single" w:color="auto" w:sz="4" w:space="0"/>
              <w:left w:val="single" w:color="auto" w:sz="4" w:space="0"/>
              <w:bottom w:val="single" w:color="auto" w:sz="4" w:space="0"/>
              <w:right w:val="single" w:color="auto" w:sz="4" w:space="0"/>
            </w:tcBorders>
            <w:vAlign w:val="center"/>
          </w:tcPr>
          <w:p>
            <w:pPr>
              <w:pStyle w:val="55"/>
              <w:rPr>
                <w:rFonts w:ascii="Times New Roman" w:hAnsi="Times New Roman"/>
                <w:color w:val="auto"/>
                <w:position w:val="0"/>
                <w:sz w:val="24"/>
                <w:szCs w:val="24"/>
              </w:rPr>
            </w:pPr>
            <w:r>
              <w:rPr>
                <w:rFonts w:ascii="Times New Roman" w:hAnsi="Times New Roman"/>
                <w:color w:val="auto"/>
                <w:position w:val="0"/>
                <w:sz w:val="24"/>
                <w:szCs w:val="24"/>
              </w:rPr>
              <w:t>SS</w:t>
            </w:r>
          </w:p>
        </w:tc>
        <w:tc>
          <w:tcPr>
            <w:tcW w:w="1457" w:type="dxa"/>
            <w:tcBorders>
              <w:top w:val="single" w:color="auto" w:sz="4" w:space="0"/>
              <w:left w:val="single" w:color="auto" w:sz="4" w:space="0"/>
              <w:bottom w:val="single" w:color="auto" w:sz="4" w:space="0"/>
              <w:right w:val="single" w:color="auto" w:sz="4" w:space="0"/>
            </w:tcBorders>
            <w:vAlign w:val="center"/>
          </w:tcPr>
          <w:p>
            <w:pPr>
              <w:jc w:val="center"/>
              <w:rPr>
                <w:color w:val="auto"/>
                <w:sz w:val="24"/>
              </w:rPr>
            </w:pPr>
            <w:r>
              <w:rPr>
                <w:color w:val="auto"/>
                <w:sz w:val="24"/>
              </w:rPr>
              <w:t>150</w:t>
            </w:r>
            <w:r>
              <w:rPr>
                <w:bCs/>
                <w:color w:val="auto"/>
                <w:kern w:val="0"/>
                <w:sz w:val="24"/>
              </w:rPr>
              <w:t>mg/L</w:t>
            </w: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color w:val="auto"/>
                <w:kern w:val="24"/>
                <w:sz w:val="24"/>
                <w:szCs w:val="24"/>
              </w:rPr>
            </w:pPr>
            <w:r>
              <w:rPr>
                <w:rFonts w:hint="default" w:ascii="Times New Roman" w:hAnsi="Times New Roman" w:eastAsia="宋体" w:cs="Times New Roman"/>
                <w:i w:val="0"/>
                <w:color w:val="auto"/>
                <w:kern w:val="0"/>
                <w:sz w:val="24"/>
                <w:szCs w:val="24"/>
                <w:u w:val="none"/>
                <w:lang w:val="en-US" w:eastAsia="zh-CN" w:bidi="ar"/>
              </w:rPr>
              <w:t>0.026</w:t>
            </w:r>
            <w:r>
              <w:rPr>
                <w:rFonts w:ascii="Times New Roman" w:hAnsi="Times New Roman"/>
                <w:color w:val="auto"/>
                <w:position w:val="0"/>
                <w:sz w:val="24"/>
                <w:szCs w:val="24"/>
              </w:rPr>
              <w:t>t/a</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24"/>
                <w:sz w:val="24"/>
              </w:rPr>
            </w:pPr>
            <w:r>
              <w:rPr>
                <w:color w:val="auto"/>
                <w:kern w:val="0"/>
                <w:sz w:val="24"/>
              </w:rPr>
              <w:t>120mg/L</w:t>
            </w:r>
          </w:p>
        </w:tc>
        <w:tc>
          <w:tcPr>
            <w:tcW w:w="1369" w:type="dxa"/>
            <w:tcBorders>
              <w:top w:val="single" w:color="auto" w:sz="4" w:space="0"/>
              <w:left w:val="single" w:color="auto" w:sz="4" w:space="0"/>
              <w:bottom w:val="single" w:color="auto" w:sz="4" w:space="0"/>
            </w:tcBorders>
            <w:vAlign w:val="center"/>
          </w:tcPr>
          <w:p>
            <w:pPr>
              <w:keepNext w:val="0"/>
              <w:keepLines w:val="0"/>
              <w:widowControl/>
              <w:suppressLineNumbers w:val="0"/>
              <w:jc w:val="center"/>
              <w:textAlignment w:val="center"/>
              <w:rPr>
                <w:color w:val="auto"/>
                <w:kern w:val="24"/>
                <w:sz w:val="24"/>
                <w:szCs w:val="24"/>
              </w:rPr>
            </w:pPr>
            <w:r>
              <w:rPr>
                <w:rFonts w:hint="default" w:ascii="Times New Roman" w:hAnsi="Times New Roman" w:eastAsia="宋体" w:cs="Times New Roman"/>
                <w:i w:val="0"/>
                <w:color w:val="auto"/>
                <w:kern w:val="0"/>
                <w:sz w:val="24"/>
                <w:szCs w:val="24"/>
                <w:u w:val="none"/>
                <w:lang w:val="en-US" w:eastAsia="zh-CN" w:bidi="ar"/>
              </w:rPr>
              <w:t>0.020</w:t>
            </w:r>
            <w:r>
              <w:rPr>
                <w:rFonts w:ascii="Times New Roman" w:hAnsi="Times New Roman"/>
                <w:color w:val="auto"/>
                <w:position w:val="0"/>
                <w:sz w:val="24"/>
                <w:szCs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vMerge w:val="continue"/>
            <w:tcBorders>
              <w:right w:val="single" w:color="auto" w:sz="4" w:space="0"/>
            </w:tcBorders>
            <w:vAlign w:val="center"/>
          </w:tcPr>
          <w:p>
            <w:pPr>
              <w:pStyle w:val="41"/>
              <w:jc w:val="center"/>
              <w:rPr>
                <w:rFonts w:ascii="Times New Roman" w:hAnsi="Times New Roman" w:cs="Times New Roman"/>
                <w:color w:val="auto"/>
              </w:rPr>
            </w:pPr>
          </w:p>
        </w:tc>
        <w:tc>
          <w:tcPr>
            <w:tcW w:w="1800" w:type="dxa"/>
            <w:gridSpan w:val="2"/>
            <w:tcBorders>
              <w:top w:val="single" w:color="auto" w:sz="4" w:space="0"/>
              <w:left w:val="single" w:color="auto" w:sz="4" w:space="0"/>
              <w:bottom w:val="single" w:color="auto" w:sz="4" w:space="0"/>
              <w:right w:val="single" w:color="auto" w:sz="4" w:space="0"/>
            </w:tcBorders>
            <w:vAlign w:val="center"/>
          </w:tcPr>
          <w:p>
            <w:pPr>
              <w:pStyle w:val="55"/>
              <w:rPr>
                <w:rFonts w:ascii="Times New Roman" w:hAnsi="Times New Roman"/>
                <w:color w:val="auto"/>
                <w:position w:val="0"/>
                <w:sz w:val="24"/>
                <w:szCs w:val="24"/>
              </w:rPr>
            </w:pPr>
            <w:r>
              <w:rPr>
                <w:rFonts w:ascii="Times New Roman" w:hAnsi="Times New Roman"/>
                <w:color w:val="auto"/>
                <w:position w:val="0"/>
                <w:sz w:val="24"/>
                <w:szCs w:val="24"/>
              </w:rPr>
              <w:t>NH</w:t>
            </w:r>
            <w:r>
              <w:rPr>
                <w:rFonts w:ascii="Times New Roman" w:hAnsi="Times New Roman"/>
                <w:color w:val="auto"/>
                <w:position w:val="0"/>
                <w:sz w:val="24"/>
                <w:szCs w:val="24"/>
                <w:vertAlign w:val="subscript"/>
              </w:rPr>
              <w:t>3</w:t>
            </w:r>
            <w:r>
              <w:rPr>
                <w:rFonts w:ascii="Times New Roman" w:hAnsi="Times New Roman"/>
                <w:color w:val="auto"/>
                <w:position w:val="0"/>
                <w:sz w:val="24"/>
                <w:szCs w:val="24"/>
              </w:rPr>
              <w:t>-N</w:t>
            </w:r>
          </w:p>
        </w:tc>
        <w:tc>
          <w:tcPr>
            <w:tcW w:w="1457" w:type="dxa"/>
            <w:tcBorders>
              <w:top w:val="single" w:color="auto" w:sz="4" w:space="0"/>
              <w:left w:val="single" w:color="auto" w:sz="4" w:space="0"/>
              <w:bottom w:val="single" w:color="auto" w:sz="4" w:space="0"/>
              <w:right w:val="single" w:color="auto" w:sz="4" w:space="0"/>
            </w:tcBorders>
            <w:vAlign w:val="center"/>
          </w:tcPr>
          <w:p>
            <w:pPr>
              <w:jc w:val="center"/>
              <w:rPr>
                <w:color w:val="auto"/>
                <w:sz w:val="24"/>
              </w:rPr>
            </w:pPr>
            <w:r>
              <w:rPr>
                <w:color w:val="auto"/>
                <w:sz w:val="24"/>
              </w:rPr>
              <w:t>25</w:t>
            </w:r>
            <w:r>
              <w:rPr>
                <w:bCs/>
                <w:color w:val="auto"/>
                <w:kern w:val="0"/>
                <w:sz w:val="24"/>
              </w:rPr>
              <w:t>mg/L</w:t>
            </w: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color w:val="auto"/>
                <w:kern w:val="24"/>
                <w:sz w:val="24"/>
                <w:szCs w:val="24"/>
              </w:rPr>
            </w:pPr>
            <w:r>
              <w:rPr>
                <w:rFonts w:hint="default" w:ascii="Times New Roman" w:hAnsi="Times New Roman" w:eastAsia="宋体" w:cs="Times New Roman"/>
                <w:i w:val="0"/>
                <w:color w:val="auto"/>
                <w:kern w:val="0"/>
                <w:sz w:val="24"/>
                <w:szCs w:val="24"/>
                <w:u w:val="none"/>
                <w:lang w:val="en-US" w:eastAsia="zh-CN" w:bidi="ar"/>
              </w:rPr>
              <w:t>0.004</w:t>
            </w:r>
            <w:r>
              <w:rPr>
                <w:rFonts w:ascii="Times New Roman" w:hAnsi="Times New Roman"/>
                <w:color w:val="auto"/>
                <w:position w:val="0"/>
                <w:sz w:val="24"/>
                <w:szCs w:val="24"/>
              </w:rPr>
              <w:t>t/a</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jc w:val="center"/>
              <w:rPr>
                <w:color w:val="auto"/>
                <w:kern w:val="24"/>
                <w:sz w:val="24"/>
              </w:rPr>
            </w:pPr>
            <w:r>
              <w:rPr>
                <w:color w:val="auto"/>
                <w:kern w:val="0"/>
                <w:sz w:val="24"/>
              </w:rPr>
              <w:t>20mg/L</w:t>
            </w:r>
          </w:p>
        </w:tc>
        <w:tc>
          <w:tcPr>
            <w:tcW w:w="1369" w:type="dxa"/>
            <w:tcBorders>
              <w:top w:val="single" w:color="auto" w:sz="4" w:space="0"/>
              <w:left w:val="single" w:color="auto" w:sz="4" w:space="0"/>
              <w:bottom w:val="single" w:color="auto" w:sz="4" w:space="0"/>
            </w:tcBorders>
            <w:vAlign w:val="center"/>
          </w:tcPr>
          <w:p>
            <w:pPr>
              <w:keepNext w:val="0"/>
              <w:keepLines w:val="0"/>
              <w:widowControl/>
              <w:suppressLineNumbers w:val="0"/>
              <w:jc w:val="center"/>
              <w:textAlignment w:val="center"/>
              <w:rPr>
                <w:color w:val="auto"/>
                <w:kern w:val="24"/>
                <w:sz w:val="24"/>
                <w:szCs w:val="24"/>
              </w:rPr>
            </w:pPr>
            <w:r>
              <w:rPr>
                <w:rFonts w:hint="default" w:ascii="Times New Roman" w:hAnsi="Times New Roman" w:eastAsia="宋体" w:cs="Times New Roman"/>
                <w:i w:val="0"/>
                <w:color w:val="auto"/>
                <w:kern w:val="0"/>
                <w:sz w:val="24"/>
                <w:szCs w:val="24"/>
                <w:u w:val="none"/>
                <w:lang w:val="en-US" w:eastAsia="zh-CN" w:bidi="ar"/>
              </w:rPr>
              <w:t>0.003</w:t>
            </w:r>
            <w:r>
              <w:rPr>
                <w:rFonts w:ascii="Times New Roman" w:hAnsi="Times New Roman"/>
                <w:color w:val="auto"/>
                <w:position w:val="0"/>
                <w:sz w:val="24"/>
                <w:szCs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restart"/>
            <w:tcBorders>
              <w:top w:val="single" w:color="auto" w:sz="4" w:space="0"/>
              <w:bottom w:val="single" w:color="auto" w:sz="4" w:space="0"/>
            </w:tcBorders>
            <w:vAlign w:val="center"/>
          </w:tcPr>
          <w:p>
            <w:pPr>
              <w:jc w:val="center"/>
              <w:rPr>
                <w:color w:val="auto"/>
                <w:sz w:val="24"/>
              </w:rPr>
            </w:pPr>
            <w:r>
              <w:rPr>
                <w:color w:val="auto"/>
                <w:sz w:val="24"/>
              </w:rPr>
              <w:t>固</w:t>
            </w:r>
          </w:p>
          <w:p>
            <w:pPr>
              <w:jc w:val="center"/>
              <w:rPr>
                <w:color w:val="auto"/>
                <w:sz w:val="24"/>
              </w:rPr>
            </w:pPr>
            <w:r>
              <w:rPr>
                <w:color w:val="auto"/>
                <w:sz w:val="24"/>
              </w:rPr>
              <w:t>体</w:t>
            </w:r>
          </w:p>
          <w:p>
            <w:pPr>
              <w:jc w:val="center"/>
              <w:rPr>
                <w:color w:val="auto"/>
                <w:sz w:val="24"/>
              </w:rPr>
            </w:pPr>
            <w:r>
              <w:rPr>
                <w:color w:val="auto"/>
                <w:sz w:val="24"/>
              </w:rPr>
              <w:t>废</w:t>
            </w:r>
          </w:p>
          <w:p>
            <w:pPr>
              <w:jc w:val="center"/>
              <w:rPr>
                <w:color w:val="auto"/>
                <w:sz w:val="24"/>
              </w:rPr>
            </w:pPr>
            <w:r>
              <w:rPr>
                <w:color w:val="auto"/>
                <w:sz w:val="24"/>
              </w:rPr>
              <w:t>物</w:t>
            </w:r>
          </w:p>
        </w:tc>
        <w:tc>
          <w:tcPr>
            <w:tcW w:w="1766" w:type="dxa"/>
            <w:tcBorders>
              <w:top w:val="single" w:color="auto" w:sz="8" w:space="0"/>
            </w:tcBorders>
            <w:vAlign w:val="center"/>
          </w:tcPr>
          <w:p>
            <w:pPr>
              <w:jc w:val="center"/>
              <w:rPr>
                <w:color w:val="auto"/>
                <w:sz w:val="24"/>
              </w:rPr>
            </w:pPr>
            <w:r>
              <w:rPr>
                <w:color w:val="auto"/>
                <w:sz w:val="24"/>
              </w:rPr>
              <w:t>生活垃圾</w:t>
            </w:r>
          </w:p>
        </w:tc>
        <w:tc>
          <w:tcPr>
            <w:tcW w:w="1800" w:type="dxa"/>
            <w:gridSpan w:val="2"/>
            <w:tcBorders>
              <w:top w:val="single" w:color="auto" w:sz="8" w:space="0"/>
              <w:bottom w:val="single" w:color="auto" w:sz="4" w:space="0"/>
            </w:tcBorders>
            <w:vAlign w:val="center"/>
          </w:tcPr>
          <w:p>
            <w:pPr>
              <w:jc w:val="center"/>
              <w:rPr>
                <w:color w:val="auto"/>
                <w:sz w:val="24"/>
              </w:rPr>
            </w:pPr>
            <w:r>
              <w:rPr>
                <w:color w:val="auto"/>
                <w:sz w:val="24"/>
              </w:rPr>
              <w:t>生活垃圾</w:t>
            </w:r>
          </w:p>
        </w:tc>
        <w:tc>
          <w:tcPr>
            <w:tcW w:w="2733" w:type="dxa"/>
            <w:gridSpan w:val="2"/>
            <w:tcBorders>
              <w:top w:val="single" w:color="auto" w:sz="8" w:space="0"/>
              <w:bottom w:val="single" w:color="auto" w:sz="4" w:space="0"/>
            </w:tcBorders>
            <w:vAlign w:val="center"/>
          </w:tcPr>
          <w:p>
            <w:pPr>
              <w:pStyle w:val="55"/>
              <w:rPr>
                <w:rFonts w:ascii="Times New Roman" w:hAnsi="Times New Roman"/>
                <w:color w:val="auto"/>
                <w:position w:val="0"/>
                <w:sz w:val="24"/>
                <w:szCs w:val="24"/>
              </w:rPr>
            </w:pPr>
            <w:r>
              <w:rPr>
                <w:rFonts w:hint="eastAsia" w:ascii="Times New Roman" w:hAnsi="Times New Roman"/>
                <w:color w:val="auto"/>
                <w:position w:val="0"/>
                <w:sz w:val="24"/>
                <w:szCs w:val="24"/>
              </w:rPr>
              <w:t>2.25</w:t>
            </w:r>
            <w:r>
              <w:rPr>
                <w:rFonts w:ascii="Times New Roman" w:hAnsi="Times New Roman"/>
                <w:color w:val="auto"/>
                <w:position w:val="0"/>
                <w:sz w:val="24"/>
                <w:szCs w:val="24"/>
              </w:rPr>
              <w:t>t/a</w:t>
            </w:r>
          </w:p>
        </w:tc>
        <w:tc>
          <w:tcPr>
            <w:tcW w:w="2787" w:type="dxa"/>
            <w:gridSpan w:val="2"/>
            <w:tcBorders>
              <w:top w:val="single" w:color="auto" w:sz="8" w:space="0"/>
              <w:bottom w:val="single" w:color="auto" w:sz="4" w:space="0"/>
            </w:tcBorders>
            <w:vAlign w:val="center"/>
          </w:tcPr>
          <w:p>
            <w:pPr>
              <w:jc w:val="center"/>
              <w:rPr>
                <w:color w:val="auto"/>
                <w:sz w:val="24"/>
              </w:rPr>
            </w:pPr>
            <w:r>
              <w:rPr>
                <w:color w:val="auto"/>
                <w:sz w:val="24"/>
              </w:rPr>
              <w:t>分类收集后交予环卫部门处理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27"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vMerge w:val="restart"/>
            <w:tcBorders>
              <w:top w:val="single" w:color="auto" w:sz="8" w:space="0"/>
            </w:tcBorders>
            <w:vAlign w:val="center"/>
          </w:tcPr>
          <w:p>
            <w:pPr>
              <w:jc w:val="center"/>
              <w:rPr>
                <w:color w:val="auto"/>
                <w:sz w:val="24"/>
              </w:rPr>
            </w:pPr>
            <w:r>
              <w:rPr>
                <w:color w:val="auto"/>
                <w:sz w:val="24"/>
              </w:rPr>
              <w:t>一般</w:t>
            </w:r>
            <w:r>
              <w:rPr>
                <w:rFonts w:hint="eastAsia"/>
                <w:color w:val="auto"/>
                <w:sz w:val="24"/>
              </w:rPr>
              <w:t>工业固废</w:t>
            </w:r>
          </w:p>
        </w:tc>
        <w:tc>
          <w:tcPr>
            <w:tcW w:w="1800" w:type="dxa"/>
            <w:gridSpan w:val="2"/>
            <w:tcBorders>
              <w:top w:val="single" w:color="auto" w:sz="8" w:space="0"/>
              <w:bottom w:val="single" w:color="auto" w:sz="4" w:space="0"/>
            </w:tcBorders>
            <w:vAlign w:val="center"/>
          </w:tcPr>
          <w:p>
            <w:pPr>
              <w:pStyle w:val="132"/>
              <w:rPr>
                <w:color w:val="auto"/>
                <w:sz w:val="24"/>
              </w:rPr>
            </w:pPr>
            <w:r>
              <w:rPr>
                <w:rFonts w:hint="eastAsia"/>
                <w:color w:val="auto"/>
                <w:spacing w:val="-2"/>
                <w:sz w:val="24"/>
              </w:rPr>
              <w:t>边角料</w:t>
            </w:r>
          </w:p>
        </w:tc>
        <w:tc>
          <w:tcPr>
            <w:tcW w:w="2733" w:type="dxa"/>
            <w:gridSpan w:val="2"/>
            <w:tcBorders>
              <w:top w:val="single" w:color="auto" w:sz="8" w:space="0"/>
              <w:bottom w:val="single" w:color="auto" w:sz="4" w:space="0"/>
            </w:tcBorders>
            <w:vAlign w:val="center"/>
          </w:tcPr>
          <w:p>
            <w:pPr>
              <w:pStyle w:val="55"/>
              <w:rPr>
                <w:rFonts w:ascii="Times New Roman" w:hAnsi="Times New Roman"/>
                <w:color w:val="auto"/>
                <w:position w:val="0"/>
                <w:sz w:val="24"/>
                <w:szCs w:val="24"/>
              </w:rPr>
            </w:pPr>
            <w:r>
              <w:rPr>
                <w:rFonts w:hint="eastAsia" w:ascii="Times New Roman" w:hAnsi="Times New Roman"/>
                <w:color w:val="auto"/>
                <w:position w:val="0"/>
                <w:sz w:val="24"/>
                <w:szCs w:val="24"/>
                <w:lang w:val="en-US" w:eastAsia="zh-CN"/>
              </w:rPr>
              <w:t>2</w:t>
            </w:r>
            <w:r>
              <w:rPr>
                <w:rFonts w:ascii="Times New Roman" w:hAnsi="Times New Roman"/>
                <w:color w:val="auto"/>
                <w:position w:val="0"/>
                <w:sz w:val="24"/>
                <w:szCs w:val="24"/>
              </w:rPr>
              <w:t>t/a</w:t>
            </w:r>
          </w:p>
        </w:tc>
        <w:tc>
          <w:tcPr>
            <w:tcW w:w="2787" w:type="dxa"/>
            <w:gridSpan w:val="2"/>
            <w:vMerge w:val="restart"/>
            <w:tcBorders>
              <w:top w:val="single" w:color="auto" w:sz="8" w:space="0"/>
            </w:tcBorders>
            <w:vAlign w:val="center"/>
          </w:tcPr>
          <w:p>
            <w:pPr>
              <w:jc w:val="center"/>
              <w:rPr>
                <w:color w:val="auto"/>
                <w:sz w:val="24"/>
              </w:rPr>
            </w:pPr>
            <w:r>
              <w:rPr>
                <w:color w:val="auto"/>
                <w:sz w:val="24"/>
              </w:rPr>
              <w:t>交专业公司回收处理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5"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vMerge w:val="continue"/>
            <w:vAlign w:val="center"/>
          </w:tcPr>
          <w:p>
            <w:pPr>
              <w:jc w:val="center"/>
              <w:rPr>
                <w:color w:val="auto"/>
                <w:sz w:val="24"/>
              </w:rPr>
            </w:pPr>
          </w:p>
        </w:tc>
        <w:tc>
          <w:tcPr>
            <w:tcW w:w="1800" w:type="dxa"/>
            <w:gridSpan w:val="2"/>
            <w:tcBorders>
              <w:top w:val="single" w:color="auto" w:sz="4" w:space="0"/>
              <w:bottom w:val="single" w:color="auto" w:sz="4" w:space="0"/>
            </w:tcBorders>
            <w:vAlign w:val="center"/>
          </w:tcPr>
          <w:p>
            <w:pPr>
              <w:pStyle w:val="132"/>
              <w:rPr>
                <w:rFonts w:hint="eastAsia"/>
                <w:color w:val="auto"/>
                <w:spacing w:val="-2"/>
                <w:sz w:val="24"/>
              </w:rPr>
            </w:pPr>
            <w:r>
              <w:rPr>
                <w:rFonts w:hint="eastAsia"/>
                <w:color w:val="auto"/>
                <w:spacing w:val="-2"/>
                <w:sz w:val="24"/>
              </w:rPr>
              <w:t>不合格品</w:t>
            </w:r>
          </w:p>
        </w:tc>
        <w:tc>
          <w:tcPr>
            <w:tcW w:w="2733" w:type="dxa"/>
            <w:gridSpan w:val="2"/>
            <w:tcBorders>
              <w:top w:val="single" w:color="auto" w:sz="4" w:space="0"/>
              <w:bottom w:val="single" w:color="auto" w:sz="4" w:space="0"/>
            </w:tcBorders>
            <w:vAlign w:val="center"/>
          </w:tcPr>
          <w:p>
            <w:pPr>
              <w:pStyle w:val="55"/>
              <w:rPr>
                <w:rFonts w:hint="eastAsia" w:ascii="Times New Roman" w:hAnsi="Times New Roman"/>
                <w:color w:val="auto"/>
                <w:position w:val="0"/>
                <w:sz w:val="24"/>
                <w:szCs w:val="24"/>
              </w:rPr>
            </w:pPr>
            <w:r>
              <w:rPr>
                <w:rFonts w:hint="eastAsia" w:ascii="Times New Roman" w:hAnsi="Times New Roman"/>
                <w:color w:val="auto"/>
                <w:position w:val="0"/>
                <w:sz w:val="24"/>
                <w:szCs w:val="24"/>
                <w:lang w:val="en-US" w:eastAsia="zh-CN"/>
              </w:rPr>
              <w:t>3</w:t>
            </w:r>
            <w:r>
              <w:rPr>
                <w:rFonts w:ascii="Times New Roman" w:hAnsi="Times New Roman"/>
                <w:color w:val="auto"/>
                <w:position w:val="0"/>
                <w:sz w:val="24"/>
                <w:szCs w:val="24"/>
              </w:rPr>
              <w:t>t/a</w:t>
            </w:r>
          </w:p>
        </w:tc>
        <w:tc>
          <w:tcPr>
            <w:tcW w:w="2787" w:type="dxa"/>
            <w:gridSpan w:val="2"/>
            <w:vMerge w:val="continue"/>
            <w:vAlign w:val="center"/>
          </w:tcPr>
          <w:p>
            <w:pPr>
              <w:jc w:val="center"/>
              <w:rPr>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30"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vMerge w:val="continue"/>
            <w:vAlign w:val="center"/>
          </w:tcPr>
          <w:p>
            <w:pPr>
              <w:jc w:val="center"/>
              <w:rPr>
                <w:color w:val="auto"/>
                <w:sz w:val="24"/>
              </w:rPr>
            </w:pPr>
          </w:p>
        </w:tc>
        <w:tc>
          <w:tcPr>
            <w:tcW w:w="1800" w:type="dxa"/>
            <w:gridSpan w:val="2"/>
            <w:tcBorders>
              <w:top w:val="single" w:color="auto" w:sz="4" w:space="0"/>
              <w:bottom w:val="single" w:color="auto" w:sz="4" w:space="0"/>
            </w:tcBorders>
            <w:vAlign w:val="center"/>
          </w:tcPr>
          <w:p>
            <w:pPr>
              <w:pStyle w:val="132"/>
              <w:rPr>
                <w:rFonts w:hint="eastAsia"/>
                <w:color w:val="auto"/>
                <w:spacing w:val="-2"/>
                <w:sz w:val="24"/>
              </w:rPr>
            </w:pPr>
            <w:r>
              <w:rPr>
                <w:rFonts w:hint="eastAsia"/>
                <w:color w:val="auto"/>
                <w:spacing w:val="-2"/>
                <w:sz w:val="24"/>
              </w:rPr>
              <w:t>废包装材料</w:t>
            </w:r>
          </w:p>
        </w:tc>
        <w:tc>
          <w:tcPr>
            <w:tcW w:w="2733" w:type="dxa"/>
            <w:gridSpan w:val="2"/>
            <w:tcBorders>
              <w:top w:val="single" w:color="auto" w:sz="4" w:space="0"/>
              <w:bottom w:val="single" w:color="auto" w:sz="4" w:space="0"/>
            </w:tcBorders>
            <w:vAlign w:val="center"/>
          </w:tcPr>
          <w:p>
            <w:pPr>
              <w:pStyle w:val="55"/>
              <w:rPr>
                <w:rFonts w:hint="eastAsia" w:ascii="Times New Roman" w:hAnsi="Times New Roman"/>
                <w:color w:val="auto"/>
                <w:position w:val="0"/>
                <w:sz w:val="24"/>
                <w:szCs w:val="24"/>
              </w:rPr>
            </w:pPr>
            <w:r>
              <w:rPr>
                <w:rFonts w:hint="eastAsia" w:ascii="Times New Roman" w:hAnsi="Times New Roman"/>
                <w:color w:val="auto"/>
                <w:position w:val="0"/>
                <w:sz w:val="24"/>
                <w:szCs w:val="24"/>
                <w:lang w:val="en-US" w:eastAsia="zh-CN"/>
              </w:rPr>
              <w:t>0.3</w:t>
            </w:r>
            <w:r>
              <w:rPr>
                <w:rFonts w:ascii="Times New Roman" w:hAnsi="Times New Roman"/>
                <w:color w:val="auto"/>
                <w:position w:val="0"/>
                <w:sz w:val="24"/>
                <w:szCs w:val="24"/>
              </w:rPr>
              <w:t>t/a</w:t>
            </w:r>
          </w:p>
        </w:tc>
        <w:tc>
          <w:tcPr>
            <w:tcW w:w="2787" w:type="dxa"/>
            <w:gridSpan w:val="2"/>
            <w:vMerge w:val="continue"/>
            <w:tcBorders>
              <w:bottom w:val="single" w:color="auto" w:sz="4" w:space="0"/>
            </w:tcBorders>
            <w:vAlign w:val="center"/>
          </w:tcPr>
          <w:p>
            <w:pPr>
              <w:jc w:val="center"/>
              <w:rPr>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31"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tcBorders>
              <w:top w:val="single" w:color="auto" w:sz="8" w:space="0"/>
            </w:tcBorders>
            <w:vAlign w:val="center"/>
          </w:tcPr>
          <w:p>
            <w:pPr>
              <w:jc w:val="center"/>
              <w:rPr>
                <w:color w:val="auto"/>
                <w:sz w:val="24"/>
              </w:rPr>
            </w:pPr>
            <w:r>
              <w:rPr>
                <w:rFonts w:hint="eastAsia"/>
                <w:color w:val="auto"/>
                <w:sz w:val="24"/>
              </w:rPr>
              <w:t>中转物</w:t>
            </w:r>
          </w:p>
        </w:tc>
        <w:tc>
          <w:tcPr>
            <w:tcW w:w="1800" w:type="dxa"/>
            <w:gridSpan w:val="2"/>
            <w:tcBorders>
              <w:top w:val="single" w:color="auto" w:sz="8" w:space="0"/>
              <w:bottom w:val="single" w:color="auto" w:sz="4" w:space="0"/>
            </w:tcBorders>
            <w:vAlign w:val="center"/>
          </w:tcPr>
          <w:p>
            <w:pPr>
              <w:pStyle w:val="132"/>
              <w:rPr>
                <w:color w:val="auto"/>
                <w:spacing w:val="-2"/>
                <w:sz w:val="24"/>
              </w:rPr>
            </w:pPr>
            <w:r>
              <w:rPr>
                <w:rFonts w:hint="eastAsia"/>
                <w:color w:val="auto"/>
                <w:sz w:val="24"/>
              </w:rPr>
              <w:t>增塑剂包装桶</w:t>
            </w:r>
          </w:p>
        </w:tc>
        <w:tc>
          <w:tcPr>
            <w:tcW w:w="2733" w:type="dxa"/>
            <w:gridSpan w:val="2"/>
            <w:tcBorders>
              <w:top w:val="single" w:color="auto" w:sz="8" w:space="0"/>
              <w:bottom w:val="single" w:color="auto" w:sz="4" w:space="0"/>
            </w:tcBorders>
            <w:vAlign w:val="center"/>
          </w:tcPr>
          <w:p>
            <w:pPr>
              <w:pStyle w:val="55"/>
              <w:rPr>
                <w:rFonts w:ascii="Times New Roman" w:hAnsi="Times New Roman"/>
                <w:color w:val="auto"/>
                <w:position w:val="0"/>
                <w:sz w:val="24"/>
                <w:szCs w:val="24"/>
              </w:rPr>
            </w:pPr>
            <w:r>
              <w:rPr>
                <w:rFonts w:hint="eastAsia" w:ascii="Times New Roman" w:hAnsi="Times New Roman"/>
                <w:color w:val="auto"/>
                <w:position w:val="0"/>
                <w:sz w:val="24"/>
                <w:szCs w:val="24"/>
              </w:rPr>
              <w:t>1</w:t>
            </w:r>
            <w:r>
              <w:rPr>
                <w:rFonts w:ascii="Times New Roman" w:hAnsi="Times New Roman"/>
                <w:color w:val="auto"/>
                <w:position w:val="0"/>
                <w:sz w:val="24"/>
                <w:szCs w:val="24"/>
              </w:rPr>
              <w:t>t/a</w:t>
            </w:r>
          </w:p>
        </w:tc>
        <w:tc>
          <w:tcPr>
            <w:tcW w:w="2787" w:type="dxa"/>
            <w:gridSpan w:val="2"/>
            <w:tcBorders>
              <w:top w:val="single" w:color="auto" w:sz="8" w:space="0"/>
              <w:bottom w:val="single" w:color="auto" w:sz="4" w:space="0"/>
            </w:tcBorders>
            <w:vAlign w:val="center"/>
          </w:tcPr>
          <w:p>
            <w:pPr>
              <w:jc w:val="center"/>
              <w:rPr>
                <w:rFonts w:hint="eastAsia" w:eastAsia="宋体"/>
                <w:color w:val="auto"/>
                <w:sz w:val="24"/>
                <w:lang w:eastAsia="zh-CN"/>
              </w:rPr>
            </w:pPr>
            <w:r>
              <w:rPr>
                <w:rFonts w:hint="eastAsia"/>
                <w:color w:val="auto"/>
                <w:sz w:val="24"/>
              </w:rPr>
              <w:t>交给供应商回用</w:t>
            </w:r>
            <w:r>
              <w:rPr>
                <w:rFonts w:hint="eastAsia"/>
                <w:color w:val="auto"/>
                <w:sz w:val="24"/>
                <w:lang w:eastAsia="zh-CN"/>
              </w:rPr>
              <w:t>，</w:t>
            </w:r>
            <w:r>
              <w:rPr>
                <w:rFonts w:hint="eastAsia"/>
                <w:color w:val="auto"/>
                <w:sz w:val="24"/>
                <w:szCs w:val="24"/>
              </w:rPr>
              <w:t>若供应商不愿回收，则作为危险废物</w:t>
            </w:r>
            <w:r>
              <w:rPr>
                <w:rFonts w:hint="eastAsia"/>
                <w:color w:val="auto"/>
                <w:sz w:val="24"/>
                <w:szCs w:val="24"/>
                <w:lang w:eastAsia="zh-CN"/>
              </w:rPr>
              <w:t>交给有危险废物处置资质单位处置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70"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vMerge w:val="restart"/>
            <w:tcBorders>
              <w:top w:val="single" w:color="auto" w:sz="8" w:space="0"/>
            </w:tcBorders>
            <w:vAlign w:val="center"/>
          </w:tcPr>
          <w:p>
            <w:pPr>
              <w:jc w:val="center"/>
              <w:rPr>
                <w:color w:val="auto"/>
                <w:sz w:val="24"/>
              </w:rPr>
            </w:pPr>
            <w:r>
              <w:rPr>
                <w:color w:val="auto"/>
                <w:sz w:val="24"/>
              </w:rPr>
              <w:t>危险废物</w:t>
            </w:r>
          </w:p>
        </w:tc>
        <w:tc>
          <w:tcPr>
            <w:tcW w:w="1800" w:type="dxa"/>
            <w:gridSpan w:val="2"/>
            <w:tcBorders>
              <w:top w:val="single" w:color="auto" w:sz="8" w:space="0"/>
              <w:bottom w:val="single" w:color="auto" w:sz="4" w:space="0"/>
            </w:tcBorders>
            <w:vAlign w:val="center"/>
          </w:tcPr>
          <w:p>
            <w:pPr>
              <w:jc w:val="center"/>
              <w:rPr>
                <w:rFonts w:hAnsi="宋体"/>
                <w:color w:val="auto"/>
                <w:sz w:val="24"/>
              </w:rPr>
            </w:pPr>
            <w:r>
              <w:rPr>
                <w:rFonts w:hint="eastAsia"/>
                <w:color w:val="auto"/>
                <w:sz w:val="24"/>
              </w:rPr>
              <w:t>废UV灯管</w:t>
            </w:r>
          </w:p>
        </w:tc>
        <w:tc>
          <w:tcPr>
            <w:tcW w:w="2733" w:type="dxa"/>
            <w:gridSpan w:val="2"/>
            <w:tcBorders>
              <w:top w:val="single" w:color="auto" w:sz="8" w:space="0"/>
              <w:bottom w:val="single" w:color="auto" w:sz="4" w:space="0"/>
            </w:tcBorders>
            <w:vAlign w:val="center"/>
          </w:tcPr>
          <w:p>
            <w:pPr>
              <w:topLinePunct/>
              <w:adjustRightInd w:val="0"/>
              <w:snapToGrid w:val="0"/>
              <w:jc w:val="center"/>
              <w:rPr>
                <w:rFonts w:hAnsi="宋体"/>
                <w:color w:val="auto"/>
                <w:sz w:val="24"/>
              </w:rPr>
            </w:pPr>
            <w:r>
              <w:rPr>
                <w:rFonts w:hint="eastAsia"/>
                <w:color w:val="auto"/>
                <w:kern w:val="0"/>
                <w:sz w:val="24"/>
              </w:rPr>
              <w:t>23根</w:t>
            </w:r>
            <w:r>
              <w:rPr>
                <w:color w:val="auto"/>
                <w:kern w:val="0"/>
                <w:sz w:val="24"/>
              </w:rPr>
              <w:t>/</w:t>
            </w:r>
            <w:r>
              <w:rPr>
                <w:rFonts w:hint="eastAsia"/>
                <w:color w:val="auto"/>
                <w:kern w:val="0"/>
                <w:sz w:val="24"/>
              </w:rPr>
              <w:t>a</w:t>
            </w:r>
          </w:p>
        </w:tc>
        <w:tc>
          <w:tcPr>
            <w:tcW w:w="2787" w:type="dxa"/>
            <w:gridSpan w:val="2"/>
            <w:vMerge w:val="restart"/>
            <w:tcBorders>
              <w:top w:val="single" w:color="auto" w:sz="8" w:space="0"/>
            </w:tcBorders>
            <w:vAlign w:val="center"/>
          </w:tcPr>
          <w:p>
            <w:pPr>
              <w:jc w:val="center"/>
              <w:rPr>
                <w:rFonts w:hAnsi="宋体"/>
                <w:color w:val="auto"/>
                <w:sz w:val="24"/>
              </w:rPr>
            </w:pPr>
            <w:r>
              <w:rPr>
                <w:color w:val="auto"/>
                <w:sz w:val="24"/>
              </w:rPr>
              <w:t>交给有危险废物处置资质单位处置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72" w:hRule="atLeast"/>
          <w:jc w:val="center"/>
        </w:trPr>
        <w:tc>
          <w:tcPr>
            <w:tcW w:w="755" w:type="dxa"/>
            <w:vMerge w:val="continue"/>
            <w:tcBorders>
              <w:top w:val="single" w:color="auto" w:sz="4" w:space="0"/>
              <w:bottom w:val="single" w:color="auto" w:sz="4" w:space="0"/>
            </w:tcBorders>
            <w:vAlign w:val="center"/>
          </w:tcPr>
          <w:p>
            <w:pPr>
              <w:jc w:val="center"/>
              <w:rPr>
                <w:color w:val="auto"/>
                <w:sz w:val="24"/>
              </w:rPr>
            </w:pPr>
          </w:p>
        </w:tc>
        <w:tc>
          <w:tcPr>
            <w:tcW w:w="1766" w:type="dxa"/>
            <w:vMerge w:val="continue"/>
            <w:vAlign w:val="center"/>
          </w:tcPr>
          <w:p>
            <w:pPr>
              <w:jc w:val="center"/>
              <w:rPr>
                <w:color w:val="auto"/>
                <w:sz w:val="24"/>
              </w:rPr>
            </w:pPr>
          </w:p>
        </w:tc>
        <w:tc>
          <w:tcPr>
            <w:tcW w:w="1800" w:type="dxa"/>
            <w:gridSpan w:val="2"/>
            <w:tcBorders>
              <w:top w:val="single" w:color="auto" w:sz="4" w:space="0"/>
              <w:bottom w:val="single" w:color="auto" w:sz="4" w:space="0"/>
            </w:tcBorders>
            <w:vAlign w:val="center"/>
          </w:tcPr>
          <w:p>
            <w:pPr>
              <w:jc w:val="center"/>
              <w:rPr>
                <w:color w:val="auto"/>
                <w:sz w:val="24"/>
              </w:rPr>
            </w:pPr>
            <w:r>
              <w:rPr>
                <w:rFonts w:hint="eastAsia"/>
                <w:color w:val="auto"/>
                <w:sz w:val="24"/>
              </w:rPr>
              <w:t>废活性炭</w:t>
            </w:r>
          </w:p>
        </w:tc>
        <w:tc>
          <w:tcPr>
            <w:tcW w:w="2733" w:type="dxa"/>
            <w:gridSpan w:val="2"/>
            <w:tcBorders>
              <w:top w:val="single" w:color="auto" w:sz="4" w:space="0"/>
              <w:bottom w:val="single" w:color="auto" w:sz="4" w:space="0"/>
            </w:tcBorders>
            <w:vAlign w:val="center"/>
          </w:tcPr>
          <w:p>
            <w:pPr>
              <w:topLinePunct/>
              <w:adjustRightInd w:val="0"/>
              <w:snapToGrid w:val="0"/>
              <w:jc w:val="center"/>
              <w:rPr>
                <w:color w:val="auto"/>
                <w:sz w:val="24"/>
              </w:rPr>
            </w:pPr>
            <w:r>
              <w:rPr>
                <w:rFonts w:hint="eastAsia"/>
                <w:color w:val="auto"/>
                <w:kern w:val="0"/>
                <w:sz w:val="24"/>
              </w:rPr>
              <w:t>0.376t</w:t>
            </w:r>
            <w:r>
              <w:rPr>
                <w:color w:val="auto"/>
                <w:kern w:val="0"/>
                <w:sz w:val="24"/>
              </w:rPr>
              <w:t>/</w:t>
            </w:r>
            <w:r>
              <w:rPr>
                <w:rFonts w:hint="eastAsia"/>
                <w:color w:val="auto"/>
                <w:kern w:val="0"/>
                <w:sz w:val="24"/>
              </w:rPr>
              <w:t>a</w:t>
            </w:r>
          </w:p>
        </w:tc>
        <w:tc>
          <w:tcPr>
            <w:tcW w:w="2787" w:type="dxa"/>
            <w:gridSpan w:val="2"/>
            <w:vMerge w:val="continue"/>
            <w:tcBorders>
              <w:bottom w:val="single" w:color="auto" w:sz="4" w:space="0"/>
            </w:tcBorders>
            <w:vAlign w:val="center"/>
          </w:tcPr>
          <w:p>
            <w:pPr>
              <w:jc w:val="center"/>
              <w:rPr>
                <w:color w:val="auto"/>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50" w:hRule="atLeast"/>
          <w:jc w:val="center"/>
        </w:trPr>
        <w:tc>
          <w:tcPr>
            <w:tcW w:w="755" w:type="dxa"/>
            <w:tcBorders>
              <w:top w:val="single" w:color="auto" w:sz="4" w:space="0"/>
            </w:tcBorders>
            <w:vAlign w:val="center"/>
          </w:tcPr>
          <w:p>
            <w:pPr>
              <w:spacing w:line="360" w:lineRule="auto"/>
              <w:jc w:val="center"/>
              <w:rPr>
                <w:color w:val="auto"/>
                <w:sz w:val="24"/>
              </w:rPr>
            </w:pPr>
            <w:r>
              <w:rPr>
                <w:color w:val="auto"/>
                <w:sz w:val="24"/>
              </w:rPr>
              <w:t>噪</w:t>
            </w:r>
          </w:p>
          <w:p>
            <w:pPr>
              <w:spacing w:line="360" w:lineRule="auto"/>
              <w:jc w:val="center"/>
              <w:rPr>
                <w:color w:val="auto"/>
                <w:sz w:val="24"/>
              </w:rPr>
            </w:pPr>
            <w:r>
              <w:rPr>
                <w:color w:val="auto"/>
                <w:sz w:val="24"/>
              </w:rPr>
              <w:t>声</w:t>
            </w:r>
          </w:p>
        </w:tc>
        <w:tc>
          <w:tcPr>
            <w:tcW w:w="9086" w:type="dxa"/>
            <w:gridSpan w:val="7"/>
            <w:tcBorders>
              <w:top w:val="single" w:color="auto" w:sz="4" w:space="0"/>
            </w:tcBorders>
            <w:vAlign w:val="center"/>
          </w:tcPr>
          <w:p>
            <w:pPr>
              <w:jc w:val="left"/>
              <w:rPr>
                <w:color w:val="auto"/>
                <w:sz w:val="24"/>
              </w:rPr>
            </w:pPr>
            <w:r>
              <w:rPr>
                <w:rFonts w:hint="eastAsia"/>
                <w:color w:val="auto"/>
                <w:sz w:val="24"/>
              </w:rPr>
              <w:t>普通加工机械的运行噪声，噪声值约为70～80dB（A）；</w:t>
            </w:r>
            <w:r>
              <w:rPr>
                <w:color w:val="auto"/>
                <w:sz w:val="24"/>
              </w:rPr>
              <w:t>空压机</w:t>
            </w:r>
            <w:r>
              <w:rPr>
                <w:rFonts w:hint="eastAsia"/>
                <w:color w:val="auto"/>
                <w:sz w:val="24"/>
              </w:rPr>
              <w:t>、</w:t>
            </w:r>
            <w:r>
              <w:rPr>
                <w:color w:val="auto"/>
                <w:sz w:val="24"/>
              </w:rPr>
              <w:t>冷却塔的运行噪声，噪声值约为</w:t>
            </w:r>
            <w:r>
              <w:rPr>
                <w:rFonts w:hint="eastAsia"/>
                <w:color w:val="auto"/>
                <w:sz w:val="24"/>
              </w:rPr>
              <w:t>80</w:t>
            </w:r>
            <w:r>
              <w:rPr>
                <w:color w:val="auto"/>
                <w:sz w:val="24"/>
              </w:rPr>
              <w:t>～</w:t>
            </w:r>
            <w:r>
              <w:rPr>
                <w:rFonts w:hint="eastAsia"/>
                <w:color w:val="auto"/>
                <w:sz w:val="24"/>
              </w:rPr>
              <w:t>90</w:t>
            </w:r>
            <w:r>
              <w:rPr>
                <w:color w:val="auto"/>
                <w:sz w:val="24"/>
              </w:rPr>
              <w:t>dB（A）；</w:t>
            </w:r>
            <w:r>
              <w:rPr>
                <w:rFonts w:hint="eastAsia"/>
                <w:color w:val="auto"/>
                <w:sz w:val="24"/>
              </w:rPr>
              <w:t>机械通风所用通风机运行时产生的噪声，其噪声级约为70～75dB（A）。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Align w:val="center"/>
          </w:tcPr>
          <w:p>
            <w:pPr>
              <w:spacing w:line="360" w:lineRule="auto"/>
              <w:jc w:val="center"/>
              <w:rPr>
                <w:color w:val="auto"/>
                <w:sz w:val="24"/>
              </w:rPr>
            </w:pPr>
            <w:r>
              <w:rPr>
                <w:color w:val="auto"/>
                <w:sz w:val="24"/>
              </w:rPr>
              <w:t>其他</w:t>
            </w:r>
          </w:p>
        </w:tc>
        <w:tc>
          <w:tcPr>
            <w:tcW w:w="9086" w:type="dxa"/>
            <w:gridSpan w:val="7"/>
            <w:vAlign w:val="center"/>
          </w:tcPr>
          <w:p>
            <w:pPr>
              <w:pStyle w:val="56"/>
              <w:autoSpaceDE/>
              <w:autoSpaceDN/>
              <w:adjustRightInd/>
              <w:spacing w:line="360" w:lineRule="auto"/>
              <w:textAlignment w:val="auto"/>
              <w:rPr>
                <w:rFonts w:ascii="Times New Roman" w:hAnsi="Times New Roman"/>
                <w:color w:val="auto"/>
                <w:kern w:val="2"/>
                <w:szCs w:val="24"/>
              </w:rPr>
            </w:pPr>
            <w:r>
              <w:rPr>
                <w:rFonts w:hint="eastAsia" w:ascii="Times New Roman" w:hAnsi="Times New Roman"/>
                <w:color w:val="auto"/>
                <w:kern w:val="2"/>
                <w:szCs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9841" w:type="dxa"/>
            <w:gridSpan w:val="8"/>
          </w:tcPr>
          <w:p>
            <w:pPr>
              <w:spacing w:line="360" w:lineRule="auto"/>
              <w:rPr>
                <w:bCs/>
                <w:color w:val="auto"/>
                <w:sz w:val="24"/>
              </w:rPr>
            </w:pPr>
            <w:r>
              <w:rPr>
                <w:bCs/>
                <w:color w:val="auto"/>
                <w:sz w:val="24"/>
              </w:rPr>
              <w:t>主要生态影响(不够时可附另页):</w:t>
            </w:r>
          </w:p>
          <w:p>
            <w:pPr>
              <w:spacing w:line="360" w:lineRule="auto"/>
              <w:ind w:firstLine="480" w:firstLineChars="200"/>
              <w:rPr>
                <w:color w:val="auto"/>
                <w:sz w:val="24"/>
              </w:rPr>
            </w:pPr>
            <w:r>
              <w:rPr>
                <w:color w:val="auto"/>
                <w:sz w:val="24"/>
              </w:rPr>
              <w:t>项目所在厂房</w:t>
            </w:r>
            <w:r>
              <w:rPr>
                <w:rFonts w:hint="eastAsia"/>
                <w:color w:val="auto"/>
                <w:sz w:val="24"/>
              </w:rPr>
              <w:t>已建成</w:t>
            </w:r>
            <w:r>
              <w:rPr>
                <w:color w:val="auto"/>
                <w:sz w:val="24"/>
              </w:rPr>
              <w:t>，本次环境评价不涉及建设期间环境影响评价。在项目正常运营期间，基本上不会对土壤、植被等周边的生态环境造成严重的污染和影响。</w:t>
            </w:r>
          </w:p>
          <w:p>
            <w:pPr>
              <w:pStyle w:val="2"/>
              <w:rPr>
                <w:color w:val="auto"/>
              </w:rPr>
            </w:pPr>
          </w:p>
          <w:p>
            <w:pPr>
              <w:pStyle w:val="4"/>
              <w:rPr>
                <w:color w:val="auto"/>
                <w:sz w:val="24"/>
              </w:rPr>
            </w:pPr>
          </w:p>
          <w:p>
            <w:pPr>
              <w:pStyle w:val="6"/>
              <w:rPr>
                <w:color w:val="auto"/>
                <w:sz w:val="24"/>
              </w:rPr>
            </w:pPr>
          </w:p>
          <w:p>
            <w:pPr>
              <w:pStyle w:val="7"/>
              <w:rPr>
                <w:color w:val="auto"/>
              </w:rPr>
            </w:pPr>
          </w:p>
          <w:p>
            <w:pPr>
              <w:pStyle w:val="4"/>
              <w:rPr>
                <w:color w:val="auto"/>
                <w:sz w:val="24"/>
              </w:rPr>
            </w:pPr>
          </w:p>
          <w:p>
            <w:pPr>
              <w:spacing w:line="360" w:lineRule="auto"/>
              <w:ind w:firstLine="480" w:firstLineChars="200"/>
              <w:rPr>
                <w:color w:val="auto"/>
                <w:sz w:val="24"/>
              </w:rPr>
            </w:pPr>
          </w:p>
        </w:tc>
      </w:tr>
    </w:tbl>
    <w:p>
      <w:pPr>
        <w:spacing w:line="300" w:lineRule="auto"/>
        <w:rPr>
          <w:color w:val="auto"/>
          <w:sz w:val="28"/>
        </w:rPr>
        <w:sectPr>
          <w:footerReference r:id="rId14" w:type="default"/>
          <w:pgSz w:w="11907" w:h="16840"/>
          <w:pgMar w:top="1531" w:right="1134" w:bottom="1134" w:left="1418" w:header="0" w:footer="898" w:gutter="0"/>
          <w:cols w:space="720" w:num="1"/>
          <w:docGrid w:linePitch="326" w:charSpace="-4916"/>
        </w:sectPr>
      </w:pPr>
    </w:p>
    <w:p>
      <w:pPr>
        <w:pStyle w:val="42"/>
        <w:jc w:val="left"/>
        <w:rPr>
          <w:rFonts w:ascii="Times New Roman" w:hAnsi="Times New Roman"/>
          <w:color w:val="auto"/>
        </w:rPr>
      </w:pPr>
      <w:r>
        <w:rPr>
          <w:rFonts w:hint="eastAsia" w:ascii="Times New Roman" w:hAnsi="Times New Roman"/>
          <w:color w:val="auto"/>
        </w:rPr>
        <w:t>环境影响分析</w:t>
      </w:r>
    </w:p>
    <w:tbl>
      <w:tblPr>
        <w:tblStyle w:val="44"/>
        <w:tblW w:w="94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9496" w:type="dxa"/>
          </w:tcPr>
          <w:p>
            <w:pPr>
              <w:spacing w:line="360" w:lineRule="auto"/>
              <w:rPr>
                <w:b/>
                <w:color w:val="auto"/>
              </w:rPr>
            </w:pPr>
            <w:r>
              <w:rPr>
                <w:rFonts w:hint="eastAsia"/>
                <w:b/>
                <w:bCs/>
                <w:color w:val="auto"/>
                <w:sz w:val="24"/>
              </w:rPr>
              <w:t>施工期环境影响简要分析：</w:t>
            </w:r>
          </w:p>
          <w:p>
            <w:pPr>
              <w:spacing w:line="360" w:lineRule="auto"/>
              <w:ind w:right="120" w:firstLine="488"/>
              <w:rPr>
                <w:color w:val="auto"/>
              </w:rPr>
            </w:pPr>
            <w:r>
              <w:rPr>
                <w:color w:val="auto"/>
                <w:sz w:val="24"/>
              </w:rPr>
              <w:t>项目厂房</w:t>
            </w:r>
            <w:r>
              <w:rPr>
                <w:rFonts w:hint="eastAsia"/>
                <w:color w:val="auto"/>
                <w:sz w:val="24"/>
              </w:rPr>
              <w:t>已建成</w:t>
            </w:r>
            <w:r>
              <w:rPr>
                <w:color w:val="auto"/>
                <w:sz w:val="24"/>
              </w:rPr>
              <w:t>，故不存在施工期的环境影响问题。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6" w:hRule="atLeast"/>
          <w:jc w:val="center"/>
        </w:trPr>
        <w:tc>
          <w:tcPr>
            <w:tcW w:w="9496" w:type="dxa"/>
          </w:tcPr>
          <w:p>
            <w:pPr>
              <w:spacing w:line="360" w:lineRule="auto"/>
              <w:rPr>
                <w:b/>
                <w:bCs/>
                <w:color w:val="auto"/>
                <w:sz w:val="28"/>
                <w:szCs w:val="28"/>
              </w:rPr>
            </w:pPr>
            <w:r>
              <w:rPr>
                <w:color w:val="auto"/>
              </w:rPr>
              <w:br w:type="page"/>
            </w:r>
            <w:r>
              <w:rPr>
                <w:color w:val="auto"/>
              </w:rPr>
              <w:br w:type="page"/>
            </w:r>
            <w:r>
              <w:rPr>
                <w:color w:val="auto"/>
              </w:rPr>
              <w:br w:type="page"/>
            </w:r>
            <w:r>
              <w:rPr>
                <w:rFonts w:hint="eastAsia"/>
                <w:b/>
                <w:bCs/>
                <w:color w:val="auto"/>
                <w:sz w:val="24"/>
              </w:rPr>
              <w:t>营运期的环境影响分析：</w:t>
            </w:r>
          </w:p>
          <w:p>
            <w:pPr>
              <w:pStyle w:val="34"/>
              <w:spacing w:line="360" w:lineRule="auto"/>
              <w:ind w:firstLine="501" w:firstLineChars="208"/>
              <w:rPr>
                <w:b/>
                <w:color w:val="auto"/>
              </w:rPr>
            </w:pPr>
            <w:bookmarkStart w:id="22" w:name="_Toc343665622"/>
            <w:bookmarkStart w:id="23" w:name="_Toc343664438"/>
            <w:bookmarkStart w:id="24" w:name="_Toc319526752"/>
            <w:r>
              <w:rPr>
                <w:rFonts w:hint="eastAsia"/>
                <w:b/>
                <w:color w:val="auto"/>
                <w:kern w:val="2"/>
              </w:rPr>
              <w:t>一、环境空气影响分析</w:t>
            </w:r>
            <w:bookmarkEnd w:id="22"/>
            <w:bookmarkEnd w:id="23"/>
            <w:bookmarkEnd w:id="24"/>
          </w:p>
          <w:p>
            <w:pPr>
              <w:spacing w:line="360" w:lineRule="auto"/>
              <w:ind w:firstLine="482" w:firstLineChars="200"/>
              <w:rPr>
                <w:color w:val="auto"/>
                <w:sz w:val="24"/>
              </w:rPr>
            </w:pPr>
            <w:bookmarkStart w:id="25" w:name="_Toc477702084"/>
            <w:r>
              <w:rPr>
                <w:rFonts w:hint="eastAsia"/>
                <w:b/>
                <w:color w:val="auto"/>
                <w:sz w:val="24"/>
              </w:rPr>
              <w:t>混料工序：</w:t>
            </w:r>
            <w:r>
              <w:rPr>
                <w:rFonts w:hint="eastAsia"/>
                <w:b w:val="0"/>
                <w:bCs/>
                <w:color w:val="auto"/>
                <w:sz w:val="24"/>
                <w:lang w:eastAsia="zh-CN"/>
              </w:rPr>
              <w:t>根据工程分析，混料工序</w:t>
            </w:r>
            <w:r>
              <w:rPr>
                <w:color w:val="auto"/>
                <w:sz w:val="24"/>
              </w:rPr>
              <w:t>粉尘产生量为</w:t>
            </w:r>
            <w:r>
              <w:rPr>
                <w:rFonts w:hint="eastAsia"/>
                <w:color w:val="auto"/>
                <w:sz w:val="24"/>
              </w:rPr>
              <w:t>0.0325</w:t>
            </w:r>
            <w:r>
              <w:rPr>
                <w:color w:val="auto"/>
                <w:sz w:val="24"/>
              </w:rPr>
              <w:t>t/a</w:t>
            </w:r>
            <w:r>
              <w:rPr>
                <w:rFonts w:hint="eastAsia"/>
                <w:color w:val="auto"/>
                <w:sz w:val="24"/>
              </w:rPr>
              <w:t>，</w:t>
            </w:r>
            <w:r>
              <w:rPr>
                <w:rFonts w:hint="eastAsia" w:hAnsi="宋体"/>
                <w:color w:val="auto"/>
                <w:sz w:val="24"/>
              </w:rPr>
              <w:t>产生速率为0.014kg/h。</w:t>
            </w:r>
          </w:p>
          <w:p>
            <w:pPr>
              <w:spacing w:line="360" w:lineRule="auto"/>
              <w:ind w:firstLine="482" w:firstLineChars="200"/>
              <w:rPr>
                <w:rFonts w:hint="eastAsia"/>
                <w:color w:val="auto"/>
                <w:sz w:val="24"/>
                <w:lang w:val="en-US" w:eastAsia="zh-CN"/>
              </w:rPr>
            </w:pPr>
            <w:r>
              <w:rPr>
                <w:rFonts w:hint="eastAsia"/>
                <w:b/>
                <w:color w:val="auto"/>
                <w:sz w:val="24"/>
                <w:szCs w:val="23"/>
              </w:rPr>
              <w:t>造粒、挤出成型工序：</w:t>
            </w:r>
            <w:r>
              <w:rPr>
                <w:rFonts w:hint="eastAsia"/>
                <w:b w:val="0"/>
                <w:bCs/>
                <w:color w:val="auto"/>
                <w:sz w:val="24"/>
                <w:lang w:eastAsia="zh-CN"/>
              </w:rPr>
              <w:t>根据工程分析，项目造粒、挤出成型工序产生</w:t>
            </w:r>
            <w:r>
              <w:rPr>
                <w:rFonts w:hint="eastAsia" w:hAnsi="宋体"/>
                <w:color w:val="auto"/>
                <w:sz w:val="24"/>
                <w:lang w:eastAsia="zh-CN"/>
              </w:rPr>
              <w:t>臭气和</w:t>
            </w:r>
            <w:r>
              <w:rPr>
                <w:rFonts w:hint="eastAsia" w:hAnsi="宋体"/>
                <w:color w:val="auto"/>
                <w:sz w:val="24"/>
              </w:rPr>
              <w:t>有机废气，臭气浓度较低，通过UV光解+活性炭吸附装置处理，降低恶臭浓度，同时</w:t>
            </w:r>
            <w:r>
              <w:rPr>
                <w:rFonts w:hint="eastAsia"/>
                <w:color w:val="auto"/>
                <w:sz w:val="24"/>
              </w:rPr>
              <w:t>加强车间机械通风措施</w:t>
            </w:r>
            <w:r>
              <w:rPr>
                <w:rFonts w:hint="eastAsia"/>
                <w:color w:val="auto"/>
                <w:sz w:val="24"/>
                <w:lang w:eastAsia="zh-CN"/>
              </w:rPr>
              <w:t>，</w:t>
            </w:r>
            <w:r>
              <w:rPr>
                <w:rFonts w:hint="eastAsia" w:hAnsi="宋体"/>
                <w:color w:val="auto"/>
                <w:sz w:val="24"/>
                <w:lang w:val="en-US" w:eastAsia="zh-CN"/>
              </w:rPr>
              <w:t>臭气无组织排放满足《</w:t>
            </w:r>
            <w:r>
              <w:rPr>
                <w:rFonts w:hint="eastAsia" w:hAnsi="宋体"/>
                <w:color w:val="auto"/>
                <w:sz w:val="24"/>
              </w:rPr>
              <w:t>恶臭污染物排放标准</w:t>
            </w:r>
            <w:r>
              <w:rPr>
                <w:rFonts w:hint="eastAsia" w:hAnsi="宋体"/>
                <w:color w:val="auto"/>
                <w:sz w:val="24"/>
                <w:lang w:val="en-US" w:eastAsia="zh-CN"/>
              </w:rPr>
              <w:t>》（GB 14554—93）表1恶臭污染物厂界标准值二级新扩改建臭气浓度：≤20（无纲量）要求；</w:t>
            </w:r>
            <w:r>
              <w:rPr>
                <w:color w:val="auto"/>
                <w:sz w:val="24"/>
              </w:rPr>
              <w:t>非甲烷总烃</w:t>
            </w:r>
            <w:r>
              <w:rPr>
                <w:rFonts w:hint="eastAsia"/>
                <w:color w:val="auto"/>
                <w:sz w:val="24"/>
              </w:rPr>
              <w:t>有组织</w:t>
            </w:r>
            <w:r>
              <w:rPr>
                <w:color w:val="auto"/>
                <w:sz w:val="24"/>
              </w:rPr>
              <w:t>排放浓度</w:t>
            </w:r>
            <w:r>
              <w:rPr>
                <w:rFonts w:hint="eastAsia"/>
                <w:color w:val="auto"/>
                <w:sz w:val="24"/>
                <w:lang w:eastAsia="zh-CN"/>
              </w:rPr>
              <w:t>为1.085</w:t>
            </w:r>
            <w:r>
              <w:rPr>
                <w:b w:val="0"/>
                <w:bCs/>
                <w:color w:val="auto"/>
                <w:sz w:val="24"/>
                <w:szCs w:val="24"/>
              </w:rPr>
              <w:t>mg/m³</w:t>
            </w:r>
            <w:r>
              <w:rPr>
                <w:rFonts w:hint="eastAsia"/>
                <w:color w:val="auto"/>
                <w:sz w:val="24"/>
              </w:rPr>
              <w:t>，</w:t>
            </w:r>
            <w:r>
              <w:rPr>
                <w:color w:val="auto"/>
                <w:sz w:val="24"/>
              </w:rPr>
              <w:t>排放速率</w:t>
            </w:r>
            <w:r>
              <w:rPr>
                <w:rFonts w:hint="eastAsia"/>
                <w:color w:val="auto"/>
                <w:sz w:val="24"/>
                <w:lang w:eastAsia="zh-CN"/>
              </w:rPr>
              <w:t>为</w:t>
            </w:r>
            <w:r>
              <w:rPr>
                <w:rFonts w:hint="eastAsia"/>
                <w:color w:val="auto"/>
                <w:sz w:val="24"/>
                <w:lang w:val="en-US" w:eastAsia="zh-CN"/>
              </w:rPr>
              <w:t>0.009kg/h，排放量为0.022t/a；无组织</w:t>
            </w:r>
            <w:r>
              <w:rPr>
                <w:color w:val="auto"/>
                <w:sz w:val="24"/>
              </w:rPr>
              <w:t>排放速率</w:t>
            </w:r>
            <w:r>
              <w:rPr>
                <w:rFonts w:hint="eastAsia"/>
                <w:color w:val="auto"/>
                <w:sz w:val="24"/>
                <w:lang w:eastAsia="zh-CN"/>
              </w:rPr>
              <w:t>为</w:t>
            </w:r>
            <w:r>
              <w:rPr>
                <w:rFonts w:hint="eastAsia"/>
                <w:color w:val="auto"/>
                <w:sz w:val="24"/>
                <w:lang w:val="en-US" w:eastAsia="zh-CN"/>
              </w:rPr>
              <w:t>0.012kg/h，排放量为0.028t/a。</w:t>
            </w:r>
          </w:p>
          <w:p>
            <w:pPr>
              <w:spacing w:line="360" w:lineRule="auto"/>
              <w:ind w:firstLine="480" w:firstLineChars="200"/>
              <w:rPr>
                <w:color w:val="auto"/>
                <w:sz w:val="24"/>
              </w:rPr>
            </w:pPr>
            <w:r>
              <w:rPr>
                <w:color w:val="auto"/>
                <w:sz w:val="24"/>
              </w:rPr>
              <w:t>本项目建成后大气污染物主要为</w:t>
            </w:r>
            <w:r>
              <w:rPr>
                <w:rFonts w:hint="eastAsia"/>
                <w:color w:val="auto"/>
                <w:sz w:val="24"/>
                <w:lang w:eastAsia="zh-CN"/>
              </w:rPr>
              <w:t>混料工序产生的粉尘以及</w:t>
            </w:r>
            <w:r>
              <w:rPr>
                <w:rFonts w:hint="eastAsia"/>
                <w:color w:val="auto"/>
                <w:sz w:val="24"/>
              </w:rPr>
              <w:t>造粒、挤出成型工序产生的非甲烷总烃</w:t>
            </w:r>
            <w:r>
              <w:rPr>
                <w:color w:val="auto"/>
                <w:sz w:val="24"/>
              </w:rPr>
              <w:t>，根据</w:t>
            </w:r>
            <w:r>
              <w:rPr>
                <w:bCs/>
                <w:color w:val="auto"/>
                <w:sz w:val="24"/>
                <w:szCs w:val="22"/>
              </w:rPr>
              <w:t>《环境影响评价技术导则</w:t>
            </w:r>
            <w:r>
              <w:rPr>
                <w:rFonts w:hint="eastAsia"/>
                <w:bCs/>
                <w:color w:val="auto"/>
                <w:sz w:val="24"/>
                <w:szCs w:val="22"/>
              </w:rPr>
              <w:t>—</w:t>
            </w:r>
            <w:r>
              <w:rPr>
                <w:bCs/>
                <w:color w:val="auto"/>
                <w:sz w:val="24"/>
                <w:szCs w:val="22"/>
              </w:rPr>
              <w:t>大气环境》（HJ2.2-2018）</w:t>
            </w:r>
            <w:r>
              <w:rPr>
                <w:color w:val="auto"/>
                <w:sz w:val="24"/>
              </w:rPr>
              <w:t>，计算其最大地面浓度占标率 Pi（第 i个污染物）。Pi定义为：</w:t>
            </w:r>
          </w:p>
          <w:p>
            <w:pPr>
              <w:spacing w:line="360" w:lineRule="auto"/>
              <w:ind w:firstLine="480" w:firstLineChars="200"/>
              <w:jc w:val="center"/>
              <w:rPr>
                <w:bCs/>
                <w:color w:val="auto"/>
                <w:sz w:val="24"/>
                <w:lang w:val="it-IT"/>
              </w:rPr>
            </w:pPr>
            <w:r>
              <w:rPr>
                <w:bCs/>
                <w:color w:val="auto"/>
                <w:sz w:val="24"/>
                <w:lang w:val="it-IT"/>
              </w:rPr>
              <w:t>Pi＝（</w:t>
            </w:r>
            <w:r>
              <w:rPr>
                <w:color w:val="auto"/>
              </w:rPr>
              <w:fldChar w:fldCharType="begin"/>
            </w:r>
            <w:r>
              <w:rPr>
                <w:color w:val="auto"/>
              </w:rPr>
              <w:instrText xml:space="preserve"> HYPERLINK "https://baike.baidu.com/item/%CF%81" \t "https://baike.baidu.com/item/_blank" </w:instrText>
            </w:r>
            <w:r>
              <w:rPr>
                <w:color w:val="auto"/>
              </w:rPr>
              <w:fldChar w:fldCharType="separate"/>
            </w:r>
            <w:r>
              <w:rPr>
                <w:i/>
                <w:color w:val="auto"/>
                <w:sz w:val="24"/>
                <w:shd w:val="clear" w:color="auto" w:fill="FFFFFF"/>
              </w:rPr>
              <w:t>ρ</w:t>
            </w:r>
            <w:r>
              <w:rPr>
                <w:i/>
                <w:color w:val="auto"/>
                <w:sz w:val="24"/>
                <w:shd w:val="clear" w:color="auto" w:fill="FFFFFF"/>
              </w:rPr>
              <w:fldChar w:fldCharType="end"/>
            </w:r>
            <w:r>
              <w:rPr>
                <w:bCs/>
                <w:color w:val="auto"/>
                <w:sz w:val="24"/>
                <w:lang w:val="it-IT"/>
              </w:rPr>
              <w:t>i/</w:t>
            </w:r>
            <w:r>
              <w:rPr>
                <w:color w:val="auto"/>
              </w:rPr>
              <w:fldChar w:fldCharType="begin"/>
            </w:r>
            <w:r>
              <w:rPr>
                <w:color w:val="auto"/>
              </w:rPr>
              <w:instrText xml:space="preserve"> HYPERLINK "https://baike.baidu.com/item/%CF%81" \t "https://baike.baidu.com/item/_blank" </w:instrText>
            </w:r>
            <w:r>
              <w:rPr>
                <w:color w:val="auto"/>
              </w:rPr>
              <w:fldChar w:fldCharType="separate"/>
            </w:r>
            <w:r>
              <w:rPr>
                <w:i/>
                <w:color w:val="auto"/>
                <w:sz w:val="24"/>
                <w:shd w:val="clear" w:color="auto" w:fill="FFFFFF"/>
              </w:rPr>
              <w:t>ρ</w:t>
            </w:r>
            <w:r>
              <w:rPr>
                <w:i/>
                <w:color w:val="auto"/>
                <w:sz w:val="24"/>
                <w:shd w:val="clear" w:color="auto" w:fill="FFFFFF"/>
              </w:rPr>
              <w:fldChar w:fldCharType="end"/>
            </w:r>
            <w:r>
              <w:rPr>
                <w:bCs/>
                <w:color w:val="auto"/>
                <w:sz w:val="24"/>
                <w:lang w:val="it-IT"/>
              </w:rPr>
              <w:t>oi）×100%</w:t>
            </w:r>
          </w:p>
          <w:p>
            <w:pPr>
              <w:spacing w:line="360" w:lineRule="auto"/>
              <w:ind w:firstLine="720" w:firstLineChars="300"/>
              <w:rPr>
                <w:bCs/>
                <w:color w:val="auto"/>
                <w:sz w:val="24"/>
                <w:szCs w:val="22"/>
              </w:rPr>
            </w:pPr>
            <w:r>
              <w:rPr>
                <w:bCs/>
                <w:color w:val="auto"/>
                <w:sz w:val="24"/>
                <w:szCs w:val="22"/>
              </w:rPr>
              <w:t>式中：</w:t>
            </w:r>
            <w:r>
              <w:rPr>
                <w:color w:val="auto"/>
                <w:sz w:val="24"/>
              </w:rPr>
              <w:t>P</w:t>
            </w:r>
            <w:r>
              <w:rPr>
                <w:bCs/>
                <w:color w:val="auto"/>
                <w:sz w:val="24"/>
                <w:szCs w:val="22"/>
              </w:rPr>
              <w:t>i－第i个污染物的最大地面空气质量浓度占标率，%；</w:t>
            </w:r>
          </w:p>
          <w:p>
            <w:pPr>
              <w:spacing w:line="360" w:lineRule="auto"/>
              <w:ind w:firstLine="480" w:firstLineChars="200"/>
              <w:rPr>
                <w:bCs/>
                <w:color w:val="auto"/>
                <w:sz w:val="24"/>
                <w:szCs w:val="22"/>
              </w:rPr>
            </w:pPr>
            <w:r>
              <w:rPr>
                <w:bCs/>
                <w:color w:val="auto"/>
                <w:sz w:val="24"/>
                <w:szCs w:val="22"/>
              </w:rPr>
              <w:t xml:space="preserve">  </w:t>
            </w:r>
            <w:r>
              <w:rPr>
                <w:color w:val="auto"/>
              </w:rPr>
              <w:fldChar w:fldCharType="begin"/>
            </w:r>
            <w:r>
              <w:rPr>
                <w:color w:val="auto"/>
              </w:rPr>
              <w:instrText xml:space="preserve"> HYPERLINK "https://baike.baidu.com/item/%CF%81" \t "https://baike.baidu.com/item/_blank" </w:instrText>
            </w:r>
            <w:r>
              <w:rPr>
                <w:color w:val="auto"/>
              </w:rPr>
              <w:fldChar w:fldCharType="separate"/>
            </w:r>
            <w:r>
              <w:rPr>
                <w:i/>
                <w:color w:val="auto"/>
                <w:sz w:val="24"/>
                <w:shd w:val="clear" w:color="auto" w:fill="FFFFFF"/>
              </w:rPr>
              <w:t>ρ</w:t>
            </w:r>
            <w:r>
              <w:rPr>
                <w:i/>
                <w:color w:val="auto"/>
                <w:sz w:val="24"/>
                <w:shd w:val="clear" w:color="auto" w:fill="FFFFFF"/>
              </w:rPr>
              <w:fldChar w:fldCharType="end"/>
            </w:r>
            <w:r>
              <w:rPr>
                <w:bCs/>
                <w:color w:val="auto"/>
                <w:sz w:val="24"/>
                <w:szCs w:val="22"/>
              </w:rPr>
              <w:t>i－采用估算模式计算出的第i个污染物的最大1h地面空气质量浓度，μg/m</w:t>
            </w:r>
            <w:r>
              <w:rPr>
                <w:bCs/>
                <w:color w:val="auto"/>
                <w:sz w:val="24"/>
                <w:szCs w:val="22"/>
                <w:vertAlign w:val="superscript"/>
              </w:rPr>
              <w:t>3</w:t>
            </w:r>
            <w:r>
              <w:rPr>
                <w:bCs/>
                <w:color w:val="auto"/>
                <w:sz w:val="24"/>
                <w:szCs w:val="22"/>
              </w:rPr>
              <w:t>；</w:t>
            </w:r>
          </w:p>
          <w:p>
            <w:pPr>
              <w:spacing w:line="360" w:lineRule="auto"/>
              <w:ind w:firstLine="480" w:firstLineChars="200"/>
              <w:rPr>
                <w:bCs/>
                <w:color w:val="auto"/>
                <w:sz w:val="24"/>
                <w:szCs w:val="22"/>
              </w:rPr>
            </w:pPr>
            <w:r>
              <w:rPr>
                <w:bCs/>
                <w:color w:val="auto"/>
                <w:sz w:val="24"/>
                <w:szCs w:val="22"/>
              </w:rPr>
              <w:t xml:space="preserve">  </w:t>
            </w:r>
            <w:r>
              <w:rPr>
                <w:color w:val="auto"/>
              </w:rPr>
              <w:fldChar w:fldCharType="begin"/>
            </w:r>
            <w:r>
              <w:rPr>
                <w:color w:val="auto"/>
              </w:rPr>
              <w:instrText xml:space="preserve"> HYPERLINK "https://baike.baidu.com/item/%CF%81" \t "https://baike.baidu.com/item/_blank" </w:instrText>
            </w:r>
            <w:r>
              <w:rPr>
                <w:color w:val="auto"/>
              </w:rPr>
              <w:fldChar w:fldCharType="separate"/>
            </w:r>
            <w:r>
              <w:rPr>
                <w:i/>
                <w:color w:val="auto"/>
                <w:sz w:val="24"/>
                <w:shd w:val="clear" w:color="auto" w:fill="FFFFFF"/>
              </w:rPr>
              <w:t>ρ</w:t>
            </w:r>
            <w:r>
              <w:rPr>
                <w:i/>
                <w:color w:val="auto"/>
                <w:sz w:val="24"/>
                <w:shd w:val="clear" w:color="auto" w:fill="FFFFFF"/>
              </w:rPr>
              <w:fldChar w:fldCharType="end"/>
            </w:r>
            <w:r>
              <w:rPr>
                <w:bCs/>
                <w:color w:val="auto"/>
                <w:sz w:val="24"/>
                <w:szCs w:val="22"/>
              </w:rPr>
              <w:t>oi－第i个污染物的环境空气质量浓度标准，μg/m</w:t>
            </w:r>
            <w:r>
              <w:rPr>
                <w:bCs/>
                <w:color w:val="auto"/>
                <w:sz w:val="24"/>
                <w:szCs w:val="22"/>
                <w:vertAlign w:val="superscript"/>
              </w:rPr>
              <w:t>3</w:t>
            </w:r>
            <w:r>
              <w:rPr>
                <w:bCs/>
                <w:color w:val="auto"/>
                <w:sz w:val="24"/>
                <w:szCs w:val="22"/>
              </w:rPr>
              <w:t>。</w:t>
            </w:r>
          </w:p>
          <w:p>
            <w:pPr>
              <w:spacing w:line="360" w:lineRule="auto"/>
              <w:ind w:firstLine="480" w:firstLineChars="200"/>
              <w:rPr>
                <w:color w:val="auto"/>
                <w:sz w:val="24"/>
              </w:rPr>
            </w:pPr>
            <w:r>
              <w:rPr>
                <w:color w:val="auto"/>
                <w:sz w:val="24"/>
              </w:rPr>
              <w:t>评价工作等级划分见下表：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评价工作等级</w:t>
            </w:r>
          </w:p>
          <w:tbl>
            <w:tblPr>
              <w:tblStyle w:val="44"/>
              <w:tblpPr w:leftFromText="180" w:rightFromText="180" w:vertAnchor="text" w:horzAnchor="page" w:tblpXSpec="center" w:tblpY="141"/>
              <w:tblOverlap w:val="never"/>
              <w:tblW w:w="903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69"/>
              <w:gridCol w:w="58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5" w:hRule="exact"/>
                <w:jc w:val="center"/>
              </w:trPr>
              <w:tc>
                <w:tcPr>
                  <w:tcW w:w="3169" w:type="dxa"/>
                  <w:tcBorders>
                    <w:tl2br w:val="nil"/>
                    <w:tr2bl w:val="nil"/>
                  </w:tcBorders>
                </w:tcPr>
                <w:p>
                  <w:pPr>
                    <w:pStyle w:val="145"/>
                    <w:spacing w:before="2" w:line="360" w:lineRule="auto"/>
                    <w:ind w:right="24"/>
                    <w:jc w:val="center"/>
                    <w:rPr>
                      <w:rFonts w:ascii="Times New Roman" w:hAnsi="Times New Roman" w:eastAsia="Times New Roman" w:cs="Times New Roman"/>
                      <w:b/>
                      <w:bCs/>
                      <w:color w:val="auto"/>
                      <w:szCs w:val="21"/>
                    </w:rPr>
                  </w:pPr>
                  <w:r>
                    <w:rPr>
                      <w:rFonts w:ascii="Times New Roman" w:hAnsi="Times New Roman" w:eastAsia="Times New Roman" w:cs="Times New Roman"/>
                      <w:b/>
                      <w:bCs/>
                      <w:color w:val="auto"/>
                      <w:szCs w:val="21"/>
                    </w:rPr>
                    <w:t>评价工作等级</w:t>
                  </w:r>
                </w:p>
              </w:tc>
              <w:tc>
                <w:tcPr>
                  <w:tcW w:w="5863" w:type="dxa"/>
                  <w:tcBorders>
                    <w:tl2br w:val="nil"/>
                    <w:tr2bl w:val="nil"/>
                  </w:tcBorders>
                </w:tcPr>
                <w:p>
                  <w:pPr>
                    <w:pStyle w:val="145"/>
                    <w:spacing w:before="2" w:line="360" w:lineRule="auto"/>
                    <w:ind w:right="25"/>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评价工作分级判据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exact"/>
                <w:jc w:val="center"/>
              </w:trPr>
              <w:tc>
                <w:tcPr>
                  <w:tcW w:w="3169" w:type="dxa"/>
                  <w:tcBorders>
                    <w:tl2br w:val="nil"/>
                    <w:tr2bl w:val="nil"/>
                  </w:tcBorders>
                </w:tcPr>
                <w:p>
                  <w:pPr>
                    <w:pStyle w:val="145"/>
                    <w:spacing w:before="2" w:line="360" w:lineRule="auto"/>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一级</w:t>
                  </w:r>
                </w:p>
              </w:tc>
              <w:tc>
                <w:tcPr>
                  <w:tcW w:w="5863" w:type="dxa"/>
                  <w:tcBorders>
                    <w:tl2br w:val="nil"/>
                    <w:tr2bl w:val="nil"/>
                  </w:tcBorders>
                </w:tcPr>
                <w:p>
                  <w:pPr>
                    <w:pStyle w:val="145"/>
                    <w:spacing w:before="48" w:line="360" w:lineRule="auto"/>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exact"/>
                <w:jc w:val="center"/>
              </w:trPr>
              <w:tc>
                <w:tcPr>
                  <w:tcW w:w="3169" w:type="dxa"/>
                  <w:tcBorders>
                    <w:tl2br w:val="nil"/>
                    <w:tr2bl w:val="nil"/>
                  </w:tcBorders>
                </w:tcPr>
                <w:p>
                  <w:pPr>
                    <w:pStyle w:val="145"/>
                    <w:spacing w:before="2"/>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二级</w:t>
                  </w:r>
                </w:p>
              </w:tc>
              <w:tc>
                <w:tcPr>
                  <w:tcW w:w="5863" w:type="dxa"/>
                  <w:tcBorders>
                    <w:tl2br w:val="nil"/>
                    <w:tr2bl w:val="nil"/>
                  </w:tcBorders>
                </w:tcPr>
                <w:p>
                  <w:pPr>
                    <w:pStyle w:val="145"/>
                    <w:spacing w:before="52"/>
                    <w:ind w:right="22"/>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1%≤Pmax≤10%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exact"/>
                <w:jc w:val="center"/>
              </w:trPr>
              <w:tc>
                <w:tcPr>
                  <w:tcW w:w="3169" w:type="dxa"/>
                  <w:tcBorders>
                    <w:tl2br w:val="nil"/>
                    <w:tr2bl w:val="nil"/>
                  </w:tcBorders>
                </w:tcPr>
                <w:p>
                  <w:pPr>
                    <w:pStyle w:val="145"/>
                    <w:spacing w:before="2"/>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三级</w:t>
                  </w:r>
                </w:p>
              </w:tc>
              <w:tc>
                <w:tcPr>
                  <w:tcW w:w="5863" w:type="dxa"/>
                  <w:tcBorders>
                    <w:tl2br w:val="nil"/>
                    <w:tr2bl w:val="nil"/>
                  </w:tcBorders>
                </w:tcPr>
                <w:p>
                  <w:pPr>
                    <w:pStyle w:val="145"/>
                    <w:spacing w:before="2"/>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Pmax</w:t>
                  </w:r>
                  <w:r>
                    <w:rPr>
                      <w:rFonts w:ascii="Times New Roman" w:hAnsi="Times New Roman" w:eastAsia="宋体" w:cs="Times New Roman"/>
                      <w:color w:val="auto"/>
                      <w:szCs w:val="21"/>
                    </w:rPr>
                    <w:t>＜</w:t>
                  </w:r>
                  <w:r>
                    <w:rPr>
                      <w:rFonts w:ascii="Times New Roman" w:hAnsi="Times New Roman" w:eastAsia="Times New Roman" w:cs="Times New Roman"/>
                      <w:color w:val="auto"/>
                      <w:szCs w:val="21"/>
                    </w:rPr>
                    <w:t>1%</w:t>
                  </w:r>
                </w:p>
              </w:tc>
            </w:tr>
          </w:tbl>
          <w:p>
            <w:pPr>
              <w:spacing w:line="360" w:lineRule="auto"/>
              <w:ind w:firstLine="480" w:firstLineChars="200"/>
              <w:rPr>
                <w:bCs/>
                <w:color w:val="auto"/>
                <w:sz w:val="24"/>
                <w:szCs w:val="22"/>
              </w:rPr>
            </w:pPr>
            <w:r>
              <w:rPr>
                <w:bCs/>
                <w:color w:val="auto"/>
                <w:sz w:val="24"/>
                <w:szCs w:val="22"/>
              </w:rPr>
              <w:t>按照估算模式AERSCREEN模式，依据上述公式进行评价等级确定，其中污染物计算参数如下：</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评价因子和评价标准</w:t>
            </w:r>
          </w:p>
          <w:tbl>
            <w:tblPr>
              <w:tblStyle w:val="45"/>
              <w:tblW w:w="87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7"/>
              <w:gridCol w:w="1404"/>
              <w:gridCol w:w="1095"/>
              <w:gridCol w:w="1080"/>
              <w:gridCol w:w="1065"/>
              <w:gridCol w:w="2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337" w:type="dxa"/>
                  <w:vAlign w:val="center"/>
                </w:tcPr>
                <w:p>
                  <w:pPr>
                    <w:autoSpaceDE w:val="0"/>
                    <w:autoSpaceDN w:val="0"/>
                    <w:adjustRightInd w:val="0"/>
                    <w:spacing w:line="360" w:lineRule="auto"/>
                    <w:jc w:val="center"/>
                    <w:rPr>
                      <w:b/>
                      <w:bCs/>
                      <w:color w:val="auto"/>
                      <w:szCs w:val="16"/>
                    </w:rPr>
                  </w:pPr>
                  <w:r>
                    <w:rPr>
                      <w:b/>
                      <w:bCs/>
                      <w:color w:val="auto"/>
                      <w:szCs w:val="16"/>
                    </w:rPr>
                    <w:t>评价因子</w:t>
                  </w:r>
                </w:p>
              </w:tc>
              <w:tc>
                <w:tcPr>
                  <w:tcW w:w="1404" w:type="dxa"/>
                  <w:vAlign w:val="center"/>
                </w:tcPr>
                <w:p>
                  <w:pPr>
                    <w:autoSpaceDE w:val="0"/>
                    <w:autoSpaceDN w:val="0"/>
                    <w:adjustRightInd w:val="0"/>
                    <w:spacing w:line="360" w:lineRule="auto"/>
                    <w:jc w:val="center"/>
                    <w:rPr>
                      <w:b/>
                      <w:bCs/>
                      <w:color w:val="auto"/>
                      <w:szCs w:val="16"/>
                    </w:rPr>
                  </w:pPr>
                  <w:r>
                    <w:rPr>
                      <w:b/>
                      <w:bCs/>
                      <w:color w:val="auto"/>
                      <w:szCs w:val="16"/>
                    </w:rPr>
                    <w:t>平均时段</w:t>
                  </w:r>
                </w:p>
              </w:tc>
              <w:tc>
                <w:tcPr>
                  <w:tcW w:w="1095" w:type="dxa"/>
                  <w:vAlign w:val="center"/>
                </w:tcPr>
                <w:p>
                  <w:pPr>
                    <w:autoSpaceDE w:val="0"/>
                    <w:autoSpaceDN w:val="0"/>
                    <w:adjustRightInd w:val="0"/>
                    <w:spacing w:line="360" w:lineRule="auto"/>
                    <w:jc w:val="center"/>
                    <w:rPr>
                      <w:b/>
                      <w:bCs/>
                      <w:color w:val="auto"/>
                      <w:szCs w:val="16"/>
                    </w:rPr>
                  </w:pPr>
                  <w:r>
                    <w:rPr>
                      <w:b/>
                      <w:bCs/>
                      <w:color w:val="auto"/>
                      <w:szCs w:val="16"/>
                    </w:rPr>
                    <w:t>质量标准</w:t>
                  </w:r>
                </w:p>
              </w:tc>
              <w:tc>
                <w:tcPr>
                  <w:tcW w:w="1080" w:type="dxa"/>
                  <w:vAlign w:val="center"/>
                </w:tcPr>
                <w:p>
                  <w:pPr>
                    <w:autoSpaceDE w:val="0"/>
                    <w:autoSpaceDN w:val="0"/>
                    <w:adjustRightInd w:val="0"/>
                    <w:spacing w:line="360" w:lineRule="auto"/>
                    <w:jc w:val="center"/>
                    <w:rPr>
                      <w:b/>
                      <w:bCs/>
                      <w:color w:val="auto"/>
                      <w:szCs w:val="16"/>
                    </w:rPr>
                  </w:pPr>
                  <w:r>
                    <w:rPr>
                      <w:b/>
                      <w:bCs/>
                      <w:color w:val="auto"/>
                      <w:szCs w:val="16"/>
                    </w:rPr>
                    <w:t>折算倍数</w:t>
                  </w:r>
                </w:p>
              </w:tc>
              <w:tc>
                <w:tcPr>
                  <w:tcW w:w="1065" w:type="dxa"/>
                  <w:vAlign w:val="center"/>
                </w:tcPr>
                <w:p>
                  <w:pPr>
                    <w:autoSpaceDE w:val="0"/>
                    <w:autoSpaceDN w:val="0"/>
                    <w:adjustRightInd w:val="0"/>
                    <w:spacing w:line="360" w:lineRule="auto"/>
                    <w:jc w:val="center"/>
                    <w:rPr>
                      <w:b/>
                      <w:bCs/>
                      <w:color w:val="auto"/>
                      <w:szCs w:val="16"/>
                    </w:rPr>
                  </w:pPr>
                  <w:r>
                    <w:rPr>
                      <w:b/>
                      <w:bCs/>
                      <w:color w:val="auto"/>
                      <w:szCs w:val="16"/>
                    </w:rPr>
                    <w:t>评价标准</w:t>
                  </w:r>
                </w:p>
              </w:tc>
              <w:tc>
                <w:tcPr>
                  <w:tcW w:w="2779" w:type="dxa"/>
                  <w:vAlign w:val="center"/>
                </w:tcPr>
                <w:p>
                  <w:pPr>
                    <w:autoSpaceDE w:val="0"/>
                    <w:autoSpaceDN w:val="0"/>
                    <w:adjustRightInd w:val="0"/>
                    <w:spacing w:line="360" w:lineRule="auto"/>
                    <w:jc w:val="center"/>
                    <w:rPr>
                      <w:b/>
                      <w:bCs/>
                      <w:color w:val="auto"/>
                      <w:szCs w:val="16"/>
                    </w:rPr>
                  </w:pPr>
                  <w:r>
                    <w:rPr>
                      <w:b/>
                      <w:bCs/>
                      <w:color w:val="auto"/>
                      <w:szCs w:val="16"/>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337" w:type="dxa"/>
                  <w:vAlign w:val="center"/>
                </w:tcPr>
                <w:p>
                  <w:pPr>
                    <w:pStyle w:val="2"/>
                    <w:jc w:val="center"/>
                    <w:rPr>
                      <w:rFonts w:ascii="Times New Roman" w:cs="Times New Roman"/>
                      <w:color w:val="auto"/>
                      <w:sz w:val="21"/>
                      <w:szCs w:val="16"/>
                    </w:rPr>
                  </w:pPr>
                  <w:r>
                    <w:rPr>
                      <w:rFonts w:ascii="Times New Roman" w:cs="Times New Roman"/>
                      <w:color w:val="auto"/>
                      <w:sz w:val="21"/>
                      <w:szCs w:val="16"/>
                    </w:rPr>
                    <w:t>非甲烷总烃</w:t>
                  </w:r>
                </w:p>
              </w:tc>
              <w:tc>
                <w:tcPr>
                  <w:tcW w:w="1404" w:type="dxa"/>
                  <w:vAlign w:val="center"/>
                </w:tcPr>
                <w:p>
                  <w:pPr>
                    <w:pStyle w:val="2"/>
                    <w:jc w:val="center"/>
                    <w:rPr>
                      <w:rFonts w:ascii="Times New Roman" w:cs="Times New Roman"/>
                      <w:color w:val="auto"/>
                      <w:sz w:val="21"/>
                      <w:szCs w:val="16"/>
                    </w:rPr>
                  </w:pPr>
                  <w:r>
                    <w:rPr>
                      <w:rStyle w:val="50"/>
                      <w:rFonts w:hint="eastAsia" w:ascii="Times New Roman" w:cs="Times New Roman"/>
                      <w:color w:val="auto"/>
                      <w:kern w:val="2"/>
                    </w:rPr>
                    <w:t>1小时</w:t>
                  </w:r>
                </w:p>
              </w:tc>
              <w:tc>
                <w:tcPr>
                  <w:tcW w:w="1095" w:type="dxa"/>
                  <w:vAlign w:val="center"/>
                </w:tcPr>
                <w:p>
                  <w:pPr>
                    <w:pStyle w:val="2"/>
                    <w:jc w:val="center"/>
                    <w:rPr>
                      <w:rFonts w:ascii="Times New Roman" w:cs="Times New Roman"/>
                      <w:color w:val="auto"/>
                      <w:sz w:val="21"/>
                      <w:szCs w:val="16"/>
                    </w:rPr>
                  </w:pPr>
                  <w:r>
                    <w:rPr>
                      <w:rFonts w:ascii="Times New Roman" w:cs="Times New Roman"/>
                      <w:color w:val="auto"/>
                      <w:sz w:val="21"/>
                      <w:szCs w:val="16"/>
                    </w:rPr>
                    <w:t>2</w:t>
                  </w:r>
                </w:p>
              </w:tc>
              <w:tc>
                <w:tcPr>
                  <w:tcW w:w="1080" w:type="dxa"/>
                  <w:vAlign w:val="center"/>
                </w:tcPr>
                <w:p>
                  <w:pPr>
                    <w:pStyle w:val="2"/>
                    <w:jc w:val="center"/>
                    <w:rPr>
                      <w:rFonts w:ascii="Times New Roman" w:cs="Times New Roman"/>
                      <w:color w:val="auto"/>
                      <w:sz w:val="21"/>
                      <w:szCs w:val="16"/>
                    </w:rPr>
                  </w:pPr>
                  <w:r>
                    <w:rPr>
                      <w:rFonts w:ascii="Times New Roman" w:cs="Times New Roman"/>
                      <w:color w:val="auto"/>
                      <w:sz w:val="21"/>
                      <w:szCs w:val="16"/>
                    </w:rPr>
                    <w:t>/</w:t>
                  </w:r>
                </w:p>
              </w:tc>
              <w:tc>
                <w:tcPr>
                  <w:tcW w:w="1065" w:type="dxa"/>
                  <w:vAlign w:val="center"/>
                </w:tcPr>
                <w:p>
                  <w:pPr>
                    <w:pStyle w:val="2"/>
                    <w:jc w:val="center"/>
                    <w:rPr>
                      <w:rFonts w:ascii="Times New Roman" w:cs="Times New Roman"/>
                      <w:color w:val="auto"/>
                      <w:sz w:val="21"/>
                      <w:szCs w:val="16"/>
                    </w:rPr>
                  </w:pPr>
                  <w:r>
                    <w:rPr>
                      <w:rFonts w:ascii="Times New Roman" w:cs="Times New Roman"/>
                      <w:color w:val="auto"/>
                      <w:sz w:val="21"/>
                      <w:szCs w:val="16"/>
                    </w:rPr>
                    <w:t>2</w:t>
                  </w:r>
                </w:p>
              </w:tc>
              <w:tc>
                <w:tcPr>
                  <w:tcW w:w="2779" w:type="dxa"/>
                  <w:vAlign w:val="center"/>
                </w:tcPr>
                <w:p>
                  <w:pPr>
                    <w:pStyle w:val="2"/>
                    <w:jc w:val="center"/>
                    <w:rPr>
                      <w:rFonts w:ascii="Times New Roman" w:cs="Times New Roman"/>
                      <w:color w:val="auto"/>
                      <w:sz w:val="21"/>
                      <w:szCs w:val="16"/>
                    </w:rPr>
                  </w:pPr>
                  <w:r>
                    <w:rPr>
                      <w:rFonts w:ascii="Times New Roman" w:cs="Times New Roman"/>
                      <w:color w:val="auto"/>
                      <w:sz w:val="21"/>
                      <w:szCs w:val="16"/>
                    </w:rPr>
                    <w:t>《大气污染物综合排放标准详解》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337" w:type="dxa"/>
                  <w:vAlign w:val="center"/>
                </w:tcPr>
                <w:p>
                  <w:pPr>
                    <w:pStyle w:val="2"/>
                    <w:spacing w:line="360" w:lineRule="auto"/>
                    <w:jc w:val="center"/>
                    <w:rPr>
                      <w:rFonts w:ascii="Times New Roman" w:cs="Times New Roman"/>
                      <w:color w:val="auto"/>
                      <w:sz w:val="21"/>
                      <w:szCs w:val="16"/>
                    </w:rPr>
                  </w:pPr>
                  <w:r>
                    <w:rPr>
                      <w:rFonts w:ascii="Times New Roman" w:cs="Times New Roman"/>
                      <w:color w:val="auto"/>
                      <w:sz w:val="21"/>
                      <w:szCs w:val="16"/>
                    </w:rPr>
                    <w:t>TSP</w:t>
                  </w:r>
                </w:p>
              </w:tc>
              <w:tc>
                <w:tcPr>
                  <w:tcW w:w="1404" w:type="dxa"/>
                  <w:vAlign w:val="center"/>
                </w:tcPr>
                <w:p>
                  <w:pPr>
                    <w:autoSpaceDE w:val="0"/>
                    <w:autoSpaceDN w:val="0"/>
                    <w:adjustRightInd w:val="0"/>
                    <w:jc w:val="center"/>
                    <w:rPr>
                      <w:rStyle w:val="50"/>
                      <w:color w:val="auto"/>
                    </w:rPr>
                  </w:pPr>
                  <w:r>
                    <w:rPr>
                      <w:color w:val="auto"/>
                      <w:szCs w:val="16"/>
                    </w:rPr>
                    <w:t>24小时</w:t>
                  </w:r>
                </w:p>
              </w:tc>
              <w:tc>
                <w:tcPr>
                  <w:tcW w:w="1095" w:type="dxa"/>
                  <w:vAlign w:val="center"/>
                </w:tcPr>
                <w:p>
                  <w:pPr>
                    <w:autoSpaceDE w:val="0"/>
                    <w:autoSpaceDN w:val="0"/>
                    <w:adjustRightInd w:val="0"/>
                    <w:jc w:val="center"/>
                    <w:rPr>
                      <w:color w:val="auto"/>
                      <w:szCs w:val="16"/>
                    </w:rPr>
                  </w:pPr>
                  <w:r>
                    <w:rPr>
                      <w:color w:val="auto"/>
                      <w:szCs w:val="16"/>
                    </w:rPr>
                    <w:t>0.3</w:t>
                  </w:r>
                </w:p>
              </w:tc>
              <w:tc>
                <w:tcPr>
                  <w:tcW w:w="1080" w:type="dxa"/>
                  <w:vAlign w:val="center"/>
                </w:tcPr>
                <w:p>
                  <w:pPr>
                    <w:autoSpaceDE w:val="0"/>
                    <w:autoSpaceDN w:val="0"/>
                    <w:adjustRightInd w:val="0"/>
                    <w:jc w:val="center"/>
                    <w:rPr>
                      <w:color w:val="auto"/>
                      <w:szCs w:val="16"/>
                    </w:rPr>
                  </w:pPr>
                  <w:r>
                    <w:rPr>
                      <w:color w:val="auto"/>
                      <w:szCs w:val="16"/>
                    </w:rPr>
                    <w:t>3</w:t>
                  </w:r>
                </w:p>
              </w:tc>
              <w:tc>
                <w:tcPr>
                  <w:tcW w:w="1065" w:type="dxa"/>
                  <w:vAlign w:val="center"/>
                </w:tcPr>
                <w:p>
                  <w:pPr>
                    <w:autoSpaceDE w:val="0"/>
                    <w:autoSpaceDN w:val="0"/>
                    <w:adjustRightInd w:val="0"/>
                    <w:jc w:val="center"/>
                    <w:rPr>
                      <w:color w:val="auto"/>
                      <w:szCs w:val="16"/>
                    </w:rPr>
                  </w:pPr>
                  <w:r>
                    <w:rPr>
                      <w:color w:val="auto"/>
                      <w:szCs w:val="16"/>
                    </w:rPr>
                    <w:t>0.9</w:t>
                  </w:r>
                </w:p>
              </w:tc>
              <w:tc>
                <w:tcPr>
                  <w:tcW w:w="2779" w:type="dxa"/>
                  <w:vAlign w:val="center"/>
                </w:tcPr>
                <w:p>
                  <w:pPr>
                    <w:pStyle w:val="2"/>
                    <w:jc w:val="center"/>
                    <w:rPr>
                      <w:rFonts w:ascii="Times New Roman" w:cs="Times New Roman"/>
                      <w:color w:val="auto"/>
                      <w:sz w:val="21"/>
                      <w:szCs w:val="16"/>
                    </w:rPr>
                  </w:pPr>
                  <w:r>
                    <w:rPr>
                      <w:rFonts w:ascii="Times New Roman" w:cs="Times New Roman"/>
                      <w:color w:val="auto"/>
                      <w:sz w:val="21"/>
                      <w:szCs w:val="21"/>
                    </w:rPr>
                    <w:t>《环境空气质量标准》（GB3095-2012）及”2018修改单”二级标准</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lang w:val="zh-CN"/>
              </w:rPr>
              <w:t>估算模型参数表</w:t>
            </w:r>
          </w:p>
          <w:tbl>
            <w:tblPr>
              <w:tblStyle w:val="44"/>
              <w:tblW w:w="8784"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2627"/>
              <w:gridCol w:w="2370"/>
              <w:gridCol w:w="3787"/>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b/>
                      <w:color w:val="auto"/>
                      <w:szCs w:val="21"/>
                      <w:lang w:val="zh-CN"/>
                    </w:rPr>
                  </w:pPr>
                  <w:r>
                    <w:rPr>
                      <w:b/>
                      <w:color w:val="auto"/>
                      <w:szCs w:val="21"/>
                      <w:lang w:val="zh-CN"/>
                    </w:rPr>
                    <w:t>参数</w:t>
                  </w:r>
                </w:p>
              </w:tc>
              <w:tc>
                <w:tcPr>
                  <w:tcW w:w="3787" w:type="dxa"/>
                  <w:tcBorders>
                    <w:tl2br w:val="nil"/>
                    <w:tr2bl w:val="nil"/>
                  </w:tcBorders>
                  <w:vAlign w:val="center"/>
                </w:tcPr>
                <w:p>
                  <w:pPr>
                    <w:spacing w:line="360" w:lineRule="auto"/>
                    <w:jc w:val="center"/>
                    <w:rPr>
                      <w:b/>
                      <w:color w:val="auto"/>
                      <w:szCs w:val="21"/>
                      <w:lang w:val="zh-CN"/>
                    </w:rPr>
                  </w:pPr>
                  <w:r>
                    <w:rPr>
                      <w:b/>
                      <w:color w:val="auto"/>
                      <w:szCs w:val="21"/>
                      <w:lang w:val="zh-CN"/>
                    </w:rPr>
                    <w:t>取值</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spacing w:line="360" w:lineRule="auto"/>
                    <w:jc w:val="center"/>
                    <w:rPr>
                      <w:color w:val="auto"/>
                      <w:szCs w:val="21"/>
                    </w:rPr>
                  </w:pPr>
                  <w:r>
                    <w:rPr>
                      <w:color w:val="auto"/>
                      <w:szCs w:val="21"/>
                      <w:lang w:val="zh-CN"/>
                    </w:rPr>
                    <w:t>城市</w:t>
                  </w:r>
                  <w:r>
                    <w:rPr>
                      <w:color w:val="auto"/>
                      <w:szCs w:val="21"/>
                    </w:rPr>
                    <w:t>/农村选项</w:t>
                  </w:r>
                </w:p>
              </w:tc>
              <w:tc>
                <w:tcPr>
                  <w:tcW w:w="2370" w:type="dxa"/>
                  <w:tcBorders>
                    <w:tl2br w:val="nil"/>
                    <w:tr2bl w:val="nil"/>
                  </w:tcBorders>
                  <w:vAlign w:val="center"/>
                </w:tcPr>
                <w:p>
                  <w:pPr>
                    <w:spacing w:line="360" w:lineRule="auto"/>
                    <w:jc w:val="center"/>
                    <w:rPr>
                      <w:color w:val="auto"/>
                      <w:szCs w:val="21"/>
                    </w:rPr>
                  </w:pPr>
                  <w:r>
                    <w:rPr>
                      <w:color w:val="auto"/>
                      <w:szCs w:val="21"/>
                      <w:lang w:val="zh-CN"/>
                    </w:rPr>
                    <w:t>城市</w:t>
                  </w:r>
                  <w:r>
                    <w:rPr>
                      <w:color w:val="auto"/>
                      <w:szCs w:val="21"/>
                    </w:rPr>
                    <w:t>/农村</w:t>
                  </w:r>
                </w:p>
              </w:tc>
              <w:tc>
                <w:tcPr>
                  <w:tcW w:w="3787" w:type="dxa"/>
                  <w:tcBorders>
                    <w:tl2br w:val="nil"/>
                    <w:tr2bl w:val="nil"/>
                  </w:tcBorders>
                  <w:vAlign w:val="center"/>
                </w:tcPr>
                <w:p>
                  <w:pPr>
                    <w:spacing w:line="360" w:lineRule="auto"/>
                    <w:jc w:val="center"/>
                    <w:rPr>
                      <w:color w:val="auto"/>
                      <w:szCs w:val="21"/>
                      <w:lang w:val="zh-CN"/>
                    </w:rPr>
                  </w:pPr>
                  <w:r>
                    <w:rPr>
                      <w:color w:val="auto"/>
                      <w:szCs w:val="21"/>
                      <w:lang w:val="zh-CN"/>
                    </w:rPr>
                    <w:t>城市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lang w:val="zh-CN"/>
                    </w:rPr>
                  </w:pPr>
                </w:p>
              </w:tc>
              <w:tc>
                <w:tcPr>
                  <w:tcW w:w="2370" w:type="dxa"/>
                  <w:tcBorders>
                    <w:tl2br w:val="nil"/>
                    <w:tr2bl w:val="nil"/>
                  </w:tcBorders>
                  <w:vAlign w:val="center"/>
                </w:tcPr>
                <w:p>
                  <w:pPr>
                    <w:spacing w:line="360" w:lineRule="auto"/>
                    <w:jc w:val="center"/>
                    <w:rPr>
                      <w:color w:val="auto"/>
                      <w:szCs w:val="21"/>
                      <w:lang w:val="zh-CN"/>
                    </w:rPr>
                  </w:pPr>
                  <w:r>
                    <w:rPr>
                      <w:color w:val="auto"/>
                      <w:szCs w:val="21"/>
                      <w:lang w:val="zh-CN"/>
                    </w:rPr>
                    <w:t>人口数（城市选项时）</w:t>
                  </w:r>
                </w:p>
              </w:tc>
              <w:tc>
                <w:tcPr>
                  <w:tcW w:w="3787" w:type="dxa"/>
                  <w:tcBorders>
                    <w:tl2br w:val="nil"/>
                    <w:tr2bl w:val="nil"/>
                  </w:tcBorders>
                  <w:vAlign w:val="center"/>
                </w:tcPr>
                <w:p>
                  <w:pPr>
                    <w:spacing w:line="360" w:lineRule="auto"/>
                    <w:jc w:val="center"/>
                    <w:rPr>
                      <w:color w:val="auto"/>
                      <w:szCs w:val="21"/>
                    </w:rPr>
                  </w:pPr>
                  <w:r>
                    <w:rPr>
                      <w:rFonts w:hint="eastAsia"/>
                      <w:color w:val="auto"/>
                      <w:szCs w:val="21"/>
                    </w:rPr>
                    <w:t>70</w:t>
                  </w:r>
                  <w:r>
                    <w:rPr>
                      <w:color w:val="auto"/>
                      <w:szCs w:val="21"/>
                    </w:rPr>
                    <w:t>万</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lang w:val="zh-CN"/>
                    </w:rPr>
                  </w:pPr>
                  <w:r>
                    <w:rPr>
                      <w:color w:val="auto"/>
                      <w:szCs w:val="21"/>
                      <w:lang w:val="zh-CN"/>
                    </w:rPr>
                    <w:t>最高环境温度</w:t>
                  </w:r>
                  <w:r>
                    <w:rPr>
                      <w:color w:val="auto"/>
                      <w:szCs w:val="21"/>
                    </w:rPr>
                    <w:t>/℃</w:t>
                  </w:r>
                </w:p>
              </w:tc>
              <w:tc>
                <w:tcPr>
                  <w:tcW w:w="3787" w:type="dxa"/>
                  <w:tcBorders>
                    <w:tl2br w:val="nil"/>
                    <w:tr2bl w:val="nil"/>
                  </w:tcBorders>
                  <w:vAlign w:val="center"/>
                </w:tcPr>
                <w:p>
                  <w:pPr>
                    <w:spacing w:line="360" w:lineRule="auto"/>
                    <w:jc w:val="center"/>
                    <w:rPr>
                      <w:rFonts w:hint="default" w:eastAsia="宋体"/>
                      <w:color w:val="auto"/>
                      <w:szCs w:val="21"/>
                      <w:lang w:val="en-US" w:eastAsia="zh-CN"/>
                    </w:rPr>
                  </w:pPr>
                  <w:r>
                    <w:rPr>
                      <w:rFonts w:hint="eastAsia"/>
                      <w:color w:val="auto"/>
                      <w:szCs w:val="21"/>
                      <w:lang w:val="en-US" w:eastAsia="zh-CN"/>
                    </w:rPr>
                    <w:t>39.4</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lang w:val="zh-CN"/>
                    </w:rPr>
                  </w:pPr>
                  <w:r>
                    <w:rPr>
                      <w:color w:val="auto"/>
                      <w:szCs w:val="21"/>
                      <w:lang w:val="zh-CN"/>
                    </w:rPr>
                    <w:t>最低环境温度</w:t>
                  </w:r>
                  <w:r>
                    <w:rPr>
                      <w:color w:val="auto"/>
                      <w:szCs w:val="21"/>
                    </w:rPr>
                    <w:t>/℃</w:t>
                  </w:r>
                </w:p>
              </w:tc>
              <w:tc>
                <w:tcPr>
                  <w:tcW w:w="3787" w:type="dxa"/>
                  <w:tcBorders>
                    <w:tl2br w:val="nil"/>
                    <w:tr2bl w:val="nil"/>
                  </w:tcBorders>
                  <w:vAlign w:val="center"/>
                </w:tcPr>
                <w:p>
                  <w:pPr>
                    <w:spacing w:line="360" w:lineRule="auto"/>
                    <w:jc w:val="center"/>
                    <w:rPr>
                      <w:rFonts w:hint="default" w:eastAsia="宋体"/>
                      <w:color w:val="auto"/>
                      <w:szCs w:val="21"/>
                      <w:lang w:val="en-US" w:eastAsia="zh-CN"/>
                    </w:rPr>
                  </w:pPr>
                  <w:r>
                    <w:rPr>
                      <w:rFonts w:hint="eastAsia"/>
                      <w:color w:val="auto"/>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lang w:val="zh-CN"/>
                    </w:rPr>
                  </w:pPr>
                  <w:r>
                    <w:rPr>
                      <w:color w:val="auto"/>
                      <w:szCs w:val="21"/>
                      <w:lang w:val="zh-CN"/>
                    </w:rPr>
                    <w:t>土地利用类型</w:t>
                  </w:r>
                </w:p>
              </w:tc>
              <w:tc>
                <w:tcPr>
                  <w:tcW w:w="3787" w:type="dxa"/>
                  <w:tcBorders>
                    <w:tl2br w:val="nil"/>
                    <w:tr2bl w:val="nil"/>
                  </w:tcBorders>
                  <w:vAlign w:val="center"/>
                </w:tcPr>
                <w:p>
                  <w:pPr>
                    <w:spacing w:line="360" w:lineRule="auto"/>
                    <w:jc w:val="center"/>
                    <w:rPr>
                      <w:color w:val="auto"/>
                      <w:szCs w:val="21"/>
                    </w:rPr>
                  </w:pPr>
                  <w:r>
                    <w:rPr>
                      <w:color w:val="auto"/>
                      <w:szCs w:val="21"/>
                    </w:rPr>
                    <w:t>城市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lang w:val="zh-CN"/>
                    </w:rPr>
                  </w:pPr>
                  <w:r>
                    <w:rPr>
                      <w:color w:val="auto"/>
                      <w:szCs w:val="21"/>
                      <w:lang w:val="zh-CN"/>
                    </w:rPr>
                    <w:t>区域湿度条件</w:t>
                  </w:r>
                </w:p>
              </w:tc>
              <w:tc>
                <w:tcPr>
                  <w:tcW w:w="3787" w:type="dxa"/>
                  <w:tcBorders>
                    <w:tl2br w:val="nil"/>
                    <w:tr2bl w:val="nil"/>
                  </w:tcBorders>
                  <w:vAlign w:val="center"/>
                </w:tcPr>
                <w:p>
                  <w:pPr>
                    <w:spacing w:line="360" w:lineRule="auto"/>
                    <w:jc w:val="center"/>
                    <w:rPr>
                      <w:color w:val="auto"/>
                      <w:szCs w:val="21"/>
                    </w:rPr>
                  </w:pPr>
                  <w:r>
                    <w:rPr>
                      <w:color w:val="auto"/>
                      <w:szCs w:val="21"/>
                    </w:rPr>
                    <w:t>潮湿</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spacing w:line="360" w:lineRule="auto"/>
                    <w:jc w:val="center"/>
                    <w:rPr>
                      <w:color w:val="auto"/>
                      <w:szCs w:val="21"/>
                      <w:lang w:val="zh-CN"/>
                    </w:rPr>
                  </w:pPr>
                  <w:r>
                    <w:rPr>
                      <w:color w:val="auto"/>
                      <w:szCs w:val="21"/>
                      <w:lang w:val="zh-CN"/>
                    </w:rPr>
                    <w:t>是否考虑地形</w:t>
                  </w:r>
                </w:p>
              </w:tc>
              <w:tc>
                <w:tcPr>
                  <w:tcW w:w="2370" w:type="dxa"/>
                  <w:tcBorders>
                    <w:tl2br w:val="nil"/>
                    <w:tr2bl w:val="nil"/>
                  </w:tcBorders>
                  <w:vAlign w:val="center"/>
                </w:tcPr>
                <w:p>
                  <w:pPr>
                    <w:spacing w:line="360" w:lineRule="auto"/>
                    <w:jc w:val="center"/>
                    <w:rPr>
                      <w:color w:val="auto"/>
                      <w:szCs w:val="21"/>
                      <w:lang w:val="zh-CN"/>
                    </w:rPr>
                  </w:pPr>
                  <w:r>
                    <w:rPr>
                      <w:color w:val="auto"/>
                      <w:szCs w:val="21"/>
                      <w:lang w:val="zh-CN"/>
                    </w:rPr>
                    <w:t>考虑地形</w:t>
                  </w:r>
                </w:p>
              </w:tc>
              <w:tc>
                <w:tcPr>
                  <w:tcW w:w="3787" w:type="dxa"/>
                  <w:tcBorders>
                    <w:tl2br w:val="nil"/>
                    <w:tr2bl w:val="nil"/>
                  </w:tcBorders>
                  <w:vAlign w:val="center"/>
                </w:tcPr>
                <w:p>
                  <w:pPr>
                    <w:spacing w:line="360" w:lineRule="auto"/>
                    <w:jc w:val="center"/>
                    <w:rPr>
                      <w:color w:val="auto"/>
                      <w:szCs w:val="21"/>
                      <w:lang w:val="zh-CN"/>
                    </w:rPr>
                  </w:pPr>
                  <w:r>
                    <w:rPr>
                      <w:color w:val="auto"/>
                      <w:szCs w:val="21"/>
                      <w:lang w:val="zh-CN"/>
                    </w:rPr>
                    <w:sym w:font="Wingdings 2" w:char="00A3"/>
                  </w:r>
                  <w:r>
                    <w:rPr>
                      <w:color w:val="auto"/>
                      <w:szCs w:val="21"/>
                      <w:lang w:val="zh-CN"/>
                    </w:rPr>
                    <w:t>是</w:t>
                  </w:r>
                  <w:r>
                    <w:rPr>
                      <w:color w:val="auto"/>
                      <w:szCs w:val="21"/>
                    </w:rPr>
                    <w:t xml:space="preserve">   </w:t>
                  </w:r>
                  <w:r>
                    <w:rPr>
                      <w:color w:val="auto"/>
                      <w:szCs w:val="21"/>
                      <w:lang w:val="zh-CN"/>
                    </w:rPr>
                    <w:sym w:font="Wingdings 2" w:char="0052"/>
                  </w:r>
                  <w:r>
                    <w:rPr>
                      <w:color w:val="auto"/>
                      <w:szCs w:val="21"/>
                      <w:lang w:val="zh-CN"/>
                    </w:rPr>
                    <w:t>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lang w:val="zh-CN"/>
                    </w:rPr>
                  </w:pPr>
                </w:p>
              </w:tc>
              <w:tc>
                <w:tcPr>
                  <w:tcW w:w="2370" w:type="dxa"/>
                  <w:tcBorders>
                    <w:tl2br w:val="nil"/>
                    <w:tr2bl w:val="nil"/>
                  </w:tcBorders>
                  <w:vAlign w:val="center"/>
                </w:tcPr>
                <w:p>
                  <w:pPr>
                    <w:spacing w:line="360" w:lineRule="auto"/>
                    <w:jc w:val="center"/>
                    <w:rPr>
                      <w:color w:val="auto"/>
                      <w:szCs w:val="21"/>
                    </w:rPr>
                  </w:pPr>
                  <w:r>
                    <w:rPr>
                      <w:color w:val="auto"/>
                      <w:szCs w:val="21"/>
                      <w:lang w:val="zh-CN"/>
                    </w:rPr>
                    <w:t>地形数据分辨率</w:t>
                  </w:r>
                  <w:r>
                    <w:rPr>
                      <w:color w:val="auto"/>
                      <w:szCs w:val="21"/>
                    </w:rPr>
                    <w:t>/m</w:t>
                  </w:r>
                </w:p>
              </w:tc>
              <w:tc>
                <w:tcPr>
                  <w:tcW w:w="3787" w:type="dxa"/>
                  <w:tcBorders>
                    <w:tl2br w:val="nil"/>
                    <w:tr2bl w:val="nil"/>
                  </w:tcBorders>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spacing w:line="360" w:lineRule="auto"/>
                    <w:jc w:val="center"/>
                    <w:rPr>
                      <w:color w:val="auto"/>
                      <w:szCs w:val="21"/>
                    </w:rPr>
                  </w:pPr>
                  <w:r>
                    <w:rPr>
                      <w:color w:val="auto"/>
                      <w:szCs w:val="21"/>
                    </w:rPr>
                    <w:t>是否考虑岸线熏烟</w:t>
                  </w:r>
                </w:p>
              </w:tc>
              <w:tc>
                <w:tcPr>
                  <w:tcW w:w="2370" w:type="dxa"/>
                  <w:tcBorders>
                    <w:tl2br w:val="nil"/>
                    <w:tr2bl w:val="nil"/>
                  </w:tcBorders>
                  <w:vAlign w:val="center"/>
                </w:tcPr>
                <w:p>
                  <w:pPr>
                    <w:spacing w:line="360" w:lineRule="auto"/>
                    <w:jc w:val="center"/>
                    <w:rPr>
                      <w:color w:val="auto"/>
                      <w:szCs w:val="21"/>
                      <w:lang w:val="zh-CN"/>
                    </w:rPr>
                  </w:pPr>
                  <w:r>
                    <w:rPr>
                      <w:color w:val="auto"/>
                      <w:szCs w:val="21"/>
                      <w:lang w:val="zh-CN"/>
                    </w:rPr>
                    <w:t>考虑岸线熏烟</w:t>
                  </w:r>
                </w:p>
              </w:tc>
              <w:tc>
                <w:tcPr>
                  <w:tcW w:w="3787" w:type="dxa"/>
                  <w:tcBorders>
                    <w:tl2br w:val="nil"/>
                    <w:tr2bl w:val="nil"/>
                  </w:tcBorders>
                  <w:vAlign w:val="center"/>
                </w:tcPr>
                <w:p>
                  <w:pPr>
                    <w:spacing w:line="360" w:lineRule="auto"/>
                    <w:jc w:val="center"/>
                    <w:rPr>
                      <w:color w:val="auto"/>
                      <w:szCs w:val="21"/>
                      <w:lang w:val="zh-CN"/>
                    </w:rPr>
                  </w:pPr>
                  <w:r>
                    <w:rPr>
                      <w:color w:val="auto"/>
                      <w:szCs w:val="21"/>
                      <w:lang w:val="zh-CN"/>
                    </w:rPr>
                    <w:sym w:font="Wingdings 2" w:char="00A3"/>
                  </w:r>
                  <w:r>
                    <w:rPr>
                      <w:color w:val="auto"/>
                      <w:szCs w:val="21"/>
                      <w:lang w:val="zh-CN"/>
                    </w:rPr>
                    <w:t>是</w:t>
                  </w:r>
                  <w:r>
                    <w:rPr>
                      <w:color w:val="auto"/>
                      <w:szCs w:val="21"/>
                    </w:rPr>
                    <w:t xml:space="preserve">   </w:t>
                  </w:r>
                  <w:r>
                    <w:rPr>
                      <w:color w:val="auto"/>
                      <w:szCs w:val="21"/>
                      <w:lang w:val="zh-CN"/>
                    </w:rPr>
                    <w:sym w:font="Wingdings 2" w:char="0052"/>
                  </w:r>
                  <w:r>
                    <w:rPr>
                      <w:color w:val="auto"/>
                      <w:szCs w:val="21"/>
                      <w:lang w:val="zh-CN"/>
                    </w:rPr>
                    <w:t>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lang w:val="zh-CN"/>
                    </w:rPr>
                  </w:pPr>
                </w:p>
              </w:tc>
              <w:tc>
                <w:tcPr>
                  <w:tcW w:w="2370" w:type="dxa"/>
                  <w:tcBorders>
                    <w:tl2br w:val="nil"/>
                    <w:tr2bl w:val="nil"/>
                  </w:tcBorders>
                  <w:vAlign w:val="center"/>
                </w:tcPr>
                <w:p>
                  <w:pPr>
                    <w:spacing w:line="360" w:lineRule="auto"/>
                    <w:jc w:val="center"/>
                    <w:rPr>
                      <w:color w:val="auto"/>
                      <w:szCs w:val="21"/>
                    </w:rPr>
                  </w:pPr>
                  <w:r>
                    <w:rPr>
                      <w:color w:val="auto"/>
                      <w:szCs w:val="21"/>
                      <w:lang w:val="zh-CN"/>
                    </w:rPr>
                    <w:t>岸线距离</w:t>
                  </w:r>
                  <w:r>
                    <w:rPr>
                      <w:color w:val="auto"/>
                      <w:szCs w:val="21"/>
                    </w:rPr>
                    <w:t>/km</w:t>
                  </w:r>
                </w:p>
              </w:tc>
              <w:tc>
                <w:tcPr>
                  <w:tcW w:w="3787" w:type="dxa"/>
                  <w:tcBorders>
                    <w:tl2br w:val="nil"/>
                    <w:tr2bl w:val="nil"/>
                  </w:tcBorders>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lang w:val="zh-CN"/>
                    </w:rPr>
                  </w:pPr>
                </w:p>
              </w:tc>
              <w:tc>
                <w:tcPr>
                  <w:tcW w:w="2370" w:type="dxa"/>
                  <w:tcBorders>
                    <w:tl2br w:val="nil"/>
                    <w:tr2bl w:val="nil"/>
                  </w:tcBorders>
                  <w:vAlign w:val="center"/>
                </w:tcPr>
                <w:p>
                  <w:pPr>
                    <w:spacing w:line="360" w:lineRule="auto"/>
                    <w:jc w:val="center"/>
                    <w:rPr>
                      <w:color w:val="auto"/>
                      <w:szCs w:val="21"/>
                    </w:rPr>
                  </w:pPr>
                  <w:r>
                    <w:rPr>
                      <w:color w:val="auto"/>
                      <w:szCs w:val="21"/>
                    </w:rPr>
                    <w:t>岸线方向/°</w:t>
                  </w:r>
                </w:p>
              </w:tc>
              <w:tc>
                <w:tcPr>
                  <w:tcW w:w="3787" w:type="dxa"/>
                  <w:tcBorders>
                    <w:tl2br w:val="nil"/>
                    <w:tr2bl w:val="nil"/>
                  </w:tcBorders>
                  <w:vAlign w:val="center"/>
                </w:tcPr>
                <w:p>
                  <w:pPr>
                    <w:spacing w:line="360" w:lineRule="auto"/>
                    <w:jc w:val="center"/>
                    <w:rPr>
                      <w:color w:val="auto"/>
                      <w:szCs w:val="21"/>
                    </w:rPr>
                  </w:pPr>
                  <w:r>
                    <w:rPr>
                      <w:color w:val="auto"/>
                      <w:szCs w:val="21"/>
                    </w:rPr>
                    <w:t>/</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本项目点源参数表</w:t>
            </w:r>
          </w:p>
          <w:tbl>
            <w:tblPr>
              <w:tblStyle w:val="44"/>
              <w:tblW w:w="93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765"/>
              <w:gridCol w:w="509"/>
              <w:gridCol w:w="572"/>
              <w:gridCol w:w="884"/>
              <w:gridCol w:w="856"/>
              <w:gridCol w:w="960"/>
              <w:gridCol w:w="900"/>
              <w:gridCol w:w="705"/>
              <w:gridCol w:w="840"/>
              <w:gridCol w:w="720"/>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blHeader/>
                <w:jc w:val="center"/>
              </w:trPr>
              <w:tc>
                <w:tcPr>
                  <w:tcW w:w="646" w:type="dxa"/>
                  <w:vMerge w:val="restart"/>
                  <w:tcBorders>
                    <w:tl2br w:val="nil"/>
                    <w:tr2bl w:val="nil"/>
                  </w:tcBorders>
                  <w:vAlign w:val="center"/>
                </w:tcPr>
                <w:p>
                  <w:pPr>
                    <w:autoSpaceDE w:val="0"/>
                    <w:autoSpaceDN w:val="0"/>
                    <w:jc w:val="center"/>
                    <w:rPr>
                      <w:b/>
                      <w:color w:val="auto"/>
                      <w:szCs w:val="21"/>
                    </w:rPr>
                  </w:pPr>
                  <w:r>
                    <w:rPr>
                      <w:b/>
                      <w:color w:val="auto"/>
                      <w:szCs w:val="21"/>
                    </w:rPr>
                    <w:t>排气筒编号</w:t>
                  </w:r>
                </w:p>
              </w:tc>
              <w:tc>
                <w:tcPr>
                  <w:tcW w:w="765" w:type="dxa"/>
                  <w:vMerge w:val="restart"/>
                  <w:tcBorders>
                    <w:tl2br w:val="nil"/>
                    <w:tr2bl w:val="nil"/>
                  </w:tcBorders>
                  <w:vAlign w:val="center"/>
                </w:tcPr>
                <w:p>
                  <w:pPr>
                    <w:autoSpaceDE w:val="0"/>
                    <w:autoSpaceDN w:val="0"/>
                    <w:jc w:val="center"/>
                    <w:rPr>
                      <w:color w:val="auto"/>
                      <w:szCs w:val="21"/>
                    </w:rPr>
                  </w:pPr>
                  <w:r>
                    <w:rPr>
                      <w:b/>
                      <w:color w:val="auto"/>
                      <w:szCs w:val="21"/>
                    </w:rPr>
                    <w:t>污染物</w:t>
                  </w:r>
                </w:p>
              </w:tc>
              <w:tc>
                <w:tcPr>
                  <w:tcW w:w="1081" w:type="dxa"/>
                  <w:gridSpan w:val="2"/>
                  <w:tcBorders>
                    <w:tl2br w:val="nil"/>
                    <w:tr2bl w:val="nil"/>
                  </w:tcBorders>
                  <w:vAlign w:val="center"/>
                </w:tcPr>
                <w:p>
                  <w:pPr>
                    <w:autoSpaceDE w:val="0"/>
                    <w:autoSpaceDN w:val="0"/>
                    <w:jc w:val="center"/>
                    <w:rPr>
                      <w:b/>
                      <w:color w:val="auto"/>
                      <w:szCs w:val="21"/>
                    </w:rPr>
                  </w:pPr>
                  <w:r>
                    <w:rPr>
                      <w:b/>
                      <w:color w:val="auto"/>
                      <w:szCs w:val="21"/>
                    </w:rPr>
                    <w:t>排气筒底部中心坐标/m</w:t>
                  </w:r>
                </w:p>
              </w:tc>
              <w:tc>
                <w:tcPr>
                  <w:tcW w:w="884" w:type="dxa"/>
                  <w:vMerge w:val="restart"/>
                  <w:tcBorders>
                    <w:tl2br w:val="nil"/>
                    <w:tr2bl w:val="nil"/>
                  </w:tcBorders>
                  <w:vAlign w:val="center"/>
                </w:tcPr>
                <w:p>
                  <w:pPr>
                    <w:autoSpaceDE w:val="0"/>
                    <w:autoSpaceDN w:val="0"/>
                    <w:jc w:val="center"/>
                    <w:rPr>
                      <w:color w:val="auto"/>
                      <w:szCs w:val="21"/>
                    </w:rPr>
                  </w:pPr>
                  <w:r>
                    <w:rPr>
                      <w:b/>
                      <w:bCs/>
                      <w:color w:val="auto"/>
                      <w:szCs w:val="21"/>
                    </w:rPr>
                    <w:t>排气筒底部海拔高度/m</w:t>
                  </w:r>
                </w:p>
              </w:tc>
              <w:tc>
                <w:tcPr>
                  <w:tcW w:w="856" w:type="dxa"/>
                  <w:vMerge w:val="restart"/>
                  <w:tcBorders>
                    <w:tl2br w:val="nil"/>
                    <w:tr2bl w:val="nil"/>
                  </w:tcBorders>
                  <w:vAlign w:val="center"/>
                </w:tcPr>
                <w:p>
                  <w:pPr>
                    <w:jc w:val="center"/>
                    <w:rPr>
                      <w:color w:val="auto"/>
                      <w:szCs w:val="21"/>
                    </w:rPr>
                  </w:pPr>
                  <w:r>
                    <w:rPr>
                      <w:b/>
                      <w:bCs/>
                      <w:color w:val="auto"/>
                      <w:szCs w:val="21"/>
                    </w:rPr>
                    <w:t>排气筒高度（m）</w:t>
                  </w:r>
                </w:p>
              </w:tc>
              <w:tc>
                <w:tcPr>
                  <w:tcW w:w="960" w:type="dxa"/>
                  <w:vMerge w:val="restart"/>
                  <w:tcBorders>
                    <w:tl2br w:val="nil"/>
                    <w:tr2bl w:val="nil"/>
                  </w:tcBorders>
                  <w:vAlign w:val="center"/>
                </w:tcPr>
                <w:p>
                  <w:pPr>
                    <w:autoSpaceDE w:val="0"/>
                    <w:autoSpaceDN w:val="0"/>
                    <w:jc w:val="center"/>
                    <w:rPr>
                      <w:color w:val="auto"/>
                      <w:szCs w:val="21"/>
                    </w:rPr>
                  </w:pPr>
                  <w:r>
                    <w:rPr>
                      <w:b/>
                      <w:bCs/>
                      <w:color w:val="auto"/>
                      <w:szCs w:val="21"/>
                    </w:rPr>
                    <w:t>排气筒出口内径（m）</w:t>
                  </w:r>
                </w:p>
              </w:tc>
              <w:tc>
                <w:tcPr>
                  <w:tcW w:w="900" w:type="dxa"/>
                  <w:vMerge w:val="restart"/>
                  <w:tcBorders>
                    <w:tl2br w:val="nil"/>
                    <w:tr2bl w:val="nil"/>
                  </w:tcBorders>
                  <w:vAlign w:val="center"/>
                </w:tcPr>
                <w:p>
                  <w:pPr>
                    <w:autoSpaceDE w:val="0"/>
                    <w:autoSpaceDN w:val="0"/>
                    <w:jc w:val="center"/>
                    <w:rPr>
                      <w:b/>
                      <w:color w:val="auto"/>
                      <w:szCs w:val="21"/>
                    </w:rPr>
                  </w:pPr>
                  <w:r>
                    <w:rPr>
                      <w:b/>
                      <w:color w:val="auto"/>
                      <w:szCs w:val="21"/>
                    </w:rPr>
                    <w:t>烟气流速</w:t>
                  </w:r>
                </w:p>
                <w:p>
                  <w:pPr>
                    <w:autoSpaceDE w:val="0"/>
                    <w:autoSpaceDN w:val="0"/>
                    <w:jc w:val="center"/>
                    <w:rPr>
                      <w:b/>
                      <w:color w:val="auto"/>
                      <w:szCs w:val="21"/>
                    </w:rPr>
                  </w:pPr>
                  <w:r>
                    <w:rPr>
                      <w:b/>
                      <w:color w:val="auto"/>
                      <w:szCs w:val="21"/>
                    </w:rPr>
                    <w:t>/（m/s）</w:t>
                  </w:r>
                </w:p>
              </w:tc>
              <w:tc>
                <w:tcPr>
                  <w:tcW w:w="705" w:type="dxa"/>
                  <w:vMerge w:val="restart"/>
                  <w:tcBorders>
                    <w:tl2br w:val="nil"/>
                    <w:tr2bl w:val="nil"/>
                  </w:tcBorders>
                  <w:vAlign w:val="center"/>
                </w:tcPr>
                <w:p>
                  <w:pPr>
                    <w:autoSpaceDE w:val="0"/>
                    <w:autoSpaceDN w:val="0"/>
                    <w:jc w:val="center"/>
                    <w:rPr>
                      <w:b/>
                      <w:color w:val="auto"/>
                      <w:szCs w:val="21"/>
                    </w:rPr>
                  </w:pPr>
                  <w:r>
                    <w:rPr>
                      <w:b/>
                      <w:color w:val="auto"/>
                      <w:szCs w:val="21"/>
                    </w:rPr>
                    <w:t>烟气温度/℃</w:t>
                  </w:r>
                </w:p>
              </w:tc>
              <w:tc>
                <w:tcPr>
                  <w:tcW w:w="840" w:type="dxa"/>
                  <w:vMerge w:val="restart"/>
                  <w:tcBorders>
                    <w:tl2br w:val="nil"/>
                    <w:tr2bl w:val="nil"/>
                  </w:tcBorders>
                  <w:vAlign w:val="center"/>
                </w:tcPr>
                <w:p>
                  <w:pPr>
                    <w:autoSpaceDE w:val="0"/>
                    <w:autoSpaceDN w:val="0"/>
                    <w:jc w:val="center"/>
                    <w:rPr>
                      <w:b/>
                      <w:color w:val="auto"/>
                      <w:szCs w:val="21"/>
                    </w:rPr>
                  </w:pPr>
                  <w:r>
                    <w:rPr>
                      <w:b/>
                      <w:color w:val="auto"/>
                      <w:szCs w:val="21"/>
                    </w:rPr>
                    <w:t>年排放小时数/h</w:t>
                  </w:r>
                </w:p>
              </w:tc>
              <w:tc>
                <w:tcPr>
                  <w:tcW w:w="720" w:type="dxa"/>
                  <w:vMerge w:val="restart"/>
                  <w:tcBorders>
                    <w:tl2br w:val="nil"/>
                    <w:tr2bl w:val="nil"/>
                  </w:tcBorders>
                  <w:vAlign w:val="center"/>
                </w:tcPr>
                <w:p>
                  <w:pPr>
                    <w:autoSpaceDE w:val="0"/>
                    <w:autoSpaceDN w:val="0"/>
                    <w:jc w:val="center"/>
                    <w:rPr>
                      <w:b/>
                      <w:color w:val="auto"/>
                      <w:szCs w:val="21"/>
                    </w:rPr>
                  </w:pPr>
                  <w:r>
                    <w:rPr>
                      <w:b/>
                      <w:color w:val="auto"/>
                      <w:szCs w:val="21"/>
                    </w:rPr>
                    <w:t>排放工况</w:t>
                  </w:r>
                </w:p>
              </w:tc>
              <w:tc>
                <w:tcPr>
                  <w:tcW w:w="945" w:type="dxa"/>
                  <w:vMerge w:val="restart"/>
                  <w:tcBorders>
                    <w:tl2br w:val="nil"/>
                    <w:tr2bl w:val="nil"/>
                  </w:tcBorders>
                  <w:vAlign w:val="center"/>
                </w:tcPr>
                <w:p>
                  <w:pPr>
                    <w:autoSpaceDE w:val="0"/>
                    <w:autoSpaceDN w:val="0"/>
                    <w:jc w:val="center"/>
                    <w:rPr>
                      <w:b/>
                      <w:color w:val="auto"/>
                      <w:szCs w:val="21"/>
                    </w:rPr>
                  </w:pPr>
                  <w:r>
                    <w:rPr>
                      <w:b/>
                      <w:color w:val="auto"/>
                      <w:szCs w:val="21"/>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646" w:type="dxa"/>
                  <w:vMerge w:val="continue"/>
                  <w:tcBorders>
                    <w:tl2br w:val="nil"/>
                    <w:tr2bl w:val="nil"/>
                  </w:tcBorders>
                  <w:vAlign w:val="center"/>
                </w:tcPr>
                <w:p>
                  <w:pPr>
                    <w:autoSpaceDE w:val="0"/>
                    <w:autoSpaceDN w:val="0"/>
                    <w:jc w:val="center"/>
                    <w:rPr>
                      <w:color w:val="auto"/>
                      <w:szCs w:val="21"/>
                    </w:rPr>
                  </w:pPr>
                </w:p>
              </w:tc>
              <w:tc>
                <w:tcPr>
                  <w:tcW w:w="765" w:type="dxa"/>
                  <w:vMerge w:val="continue"/>
                  <w:tcBorders>
                    <w:tl2br w:val="nil"/>
                    <w:tr2bl w:val="nil"/>
                  </w:tcBorders>
                  <w:vAlign w:val="center"/>
                </w:tcPr>
                <w:p>
                  <w:pPr>
                    <w:autoSpaceDE w:val="0"/>
                    <w:autoSpaceDN w:val="0"/>
                    <w:jc w:val="center"/>
                    <w:rPr>
                      <w:color w:val="auto"/>
                      <w:szCs w:val="21"/>
                    </w:rPr>
                  </w:pPr>
                </w:p>
              </w:tc>
              <w:tc>
                <w:tcPr>
                  <w:tcW w:w="509" w:type="dxa"/>
                  <w:tcBorders>
                    <w:tl2br w:val="nil"/>
                    <w:tr2bl w:val="nil"/>
                  </w:tcBorders>
                  <w:vAlign w:val="center"/>
                </w:tcPr>
                <w:p>
                  <w:pPr>
                    <w:autoSpaceDE w:val="0"/>
                    <w:autoSpaceDN w:val="0"/>
                    <w:jc w:val="center"/>
                    <w:rPr>
                      <w:color w:val="auto"/>
                      <w:szCs w:val="21"/>
                    </w:rPr>
                  </w:pPr>
                  <w:r>
                    <w:rPr>
                      <w:color w:val="auto"/>
                      <w:szCs w:val="21"/>
                    </w:rPr>
                    <w:t>X</w:t>
                  </w:r>
                </w:p>
              </w:tc>
              <w:tc>
                <w:tcPr>
                  <w:tcW w:w="572" w:type="dxa"/>
                  <w:tcBorders>
                    <w:tl2br w:val="nil"/>
                    <w:tr2bl w:val="nil"/>
                  </w:tcBorders>
                  <w:vAlign w:val="center"/>
                </w:tcPr>
                <w:p>
                  <w:pPr>
                    <w:autoSpaceDE w:val="0"/>
                    <w:autoSpaceDN w:val="0"/>
                    <w:jc w:val="center"/>
                    <w:rPr>
                      <w:color w:val="auto"/>
                      <w:szCs w:val="21"/>
                    </w:rPr>
                  </w:pPr>
                  <w:r>
                    <w:rPr>
                      <w:color w:val="auto"/>
                      <w:szCs w:val="21"/>
                    </w:rPr>
                    <w:t>Y</w:t>
                  </w:r>
                </w:p>
              </w:tc>
              <w:tc>
                <w:tcPr>
                  <w:tcW w:w="884" w:type="dxa"/>
                  <w:vMerge w:val="continue"/>
                  <w:tcBorders>
                    <w:tl2br w:val="nil"/>
                    <w:tr2bl w:val="nil"/>
                  </w:tcBorders>
                  <w:vAlign w:val="center"/>
                </w:tcPr>
                <w:p>
                  <w:pPr>
                    <w:autoSpaceDE w:val="0"/>
                    <w:autoSpaceDN w:val="0"/>
                    <w:jc w:val="center"/>
                    <w:rPr>
                      <w:color w:val="auto"/>
                      <w:szCs w:val="21"/>
                    </w:rPr>
                  </w:pPr>
                </w:p>
              </w:tc>
              <w:tc>
                <w:tcPr>
                  <w:tcW w:w="856" w:type="dxa"/>
                  <w:vMerge w:val="continue"/>
                  <w:tcBorders>
                    <w:tl2br w:val="nil"/>
                    <w:tr2bl w:val="nil"/>
                  </w:tcBorders>
                  <w:vAlign w:val="center"/>
                </w:tcPr>
                <w:p>
                  <w:pPr>
                    <w:autoSpaceDE w:val="0"/>
                    <w:autoSpaceDN w:val="0"/>
                    <w:jc w:val="center"/>
                    <w:rPr>
                      <w:color w:val="auto"/>
                      <w:szCs w:val="21"/>
                    </w:rPr>
                  </w:pPr>
                </w:p>
              </w:tc>
              <w:tc>
                <w:tcPr>
                  <w:tcW w:w="960" w:type="dxa"/>
                  <w:vMerge w:val="continue"/>
                  <w:tcBorders>
                    <w:tl2br w:val="nil"/>
                    <w:tr2bl w:val="nil"/>
                  </w:tcBorders>
                  <w:vAlign w:val="center"/>
                </w:tcPr>
                <w:p>
                  <w:pPr>
                    <w:autoSpaceDE w:val="0"/>
                    <w:autoSpaceDN w:val="0"/>
                    <w:jc w:val="center"/>
                    <w:rPr>
                      <w:color w:val="auto"/>
                      <w:szCs w:val="21"/>
                    </w:rPr>
                  </w:pPr>
                </w:p>
              </w:tc>
              <w:tc>
                <w:tcPr>
                  <w:tcW w:w="900" w:type="dxa"/>
                  <w:vMerge w:val="continue"/>
                  <w:tcBorders>
                    <w:tl2br w:val="nil"/>
                    <w:tr2bl w:val="nil"/>
                  </w:tcBorders>
                  <w:vAlign w:val="center"/>
                </w:tcPr>
                <w:p>
                  <w:pPr>
                    <w:autoSpaceDE w:val="0"/>
                    <w:autoSpaceDN w:val="0"/>
                    <w:jc w:val="center"/>
                    <w:rPr>
                      <w:color w:val="auto"/>
                      <w:szCs w:val="21"/>
                    </w:rPr>
                  </w:pPr>
                </w:p>
              </w:tc>
              <w:tc>
                <w:tcPr>
                  <w:tcW w:w="705" w:type="dxa"/>
                  <w:vMerge w:val="continue"/>
                  <w:tcBorders>
                    <w:tl2br w:val="nil"/>
                    <w:tr2bl w:val="nil"/>
                  </w:tcBorders>
                  <w:vAlign w:val="center"/>
                </w:tcPr>
                <w:p>
                  <w:pPr>
                    <w:autoSpaceDE w:val="0"/>
                    <w:autoSpaceDN w:val="0"/>
                    <w:jc w:val="center"/>
                    <w:rPr>
                      <w:color w:val="auto"/>
                      <w:szCs w:val="21"/>
                    </w:rPr>
                  </w:pPr>
                </w:p>
              </w:tc>
              <w:tc>
                <w:tcPr>
                  <w:tcW w:w="840" w:type="dxa"/>
                  <w:vMerge w:val="continue"/>
                  <w:tcBorders>
                    <w:tl2br w:val="nil"/>
                    <w:tr2bl w:val="nil"/>
                  </w:tcBorders>
                  <w:vAlign w:val="center"/>
                </w:tcPr>
                <w:p>
                  <w:pPr>
                    <w:autoSpaceDE w:val="0"/>
                    <w:autoSpaceDN w:val="0"/>
                    <w:jc w:val="center"/>
                    <w:rPr>
                      <w:color w:val="auto"/>
                      <w:szCs w:val="21"/>
                    </w:rPr>
                  </w:pPr>
                </w:p>
              </w:tc>
              <w:tc>
                <w:tcPr>
                  <w:tcW w:w="720" w:type="dxa"/>
                  <w:vMerge w:val="continue"/>
                  <w:tcBorders>
                    <w:tl2br w:val="nil"/>
                    <w:tr2bl w:val="nil"/>
                  </w:tcBorders>
                  <w:vAlign w:val="center"/>
                </w:tcPr>
                <w:p>
                  <w:pPr>
                    <w:autoSpaceDE w:val="0"/>
                    <w:autoSpaceDN w:val="0"/>
                    <w:jc w:val="center"/>
                    <w:rPr>
                      <w:color w:val="auto"/>
                      <w:szCs w:val="21"/>
                    </w:rPr>
                  </w:pPr>
                </w:p>
              </w:tc>
              <w:tc>
                <w:tcPr>
                  <w:tcW w:w="945" w:type="dxa"/>
                  <w:vMerge w:val="continue"/>
                  <w:tcBorders>
                    <w:tl2br w:val="nil"/>
                    <w:tr2bl w:val="nil"/>
                  </w:tcBorders>
                  <w:vAlign w:val="center"/>
                </w:tcPr>
                <w:p>
                  <w:pPr>
                    <w:autoSpaceDE w:val="0"/>
                    <w:autoSpaceDN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646" w:type="dxa"/>
                  <w:tcBorders>
                    <w:tl2br w:val="nil"/>
                    <w:tr2bl w:val="nil"/>
                  </w:tcBorders>
                  <w:vAlign w:val="center"/>
                </w:tcPr>
                <w:p>
                  <w:pPr>
                    <w:widowControl/>
                    <w:adjustRightInd w:val="0"/>
                    <w:snapToGrid w:val="0"/>
                    <w:jc w:val="center"/>
                    <w:rPr>
                      <w:color w:val="auto"/>
                      <w:szCs w:val="21"/>
                    </w:rPr>
                  </w:pPr>
                  <w:r>
                    <w:rPr>
                      <w:color w:val="auto"/>
                      <w:szCs w:val="21"/>
                    </w:rPr>
                    <w:t>G1</w:t>
                  </w:r>
                </w:p>
              </w:tc>
              <w:tc>
                <w:tcPr>
                  <w:tcW w:w="765" w:type="dxa"/>
                  <w:tcBorders>
                    <w:tl2br w:val="nil"/>
                    <w:tr2bl w:val="nil"/>
                  </w:tcBorders>
                  <w:vAlign w:val="center"/>
                </w:tcPr>
                <w:p>
                  <w:pPr>
                    <w:adjustRightInd w:val="0"/>
                    <w:snapToGrid w:val="0"/>
                    <w:jc w:val="center"/>
                    <w:rPr>
                      <w:color w:val="auto"/>
                      <w:szCs w:val="21"/>
                    </w:rPr>
                  </w:pPr>
                  <w:r>
                    <w:rPr>
                      <w:color w:val="auto"/>
                      <w:szCs w:val="21"/>
                    </w:rPr>
                    <w:t>非甲烷总烃</w:t>
                  </w:r>
                </w:p>
              </w:tc>
              <w:tc>
                <w:tcPr>
                  <w:tcW w:w="509" w:type="dxa"/>
                  <w:tcBorders>
                    <w:tl2br w:val="nil"/>
                    <w:tr2bl w:val="nil"/>
                  </w:tcBorders>
                  <w:vAlign w:val="center"/>
                </w:tcPr>
                <w:p>
                  <w:pPr>
                    <w:widowControl/>
                    <w:adjustRightInd w:val="0"/>
                    <w:snapToGrid w:val="0"/>
                    <w:jc w:val="center"/>
                    <w:rPr>
                      <w:color w:val="auto"/>
                      <w:szCs w:val="21"/>
                    </w:rPr>
                  </w:pPr>
                  <w:r>
                    <w:rPr>
                      <w:rFonts w:hint="eastAsia"/>
                      <w:color w:val="auto"/>
                      <w:szCs w:val="21"/>
                    </w:rPr>
                    <w:t>18</w:t>
                  </w:r>
                </w:p>
              </w:tc>
              <w:tc>
                <w:tcPr>
                  <w:tcW w:w="572" w:type="dxa"/>
                  <w:tcBorders>
                    <w:tl2br w:val="nil"/>
                    <w:tr2bl w:val="nil"/>
                  </w:tcBorders>
                  <w:vAlign w:val="center"/>
                </w:tcPr>
                <w:p>
                  <w:pPr>
                    <w:widowControl/>
                    <w:adjustRightInd w:val="0"/>
                    <w:snapToGrid w:val="0"/>
                    <w:jc w:val="center"/>
                    <w:rPr>
                      <w:color w:val="auto"/>
                      <w:szCs w:val="21"/>
                    </w:rPr>
                  </w:pPr>
                  <w:r>
                    <w:rPr>
                      <w:rFonts w:hint="eastAsia"/>
                      <w:color w:val="auto"/>
                      <w:szCs w:val="21"/>
                    </w:rPr>
                    <w:t>-12</w:t>
                  </w:r>
                </w:p>
              </w:tc>
              <w:tc>
                <w:tcPr>
                  <w:tcW w:w="884" w:type="dxa"/>
                  <w:tcBorders>
                    <w:tl2br w:val="nil"/>
                    <w:tr2bl w:val="nil"/>
                  </w:tcBorders>
                  <w:vAlign w:val="center"/>
                </w:tcPr>
                <w:p>
                  <w:pPr>
                    <w:autoSpaceDE w:val="0"/>
                    <w:autoSpaceDN w:val="0"/>
                    <w:jc w:val="center"/>
                    <w:rPr>
                      <w:rFonts w:eastAsia="仿宋_GB2312"/>
                      <w:color w:val="auto"/>
                      <w:szCs w:val="21"/>
                    </w:rPr>
                  </w:pPr>
                  <w:r>
                    <w:rPr>
                      <w:rFonts w:hint="eastAsia"/>
                      <w:color w:val="auto"/>
                      <w:szCs w:val="21"/>
                    </w:rPr>
                    <w:t>12</w:t>
                  </w:r>
                </w:p>
              </w:tc>
              <w:tc>
                <w:tcPr>
                  <w:tcW w:w="856" w:type="dxa"/>
                  <w:tcBorders>
                    <w:tl2br w:val="nil"/>
                    <w:tr2bl w:val="nil"/>
                  </w:tcBorders>
                  <w:vAlign w:val="center"/>
                </w:tcPr>
                <w:p>
                  <w:pPr>
                    <w:autoSpaceDE w:val="0"/>
                    <w:autoSpaceDN w:val="0"/>
                    <w:jc w:val="center"/>
                    <w:rPr>
                      <w:rFonts w:eastAsia="仿宋_GB2312"/>
                      <w:color w:val="auto"/>
                      <w:szCs w:val="21"/>
                    </w:rPr>
                  </w:pPr>
                  <w:r>
                    <w:rPr>
                      <w:color w:val="auto"/>
                      <w:szCs w:val="21"/>
                    </w:rPr>
                    <w:t>15</w:t>
                  </w:r>
                </w:p>
              </w:tc>
              <w:tc>
                <w:tcPr>
                  <w:tcW w:w="960" w:type="dxa"/>
                  <w:tcBorders>
                    <w:tl2br w:val="nil"/>
                    <w:tr2bl w:val="nil"/>
                  </w:tcBorders>
                  <w:vAlign w:val="center"/>
                </w:tcPr>
                <w:p>
                  <w:pPr>
                    <w:autoSpaceDE w:val="0"/>
                    <w:autoSpaceDN w:val="0"/>
                    <w:jc w:val="center"/>
                    <w:rPr>
                      <w:rFonts w:eastAsia="仿宋_GB2312"/>
                      <w:color w:val="auto"/>
                      <w:szCs w:val="21"/>
                    </w:rPr>
                  </w:pPr>
                  <w:r>
                    <w:rPr>
                      <w:rFonts w:hint="eastAsia"/>
                      <w:color w:val="auto"/>
                      <w:szCs w:val="21"/>
                    </w:rPr>
                    <w:t>0.5</w:t>
                  </w:r>
                </w:p>
              </w:tc>
              <w:tc>
                <w:tcPr>
                  <w:tcW w:w="900" w:type="dxa"/>
                  <w:tcBorders>
                    <w:tl2br w:val="nil"/>
                    <w:tr2bl w:val="nil"/>
                  </w:tcBorders>
                  <w:vAlign w:val="center"/>
                </w:tcPr>
                <w:p>
                  <w:pPr>
                    <w:autoSpaceDE w:val="0"/>
                    <w:autoSpaceDN w:val="0"/>
                    <w:jc w:val="center"/>
                    <w:rPr>
                      <w:color w:val="auto"/>
                      <w:szCs w:val="21"/>
                    </w:rPr>
                  </w:pPr>
                  <w:r>
                    <w:rPr>
                      <w:rFonts w:hint="eastAsia"/>
                      <w:color w:val="auto"/>
                      <w:szCs w:val="21"/>
                    </w:rPr>
                    <w:t>12.2</w:t>
                  </w:r>
                </w:p>
              </w:tc>
              <w:tc>
                <w:tcPr>
                  <w:tcW w:w="705" w:type="dxa"/>
                  <w:tcBorders>
                    <w:tl2br w:val="nil"/>
                    <w:tr2bl w:val="nil"/>
                  </w:tcBorders>
                  <w:vAlign w:val="center"/>
                </w:tcPr>
                <w:p>
                  <w:pPr>
                    <w:autoSpaceDE w:val="0"/>
                    <w:autoSpaceDN w:val="0"/>
                    <w:jc w:val="center"/>
                    <w:rPr>
                      <w:color w:val="auto"/>
                      <w:szCs w:val="21"/>
                    </w:rPr>
                  </w:pPr>
                  <w:r>
                    <w:rPr>
                      <w:color w:val="auto"/>
                      <w:szCs w:val="21"/>
                    </w:rPr>
                    <w:t>25</w:t>
                  </w:r>
                </w:p>
              </w:tc>
              <w:tc>
                <w:tcPr>
                  <w:tcW w:w="840" w:type="dxa"/>
                  <w:tcBorders>
                    <w:tl2br w:val="nil"/>
                    <w:tr2bl w:val="nil"/>
                  </w:tcBorders>
                  <w:vAlign w:val="center"/>
                </w:tcPr>
                <w:p>
                  <w:pPr>
                    <w:autoSpaceDE w:val="0"/>
                    <w:autoSpaceDN w:val="0"/>
                    <w:jc w:val="center"/>
                    <w:rPr>
                      <w:color w:val="auto"/>
                      <w:szCs w:val="21"/>
                    </w:rPr>
                  </w:pPr>
                  <w:r>
                    <w:rPr>
                      <w:color w:val="auto"/>
                      <w:szCs w:val="21"/>
                    </w:rPr>
                    <w:t>2400</w:t>
                  </w:r>
                </w:p>
              </w:tc>
              <w:tc>
                <w:tcPr>
                  <w:tcW w:w="720" w:type="dxa"/>
                  <w:tcBorders>
                    <w:tl2br w:val="nil"/>
                    <w:tr2bl w:val="nil"/>
                  </w:tcBorders>
                  <w:vAlign w:val="center"/>
                </w:tcPr>
                <w:p>
                  <w:pPr>
                    <w:autoSpaceDE w:val="0"/>
                    <w:autoSpaceDN w:val="0"/>
                    <w:jc w:val="center"/>
                    <w:rPr>
                      <w:color w:val="auto"/>
                      <w:szCs w:val="21"/>
                    </w:rPr>
                  </w:pPr>
                  <w:r>
                    <w:rPr>
                      <w:color w:val="auto"/>
                      <w:szCs w:val="21"/>
                    </w:rPr>
                    <w:t>正常</w:t>
                  </w:r>
                </w:p>
              </w:tc>
              <w:tc>
                <w:tcPr>
                  <w:tcW w:w="945" w:type="dxa"/>
                  <w:tcBorders>
                    <w:tl2br w:val="nil"/>
                    <w:tr2bl w:val="nil"/>
                  </w:tcBorders>
                  <w:vAlign w:val="center"/>
                </w:tcPr>
                <w:p>
                  <w:pPr>
                    <w:autoSpaceDE w:val="0"/>
                    <w:autoSpaceDN w:val="0"/>
                    <w:jc w:val="center"/>
                    <w:rPr>
                      <w:rFonts w:hint="default" w:eastAsia="宋体"/>
                      <w:bCs/>
                      <w:color w:val="auto"/>
                      <w:szCs w:val="21"/>
                      <w:lang w:val="en-US" w:eastAsia="zh-CN"/>
                    </w:rPr>
                  </w:pPr>
                  <w:r>
                    <w:rPr>
                      <w:rFonts w:hint="eastAsia"/>
                      <w:color w:val="auto"/>
                      <w:kern w:val="0"/>
                      <w:szCs w:val="21"/>
                      <w:lang w:val="en-US" w:eastAsia="zh-CN"/>
                    </w:rPr>
                    <w:t>0.009</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本项目面源参数表</w:t>
            </w:r>
          </w:p>
          <w:tbl>
            <w:tblPr>
              <w:tblStyle w:val="44"/>
              <w:tblW w:w="92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683"/>
              <w:gridCol w:w="590"/>
              <w:gridCol w:w="548"/>
              <w:gridCol w:w="1061"/>
              <w:gridCol w:w="904"/>
              <w:gridCol w:w="860"/>
              <w:gridCol w:w="675"/>
              <w:gridCol w:w="865"/>
              <w:gridCol w:w="900"/>
              <w:gridCol w:w="76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blHeader/>
                <w:jc w:val="center"/>
              </w:trPr>
              <w:tc>
                <w:tcPr>
                  <w:tcW w:w="525" w:type="dxa"/>
                  <w:vMerge w:val="restart"/>
                  <w:tcBorders>
                    <w:tl2br w:val="nil"/>
                    <w:tr2bl w:val="nil"/>
                  </w:tcBorders>
                  <w:vAlign w:val="center"/>
                </w:tcPr>
                <w:p>
                  <w:pPr>
                    <w:jc w:val="center"/>
                    <w:rPr>
                      <w:b/>
                      <w:color w:val="auto"/>
                      <w:szCs w:val="21"/>
                    </w:rPr>
                  </w:pPr>
                  <w:r>
                    <w:rPr>
                      <w:b/>
                      <w:color w:val="auto"/>
                      <w:szCs w:val="21"/>
                    </w:rPr>
                    <w:t>污染源</w:t>
                  </w:r>
                </w:p>
              </w:tc>
              <w:tc>
                <w:tcPr>
                  <w:tcW w:w="683" w:type="dxa"/>
                  <w:vMerge w:val="restart"/>
                  <w:tcBorders>
                    <w:tl2br w:val="nil"/>
                    <w:tr2bl w:val="nil"/>
                  </w:tcBorders>
                  <w:vAlign w:val="center"/>
                </w:tcPr>
                <w:p>
                  <w:pPr>
                    <w:jc w:val="center"/>
                    <w:rPr>
                      <w:b/>
                      <w:color w:val="auto"/>
                      <w:szCs w:val="21"/>
                    </w:rPr>
                  </w:pPr>
                  <w:r>
                    <w:rPr>
                      <w:b/>
                      <w:color w:val="auto"/>
                      <w:szCs w:val="21"/>
                    </w:rPr>
                    <w:t>污染物</w:t>
                  </w:r>
                </w:p>
              </w:tc>
              <w:tc>
                <w:tcPr>
                  <w:tcW w:w="1138" w:type="dxa"/>
                  <w:gridSpan w:val="2"/>
                  <w:tcBorders>
                    <w:tl2br w:val="nil"/>
                    <w:tr2bl w:val="nil"/>
                  </w:tcBorders>
                  <w:vAlign w:val="center"/>
                </w:tcPr>
                <w:p>
                  <w:pPr>
                    <w:autoSpaceDE w:val="0"/>
                    <w:autoSpaceDN w:val="0"/>
                    <w:jc w:val="center"/>
                    <w:rPr>
                      <w:b/>
                      <w:color w:val="auto"/>
                      <w:szCs w:val="21"/>
                    </w:rPr>
                  </w:pPr>
                  <w:r>
                    <w:rPr>
                      <w:rFonts w:hint="eastAsia"/>
                      <w:b/>
                      <w:color w:val="auto"/>
                      <w:szCs w:val="21"/>
                    </w:rPr>
                    <w:t>面源起点坐标/m</w:t>
                  </w:r>
                </w:p>
              </w:tc>
              <w:tc>
                <w:tcPr>
                  <w:tcW w:w="1061" w:type="dxa"/>
                  <w:vMerge w:val="restart"/>
                  <w:tcBorders>
                    <w:tl2br w:val="nil"/>
                    <w:tr2bl w:val="nil"/>
                  </w:tcBorders>
                  <w:vAlign w:val="center"/>
                </w:tcPr>
                <w:p>
                  <w:pPr>
                    <w:jc w:val="center"/>
                    <w:rPr>
                      <w:b/>
                      <w:color w:val="auto"/>
                      <w:szCs w:val="21"/>
                    </w:rPr>
                  </w:pPr>
                  <w:r>
                    <w:rPr>
                      <w:rFonts w:hint="eastAsia"/>
                      <w:b/>
                      <w:color w:val="auto"/>
                      <w:szCs w:val="21"/>
                    </w:rPr>
                    <w:t>面源海拔高度/m</w:t>
                  </w:r>
                </w:p>
              </w:tc>
              <w:tc>
                <w:tcPr>
                  <w:tcW w:w="904" w:type="dxa"/>
                  <w:vMerge w:val="restart"/>
                  <w:tcBorders>
                    <w:tl2br w:val="nil"/>
                    <w:tr2bl w:val="nil"/>
                  </w:tcBorders>
                  <w:vAlign w:val="center"/>
                </w:tcPr>
                <w:p>
                  <w:pPr>
                    <w:jc w:val="center"/>
                    <w:rPr>
                      <w:b/>
                      <w:color w:val="auto"/>
                      <w:szCs w:val="21"/>
                    </w:rPr>
                  </w:pPr>
                  <w:r>
                    <w:rPr>
                      <w:b/>
                      <w:color w:val="auto"/>
                      <w:szCs w:val="21"/>
                    </w:rPr>
                    <w:t>面源长度/m</w:t>
                  </w:r>
                </w:p>
              </w:tc>
              <w:tc>
                <w:tcPr>
                  <w:tcW w:w="860" w:type="dxa"/>
                  <w:vMerge w:val="restart"/>
                  <w:tcBorders>
                    <w:tl2br w:val="nil"/>
                    <w:tr2bl w:val="nil"/>
                  </w:tcBorders>
                  <w:vAlign w:val="center"/>
                </w:tcPr>
                <w:p>
                  <w:pPr>
                    <w:jc w:val="center"/>
                    <w:rPr>
                      <w:b/>
                      <w:color w:val="auto"/>
                      <w:szCs w:val="21"/>
                    </w:rPr>
                  </w:pPr>
                  <w:r>
                    <w:rPr>
                      <w:b/>
                      <w:color w:val="auto"/>
                      <w:szCs w:val="21"/>
                    </w:rPr>
                    <w:t>面源宽度/m</w:t>
                  </w:r>
                </w:p>
              </w:tc>
              <w:tc>
                <w:tcPr>
                  <w:tcW w:w="675" w:type="dxa"/>
                  <w:vMerge w:val="restart"/>
                  <w:tcBorders>
                    <w:tl2br w:val="nil"/>
                    <w:tr2bl w:val="nil"/>
                  </w:tcBorders>
                  <w:vAlign w:val="center"/>
                </w:tcPr>
                <w:p>
                  <w:pPr>
                    <w:jc w:val="center"/>
                    <w:rPr>
                      <w:b/>
                      <w:color w:val="auto"/>
                      <w:szCs w:val="21"/>
                    </w:rPr>
                  </w:pPr>
                  <w:r>
                    <w:rPr>
                      <w:rFonts w:hint="eastAsia"/>
                      <w:b/>
                      <w:color w:val="auto"/>
                      <w:szCs w:val="21"/>
                    </w:rPr>
                    <w:t>与正北向夹角/</w:t>
                  </w:r>
                  <w:r>
                    <w:rPr>
                      <w:b/>
                      <w:color w:val="auto"/>
                      <w:szCs w:val="21"/>
                    </w:rPr>
                    <w:t>°</w:t>
                  </w:r>
                </w:p>
              </w:tc>
              <w:tc>
                <w:tcPr>
                  <w:tcW w:w="865" w:type="dxa"/>
                  <w:vMerge w:val="restart"/>
                  <w:tcBorders>
                    <w:tl2br w:val="nil"/>
                    <w:tr2bl w:val="nil"/>
                  </w:tcBorders>
                  <w:vAlign w:val="center"/>
                </w:tcPr>
                <w:p>
                  <w:pPr>
                    <w:jc w:val="center"/>
                    <w:rPr>
                      <w:color w:val="auto"/>
                    </w:rPr>
                  </w:pPr>
                  <w:r>
                    <w:rPr>
                      <w:b/>
                      <w:color w:val="auto"/>
                      <w:szCs w:val="21"/>
                    </w:rPr>
                    <w:t>面源</w:t>
                  </w:r>
                  <w:r>
                    <w:rPr>
                      <w:rFonts w:hint="eastAsia"/>
                      <w:b/>
                      <w:color w:val="auto"/>
                      <w:szCs w:val="21"/>
                    </w:rPr>
                    <w:t>有效排放</w:t>
                  </w:r>
                  <w:r>
                    <w:rPr>
                      <w:b/>
                      <w:color w:val="auto"/>
                      <w:szCs w:val="21"/>
                    </w:rPr>
                    <w:t>高度/m</w:t>
                  </w:r>
                </w:p>
              </w:tc>
              <w:tc>
                <w:tcPr>
                  <w:tcW w:w="900" w:type="dxa"/>
                  <w:vMerge w:val="restart"/>
                  <w:tcBorders>
                    <w:tl2br w:val="nil"/>
                    <w:tr2bl w:val="nil"/>
                  </w:tcBorders>
                  <w:vAlign w:val="center"/>
                </w:tcPr>
                <w:p>
                  <w:pPr>
                    <w:jc w:val="center"/>
                    <w:rPr>
                      <w:b/>
                      <w:color w:val="auto"/>
                      <w:szCs w:val="21"/>
                    </w:rPr>
                  </w:pPr>
                  <w:r>
                    <w:rPr>
                      <w:rFonts w:hint="eastAsia"/>
                      <w:b/>
                      <w:color w:val="auto"/>
                      <w:szCs w:val="21"/>
                    </w:rPr>
                    <w:t>年排放小时数/h</w:t>
                  </w:r>
                </w:p>
              </w:tc>
              <w:tc>
                <w:tcPr>
                  <w:tcW w:w="765" w:type="dxa"/>
                  <w:vMerge w:val="restart"/>
                  <w:tcBorders>
                    <w:tl2br w:val="nil"/>
                    <w:tr2bl w:val="nil"/>
                  </w:tcBorders>
                  <w:vAlign w:val="center"/>
                </w:tcPr>
                <w:p>
                  <w:pPr>
                    <w:jc w:val="center"/>
                    <w:rPr>
                      <w:b/>
                      <w:color w:val="auto"/>
                      <w:szCs w:val="21"/>
                    </w:rPr>
                  </w:pPr>
                  <w:r>
                    <w:rPr>
                      <w:rFonts w:hint="eastAsia"/>
                      <w:b/>
                      <w:color w:val="auto"/>
                      <w:szCs w:val="21"/>
                    </w:rPr>
                    <w:t>排放工况</w:t>
                  </w:r>
                </w:p>
              </w:tc>
              <w:tc>
                <w:tcPr>
                  <w:tcW w:w="825" w:type="dxa"/>
                  <w:vMerge w:val="restart"/>
                  <w:tcBorders>
                    <w:tl2br w:val="nil"/>
                    <w:tr2bl w:val="nil"/>
                  </w:tcBorders>
                  <w:vAlign w:val="center"/>
                </w:tcPr>
                <w:p>
                  <w:pPr>
                    <w:jc w:val="center"/>
                    <w:rPr>
                      <w:b/>
                      <w:color w:val="auto"/>
                      <w:szCs w:val="21"/>
                    </w:rPr>
                  </w:pPr>
                  <w:r>
                    <w:rPr>
                      <w:b/>
                      <w:color w:val="auto"/>
                      <w:szCs w:val="21"/>
                    </w:rPr>
                    <w:t>排放源强kg/h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525" w:type="dxa"/>
                  <w:vMerge w:val="continue"/>
                  <w:tcBorders>
                    <w:tl2br w:val="nil"/>
                    <w:tr2bl w:val="nil"/>
                  </w:tcBorders>
                  <w:vAlign w:val="center"/>
                </w:tcPr>
                <w:p>
                  <w:pPr>
                    <w:jc w:val="center"/>
                    <w:rPr>
                      <w:color w:val="auto"/>
                    </w:rPr>
                  </w:pPr>
                </w:p>
              </w:tc>
              <w:tc>
                <w:tcPr>
                  <w:tcW w:w="683" w:type="dxa"/>
                  <w:vMerge w:val="continue"/>
                  <w:tcBorders>
                    <w:tl2br w:val="nil"/>
                    <w:tr2bl w:val="nil"/>
                  </w:tcBorders>
                  <w:vAlign w:val="center"/>
                </w:tcPr>
                <w:p>
                  <w:pPr>
                    <w:jc w:val="center"/>
                    <w:rPr>
                      <w:color w:val="auto"/>
                    </w:rPr>
                  </w:pPr>
                </w:p>
              </w:tc>
              <w:tc>
                <w:tcPr>
                  <w:tcW w:w="590" w:type="dxa"/>
                  <w:tcBorders>
                    <w:tl2br w:val="nil"/>
                    <w:tr2bl w:val="nil"/>
                  </w:tcBorders>
                  <w:vAlign w:val="center"/>
                </w:tcPr>
                <w:p>
                  <w:pPr>
                    <w:autoSpaceDE w:val="0"/>
                    <w:autoSpaceDN w:val="0"/>
                    <w:jc w:val="center"/>
                    <w:rPr>
                      <w:color w:val="auto"/>
                    </w:rPr>
                  </w:pPr>
                  <w:r>
                    <w:rPr>
                      <w:rFonts w:hint="eastAsia"/>
                      <w:color w:val="auto"/>
                    </w:rPr>
                    <w:t>X</w:t>
                  </w:r>
                </w:p>
              </w:tc>
              <w:tc>
                <w:tcPr>
                  <w:tcW w:w="548" w:type="dxa"/>
                  <w:tcBorders>
                    <w:tl2br w:val="nil"/>
                    <w:tr2bl w:val="nil"/>
                  </w:tcBorders>
                  <w:vAlign w:val="center"/>
                </w:tcPr>
                <w:p>
                  <w:pPr>
                    <w:autoSpaceDE w:val="0"/>
                    <w:autoSpaceDN w:val="0"/>
                    <w:jc w:val="center"/>
                    <w:rPr>
                      <w:color w:val="auto"/>
                    </w:rPr>
                  </w:pPr>
                  <w:r>
                    <w:rPr>
                      <w:rFonts w:hint="eastAsia"/>
                      <w:color w:val="auto"/>
                    </w:rPr>
                    <w:t>Y</w:t>
                  </w:r>
                </w:p>
              </w:tc>
              <w:tc>
                <w:tcPr>
                  <w:tcW w:w="1061" w:type="dxa"/>
                  <w:vMerge w:val="continue"/>
                  <w:tcBorders>
                    <w:tl2br w:val="nil"/>
                    <w:tr2bl w:val="nil"/>
                  </w:tcBorders>
                  <w:vAlign w:val="center"/>
                </w:tcPr>
                <w:p>
                  <w:pPr>
                    <w:jc w:val="center"/>
                    <w:rPr>
                      <w:color w:val="auto"/>
                    </w:rPr>
                  </w:pPr>
                </w:p>
              </w:tc>
              <w:tc>
                <w:tcPr>
                  <w:tcW w:w="904" w:type="dxa"/>
                  <w:vMerge w:val="continue"/>
                  <w:tcBorders>
                    <w:tl2br w:val="nil"/>
                    <w:tr2bl w:val="nil"/>
                  </w:tcBorders>
                  <w:vAlign w:val="center"/>
                </w:tcPr>
                <w:p>
                  <w:pPr>
                    <w:jc w:val="center"/>
                    <w:rPr>
                      <w:color w:val="auto"/>
                    </w:rPr>
                  </w:pPr>
                </w:p>
              </w:tc>
              <w:tc>
                <w:tcPr>
                  <w:tcW w:w="860" w:type="dxa"/>
                  <w:vMerge w:val="continue"/>
                  <w:tcBorders>
                    <w:tl2br w:val="nil"/>
                    <w:tr2bl w:val="nil"/>
                  </w:tcBorders>
                  <w:vAlign w:val="center"/>
                </w:tcPr>
                <w:p>
                  <w:pPr>
                    <w:jc w:val="center"/>
                    <w:rPr>
                      <w:color w:val="auto"/>
                    </w:rPr>
                  </w:pPr>
                </w:p>
              </w:tc>
              <w:tc>
                <w:tcPr>
                  <w:tcW w:w="675" w:type="dxa"/>
                  <w:vMerge w:val="continue"/>
                  <w:tcBorders>
                    <w:tl2br w:val="nil"/>
                    <w:tr2bl w:val="nil"/>
                  </w:tcBorders>
                  <w:vAlign w:val="center"/>
                </w:tcPr>
                <w:p>
                  <w:pPr>
                    <w:jc w:val="center"/>
                    <w:rPr>
                      <w:color w:val="auto"/>
                    </w:rPr>
                  </w:pPr>
                </w:p>
              </w:tc>
              <w:tc>
                <w:tcPr>
                  <w:tcW w:w="865" w:type="dxa"/>
                  <w:vMerge w:val="continue"/>
                  <w:tcBorders>
                    <w:tl2br w:val="nil"/>
                    <w:tr2bl w:val="nil"/>
                  </w:tcBorders>
                  <w:vAlign w:val="center"/>
                </w:tcPr>
                <w:p>
                  <w:pPr>
                    <w:jc w:val="center"/>
                    <w:rPr>
                      <w:color w:val="auto"/>
                    </w:rPr>
                  </w:pPr>
                </w:p>
              </w:tc>
              <w:tc>
                <w:tcPr>
                  <w:tcW w:w="900" w:type="dxa"/>
                  <w:vMerge w:val="continue"/>
                  <w:tcBorders>
                    <w:tl2br w:val="nil"/>
                    <w:tr2bl w:val="nil"/>
                  </w:tcBorders>
                  <w:vAlign w:val="center"/>
                </w:tcPr>
                <w:p>
                  <w:pPr>
                    <w:jc w:val="center"/>
                    <w:rPr>
                      <w:color w:val="auto"/>
                    </w:rPr>
                  </w:pPr>
                </w:p>
              </w:tc>
              <w:tc>
                <w:tcPr>
                  <w:tcW w:w="765" w:type="dxa"/>
                  <w:vMerge w:val="continue"/>
                  <w:tcBorders>
                    <w:tl2br w:val="nil"/>
                    <w:tr2bl w:val="nil"/>
                  </w:tcBorders>
                  <w:vAlign w:val="center"/>
                </w:tcPr>
                <w:p>
                  <w:pPr>
                    <w:jc w:val="center"/>
                    <w:rPr>
                      <w:color w:val="auto"/>
                    </w:rPr>
                  </w:pPr>
                </w:p>
              </w:tc>
              <w:tc>
                <w:tcPr>
                  <w:tcW w:w="825" w:type="dxa"/>
                  <w:vMerge w:val="continue"/>
                  <w:tcBorders>
                    <w:tl2br w:val="nil"/>
                    <w:tr2bl w:val="nil"/>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525" w:type="dxa"/>
                  <w:vMerge w:val="restart"/>
                  <w:tcBorders>
                    <w:tl2br w:val="nil"/>
                    <w:tr2bl w:val="nil"/>
                  </w:tcBorders>
                  <w:vAlign w:val="center"/>
                </w:tcPr>
                <w:p>
                  <w:pPr>
                    <w:widowControl/>
                    <w:adjustRightInd w:val="0"/>
                    <w:snapToGrid w:val="0"/>
                    <w:jc w:val="center"/>
                    <w:rPr>
                      <w:bCs/>
                      <w:color w:val="auto"/>
                      <w:szCs w:val="21"/>
                    </w:rPr>
                  </w:pPr>
                  <w:r>
                    <w:rPr>
                      <w:rFonts w:hint="eastAsia"/>
                      <w:color w:val="auto"/>
                      <w:szCs w:val="21"/>
                    </w:rPr>
                    <w:t>生产车间</w:t>
                  </w:r>
                </w:p>
              </w:tc>
              <w:tc>
                <w:tcPr>
                  <w:tcW w:w="683" w:type="dxa"/>
                  <w:tcBorders>
                    <w:tl2br w:val="nil"/>
                    <w:tr2bl w:val="nil"/>
                  </w:tcBorders>
                  <w:vAlign w:val="center"/>
                </w:tcPr>
                <w:p>
                  <w:pPr>
                    <w:pStyle w:val="2"/>
                    <w:jc w:val="center"/>
                    <w:rPr>
                      <w:color w:val="auto"/>
                      <w:sz w:val="21"/>
                      <w:szCs w:val="21"/>
                    </w:rPr>
                  </w:pPr>
                  <w:r>
                    <w:rPr>
                      <w:rFonts w:ascii="Times New Roman" w:cs="Times New Roman"/>
                      <w:color w:val="auto"/>
                      <w:sz w:val="21"/>
                      <w:szCs w:val="21"/>
                    </w:rPr>
                    <w:t>非甲烷总烃</w:t>
                  </w:r>
                </w:p>
              </w:tc>
              <w:tc>
                <w:tcPr>
                  <w:tcW w:w="590" w:type="dxa"/>
                  <w:vMerge w:val="restart"/>
                  <w:tcBorders>
                    <w:tl2br w:val="nil"/>
                    <w:tr2bl w:val="nil"/>
                  </w:tcBorders>
                  <w:vAlign w:val="center"/>
                </w:tcPr>
                <w:p>
                  <w:pPr>
                    <w:widowControl/>
                    <w:adjustRightInd w:val="0"/>
                    <w:snapToGrid w:val="0"/>
                    <w:jc w:val="center"/>
                    <w:rPr>
                      <w:color w:val="auto"/>
                      <w:szCs w:val="21"/>
                    </w:rPr>
                  </w:pPr>
                  <w:r>
                    <w:rPr>
                      <w:rFonts w:hint="eastAsia"/>
                      <w:color w:val="auto"/>
                      <w:szCs w:val="21"/>
                    </w:rPr>
                    <w:t>14</w:t>
                  </w:r>
                </w:p>
              </w:tc>
              <w:tc>
                <w:tcPr>
                  <w:tcW w:w="548" w:type="dxa"/>
                  <w:vMerge w:val="restart"/>
                  <w:tcBorders>
                    <w:tl2br w:val="nil"/>
                    <w:tr2bl w:val="nil"/>
                  </w:tcBorders>
                  <w:vAlign w:val="center"/>
                </w:tcPr>
                <w:p>
                  <w:pPr>
                    <w:widowControl/>
                    <w:adjustRightInd w:val="0"/>
                    <w:snapToGrid w:val="0"/>
                    <w:jc w:val="center"/>
                    <w:rPr>
                      <w:color w:val="auto"/>
                      <w:szCs w:val="21"/>
                    </w:rPr>
                  </w:pPr>
                  <w:r>
                    <w:rPr>
                      <w:rFonts w:hint="eastAsia"/>
                      <w:color w:val="auto"/>
                      <w:szCs w:val="21"/>
                    </w:rPr>
                    <w:t>-20</w:t>
                  </w:r>
                </w:p>
              </w:tc>
              <w:tc>
                <w:tcPr>
                  <w:tcW w:w="1061" w:type="dxa"/>
                  <w:vMerge w:val="restart"/>
                  <w:tcBorders>
                    <w:tl2br w:val="nil"/>
                    <w:tr2bl w:val="nil"/>
                  </w:tcBorders>
                  <w:vAlign w:val="center"/>
                </w:tcPr>
                <w:p>
                  <w:pPr>
                    <w:jc w:val="center"/>
                    <w:rPr>
                      <w:color w:val="auto"/>
                      <w:szCs w:val="21"/>
                    </w:rPr>
                  </w:pPr>
                  <w:r>
                    <w:rPr>
                      <w:rFonts w:hint="eastAsia"/>
                      <w:color w:val="auto"/>
                      <w:szCs w:val="21"/>
                    </w:rPr>
                    <w:t>12</w:t>
                  </w:r>
                </w:p>
              </w:tc>
              <w:tc>
                <w:tcPr>
                  <w:tcW w:w="904" w:type="dxa"/>
                  <w:vMerge w:val="restart"/>
                  <w:tcBorders>
                    <w:tl2br w:val="nil"/>
                    <w:tr2bl w:val="nil"/>
                  </w:tcBorders>
                  <w:vAlign w:val="center"/>
                </w:tcPr>
                <w:p>
                  <w:pPr>
                    <w:jc w:val="center"/>
                    <w:rPr>
                      <w:color w:val="auto"/>
                    </w:rPr>
                  </w:pPr>
                  <w:r>
                    <w:rPr>
                      <w:rFonts w:hint="eastAsia"/>
                      <w:color w:val="auto"/>
                    </w:rPr>
                    <w:t>20</w:t>
                  </w:r>
                </w:p>
              </w:tc>
              <w:tc>
                <w:tcPr>
                  <w:tcW w:w="860" w:type="dxa"/>
                  <w:vMerge w:val="restart"/>
                  <w:tcBorders>
                    <w:tl2br w:val="nil"/>
                    <w:tr2bl w:val="nil"/>
                  </w:tcBorders>
                  <w:vAlign w:val="center"/>
                </w:tcPr>
                <w:p>
                  <w:pPr>
                    <w:pStyle w:val="153"/>
                    <w:tabs>
                      <w:tab w:val="left" w:pos="-2848"/>
                    </w:tabs>
                    <w:rPr>
                      <w:color w:val="auto"/>
                      <w:szCs w:val="21"/>
                    </w:rPr>
                  </w:pPr>
                  <w:r>
                    <w:rPr>
                      <w:rFonts w:hint="eastAsia"/>
                      <w:color w:val="auto"/>
                      <w:szCs w:val="21"/>
                    </w:rPr>
                    <w:t>44.25</w:t>
                  </w:r>
                </w:p>
              </w:tc>
              <w:tc>
                <w:tcPr>
                  <w:tcW w:w="675" w:type="dxa"/>
                  <w:vMerge w:val="restart"/>
                  <w:tcBorders>
                    <w:tl2br w:val="nil"/>
                    <w:tr2bl w:val="nil"/>
                  </w:tcBorders>
                  <w:vAlign w:val="center"/>
                </w:tcPr>
                <w:p>
                  <w:pPr>
                    <w:jc w:val="center"/>
                    <w:rPr>
                      <w:color w:val="auto"/>
                      <w:szCs w:val="21"/>
                    </w:rPr>
                  </w:pPr>
                  <w:r>
                    <w:rPr>
                      <w:rFonts w:hint="eastAsia"/>
                      <w:color w:val="auto"/>
                      <w:szCs w:val="21"/>
                    </w:rPr>
                    <w:t>36</w:t>
                  </w:r>
                </w:p>
              </w:tc>
              <w:tc>
                <w:tcPr>
                  <w:tcW w:w="865" w:type="dxa"/>
                  <w:vMerge w:val="restart"/>
                  <w:tcBorders>
                    <w:tl2br w:val="nil"/>
                    <w:tr2bl w:val="nil"/>
                  </w:tcBorders>
                  <w:vAlign w:val="center"/>
                </w:tcPr>
                <w:p>
                  <w:pPr>
                    <w:jc w:val="center"/>
                    <w:rPr>
                      <w:rFonts w:eastAsia="仿宋_GB2312"/>
                      <w:color w:val="auto"/>
                    </w:rPr>
                  </w:pPr>
                  <w:r>
                    <w:rPr>
                      <w:rFonts w:hint="eastAsia"/>
                      <w:color w:val="auto"/>
                      <w:szCs w:val="21"/>
                    </w:rPr>
                    <w:t>3</w:t>
                  </w:r>
                </w:p>
              </w:tc>
              <w:tc>
                <w:tcPr>
                  <w:tcW w:w="900" w:type="dxa"/>
                  <w:vMerge w:val="restart"/>
                  <w:tcBorders>
                    <w:tl2br w:val="nil"/>
                    <w:tr2bl w:val="nil"/>
                  </w:tcBorders>
                  <w:vAlign w:val="center"/>
                </w:tcPr>
                <w:p>
                  <w:pPr>
                    <w:autoSpaceDE w:val="0"/>
                    <w:autoSpaceDN w:val="0"/>
                    <w:jc w:val="center"/>
                    <w:rPr>
                      <w:color w:val="auto"/>
                      <w:szCs w:val="21"/>
                    </w:rPr>
                  </w:pPr>
                  <w:r>
                    <w:rPr>
                      <w:rFonts w:hint="eastAsia"/>
                      <w:color w:val="auto"/>
                      <w:szCs w:val="21"/>
                    </w:rPr>
                    <w:t>2400</w:t>
                  </w:r>
                </w:p>
              </w:tc>
              <w:tc>
                <w:tcPr>
                  <w:tcW w:w="765" w:type="dxa"/>
                  <w:vMerge w:val="restart"/>
                  <w:tcBorders>
                    <w:tl2br w:val="nil"/>
                    <w:tr2bl w:val="nil"/>
                  </w:tcBorders>
                  <w:vAlign w:val="center"/>
                </w:tcPr>
                <w:p>
                  <w:pPr>
                    <w:autoSpaceDE w:val="0"/>
                    <w:autoSpaceDN w:val="0"/>
                    <w:jc w:val="center"/>
                    <w:rPr>
                      <w:color w:val="auto"/>
                      <w:szCs w:val="21"/>
                    </w:rPr>
                  </w:pPr>
                  <w:r>
                    <w:rPr>
                      <w:rFonts w:hint="eastAsia"/>
                      <w:color w:val="auto"/>
                      <w:szCs w:val="21"/>
                    </w:rPr>
                    <w:t>正常</w:t>
                  </w:r>
                </w:p>
              </w:tc>
              <w:tc>
                <w:tcPr>
                  <w:tcW w:w="825" w:type="dxa"/>
                  <w:tcBorders>
                    <w:tl2br w:val="nil"/>
                    <w:tr2bl w:val="nil"/>
                  </w:tcBorders>
                  <w:vAlign w:val="center"/>
                </w:tcPr>
                <w:p>
                  <w:pPr>
                    <w:autoSpaceDE w:val="0"/>
                    <w:autoSpaceDN w:val="0"/>
                    <w:jc w:val="center"/>
                    <w:rPr>
                      <w:rFonts w:hint="default" w:eastAsia="宋体"/>
                      <w:color w:val="auto"/>
                      <w:szCs w:val="21"/>
                      <w:lang w:val="en-US" w:eastAsia="zh-CN"/>
                    </w:rPr>
                  </w:pPr>
                  <w:r>
                    <w:rPr>
                      <w:rFonts w:hint="eastAsia"/>
                      <w:color w:val="auto"/>
                      <w:szCs w:val="21"/>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525" w:type="dxa"/>
                  <w:vMerge w:val="continue"/>
                  <w:tcBorders>
                    <w:tl2br w:val="nil"/>
                    <w:tr2bl w:val="nil"/>
                  </w:tcBorders>
                  <w:vAlign w:val="center"/>
                </w:tcPr>
                <w:p>
                  <w:pPr>
                    <w:widowControl/>
                    <w:adjustRightInd w:val="0"/>
                    <w:snapToGrid w:val="0"/>
                    <w:jc w:val="center"/>
                    <w:rPr>
                      <w:color w:val="auto"/>
                      <w:szCs w:val="21"/>
                    </w:rPr>
                  </w:pPr>
                </w:p>
              </w:tc>
              <w:tc>
                <w:tcPr>
                  <w:tcW w:w="683" w:type="dxa"/>
                  <w:tcBorders>
                    <w:tl2br w:val="nil"/>
                    <w:tr2bl w:val="nil"/>
                  </w:tcBorders>
                  <w:vAlign w:val="center"/>
                </w:tcPr>
                <w:p>
                  <w:pPr>
                    <w:pStyle w:val="2"/>
                    <w:jc w:val="center"/>
                    <w:rPr>
                      <w:rFonts w:ascii="Times New Roman" w:cs="Times New Roman"/>
                      <w:color w:val="auto"/>
                      <w:sz w:val="21"/>
                      <w:szCs w:val="21"/>
                    </w:rPr>
                  </w:pPr>
                  <w:r>
                    <w:rPr>
                      <w:rFonts w:hint="eastAsia" w:ascii="Times New Roman" w:cs="Times New Roman"/>
                      <w:color w:val="auto"/>
                      <w:sz w:val="21"/>
                      <w:szCs w:val="21"/>
                    </w:rPr>
                    <w:t>TSP</w:t>
                  </w:r>
                </w:p>
              </w:tc>
              <w:tc>
                <w:tcPr>
                  <w:tcW w:w="590" w:type="dxa"/>
                  <w:vMerge w:val="continue"/>
                  <w:tcBorders>
                    <w:tl2br w:val="nil"/>
                    <w:tr2bl w:val="nil"/>
                  </w:tcBorders>
                  <w:vAlign w:val="center"/>
                </w:tcPr>
                <w:p>
                  <w:pPr>
                    <w:widowControl/>
                    <w:adjustRightInd w:val="0"/>
                    <w:snapToGrid w:val="0"/>
                    <w:jc w:val="center"/>
                    <w:rPr>
                      <w:color w:val="auto"/>
                      <w:szCs w:val="21"/>
                    </w:rPr>
                  </w:pPr>
                </w:p>
              </w:tc>
              <w:tc>
                <w:tcPr>
                  <w:tcW w:w="548" w:type="dxa"/>
                  <w:vMerge w:val="continue"/>
                  <w:tcBorders>
                    <w:tl2br w:val="nil"/>
                    <w:tr2bl w:val="nil"/>
                  </w:tcBorders>
                  <w:vAlign w:val="center"/>
                </w:tcPr>
                <w:p>
                  <w:pPr>
                    <w:widowControl/>
                    <w:adjustRightInd w:val="0"/>
                    <w:snapToGrid w:val="0"/>
                    <w:jc w:val="center"/>
                    <w:rPr>
                      <w:color w:val="auto"/>
                      <w:szCs w:val="21"/>
                    </w:rPr>
                  </w:pPr>
                </w:p>
              </w:tc>
              <w:tc>
                <w:tcPr>
                  <w:tcW w:w="1061" w:type="dxa"/>
                  <w:vMerge w:val="continue"/>
                  <w:tcBorders>
                    <w:tl2br w:val="nil"/>
                    <w:tr2bl w:val="nil"/>
                  </w:tcBorders>
                  <w:vAlign w:val="center"/>
                </w:tcPr>
                <w:p>
                  <w:pPr>
                    <w:jc w:val="center"/>
                    <w:rPr>
                      <w:color w:val="auto"/>
                      <w:szCs w:val="21"/>
                    </w:rPr>
                  </w:pPr>
                </w:p>
              </w:tc>
              <w:tc>
                <w:tcPr>
                  <w:tcW w:w="904" w:type="dxa"/>
                  <w:vMerge w:val="continue"/>
                  <w:tcBorders>
                    <w:tl2br w:val="nil"/>
                    <w:tr2bl w:val="nil"/>
                  </w:tcBorders>
                  <w:vAlign w:val="center"/>
                </w:tcPr>
                <w:p>
                  <w:pPr>
                    <w:jc w:val="center"/>
                    <w:rPr>
                      <w:color w:val="auto"/>
                    </w:rPr>
                  </w:pPr>
                </w:p>
              </w:tc>
              <w:tc>
                <w:tcPr>
                  <w:tcW w:w="860" w:type="dxa"/>
                  <w:vMerge w:val="continue"/>
                  <w:tcBorders>
                    <w:tl2br w:val="nil"/>
                    <w:tr2bl w:val="nil"/>
                  </w:tcBorders>
                  <w:vAlign w:val="center"/>
                </w:tcPr>
                <w:p>
                  <w:pPr>
                    <w:pStyle w:val="153"/>
                    <w:tabs>
                      <w:tab w:val="left" w:pos="-2848"/>
                    </w:tabs>
                    <w:rPr>
                      <w:color w:val="auto"/>
                      <w:szCs w:val="21"/>
                    </w:rPr>
                  </w:pPr>
                </w:p>
              </w:tc>
              <w:tc>
                <w:tcPr>
                  <w:tcW w:w="675" w:type="dxa"/>
                  <w:vMerge w:val="continue"/>
                  <w:tcBorders>
                    <w:tl2br w:val="nil"/>
                    <w:tr2bl w:val="nil"/>
                  </w:tcBorders>
                  <w:vAlign w:val="center"/>
                </w:tcPr>
                <w:p>
                  <w:pPr>
                    <w:jc w:val="center"/>
                    <w:rPr>
                      <w:color w:val="auto"/>
                      <w:szCs w:val="21"/>
                    </w:rPr>
                  </w:pPr>
                </w:p>
              </w:tc>
              <w:tc>
                <w:tcPr>
                  <w:tcW w:w="865" w:type="dxa"/>
                  <w:vMerge w:val="continue"/>
                  <w:tcBorders>
                    <w:tl2br w:val="nil"/>
                    <w:tr2bl w:val="nil"/>
                  </w:tcBorders>
                  <w:vAlign w:val="center"/>
                </w:tcPr>
                <w:p>
                  <w:pPr>
                    <w:jc w:val="center"/>
                    <w:rPr>
                      <w:color w:val="auto"/>
                      <w:szCs w:val="21"/>
                    </w:rPr>
                  </w:pPr>
                </w:p>
              </w:tc>
              <w:tc>
                <w:tcPr>
                  <w:tcW w:w="900" w:type="dxa"/>
                  <w:vMerge w:val="continue"/>
                  <w:tcBorders>
                    <w:tl2br w:val="nil"/>
                    <w:tr2bl w:val="nil"/>
                  </w:tcBorders>
                  <w:vAlign w:val="center"/>
                </w:tcPr>
                <w:p>
                  <w:pPr>
                    <w:autoSpaceDE w:val="0"/>
                    <w:autoSpaceDN w:val="0"/>
                    <w:jc w:val="center"/>
                    <w:rPr>
                      <w:color w:val="auto"/>
                      <w:szCs w:val="21"/>
                    </w:rPr>
                  </w:pPr>
                </w:p>
              </w:tc>
              <w:tc>
                <w:tcPr>
                  <w:tcW w:w="765" w:type="dxa"/>
                  <w:vMerge w:val="continue"/>
                  <w:tcBorders>
                    <w:tl2br w:val="nil"/>
                    <w:tr2bl w:val="nil"/>
                  </w:tcBorders>
                  <w:vAlign w:val="center"/>
                </w:tcPr>
                <w:p>
                  <w:pPr>
                    <w:autoSpaceDE w:val="0"/>
                    <w:autoSpaceDN w:val="0"/>
                    <w:jc w:val="center"/>
                    <w:rPr>
                      <w:color w:val="auto"/>
                      <w:szCs w:val="21"/>
                    </w:rPr>
                  </w:pPr>
                </w:p>
              </w:tc>
              <w:tc>
                <w:tcPr>
                  <w:tcW w:w="825" w:type="dxa"/>
                  <w:tcBorders>
                    <w:tl2br w:val="nil"/>
                    <w:tr2bl w:val="nil"/>
                  </w:tcBorders>
                  <w:vAlign w:val="center"/>
                </w:tcPr>
                <w:p>
                  <w:pPr>
                    <w:autoSpaceDE w:val="0"/>
                    <w:autoSpaceDN w:val="0"/>
                    <w:jc w:val="center"/>
                    <w:rPr>
                      <w:color w:val="auto"/>
                      <w:szCs w:val="21"/>
                    </w:rPr>
                  </w:pPr>
                  <w:r>
                    <w:rPr>
                      <w:rFonts w:hint="eastAsia"/>
                      <w:color w:val="auto"/>
                      <w:szCs w:val="21"/>
                    </w:rPr>
                    <w:t>0.014</w:t>
                  </w:r>
                </w:p>
              </w:tc>
            </w:tr>
          </w:tbl>
          <w:p>
            <w:pPr>
              <w:pStyle w:val="138"/>
              <w:tabs>
                <w:tab w:val="left" w:pos="420"/>
              </w:tabs>
              <w:spacing w:line="360" w:lineRule="auto"/>
              <w:ind w:left="471" w:firstLine="0"/>
              <w:jc w:val="both"/>
              <w:rPr>
                <w:rFonts w:eastAsia="宋体" w:cs="Times New Roman"/>
                <w:b/>
                <w:bCs/>
                <w:color w:val="auto"/>
                <w:sz w:val="21"/>
                <w:szCs w:val="21"/>
              </w:rPr>
            </w:pPr>
            <w:r>
              <w:rPr>
                <w:rFonts w:hint="eastAsia" w:eastAsia="宋体" w:cs="Times New Roman"/>
                <w:b/>
                <w:bCs/>
                <w:color w:val="auto"/>
                <w:sz w:val="21"/>
                <w:szCs w:val="21"/>
              </w:rPr>
              <w:t>说明：面源有效排放高度以车间窗户离地面的高度来取值。</w:t>
            </w:r>
          </w:p>
          <w:p>
            <w:pPr>
              <w:widowControl/>
              <w:tabs>
                <w:tab w:val="left" w:pos="360"/>
                <w:tab w:val="left" w:pos="420"/>
              </w:tabs>
              <w:adjustRightInd w:val="0"/>
              <w:snapToGrid w:val="0"/>
              <w:spacing w:line="360" w:lineRule="auto"/>
              <w:ind w:left="471"/>
              <w:rPr>
                <w:color w:val="auto"/>
                <w:kern w:val="0"/>
                <w:sz w:val="24"/>
                <w:szCs w:val="20"/>
              </w:rPr>
            </w:pPr>
            <w:r>
              <w:rPr>
                <w:color w:val="auto"/>
                <w:kern w:val="0"/>
                <w:sz w:val="24"/>
                <w:szCs w:val="20"/>
              </w:rPr>
              <w:t>本项目筛选气象、筛选方案</w:t>
            </w:r>
            <w:r>
              <w:rPr>
                <w:rFonts w:hint="eastAsia"/>
                <w:color w:val="auto"/>
                <w:kern w:val="0"/>
                <w:sz w:val="24"/>
                <w:szCs w:val="20"/>
              </w:rPr>
              <w:t>参数</w:t>
            </w:r>
            <w:r>
              <w:rPr>
                <w:color w:val="auto"/>
                <w:kern w:val="0"/>
                <w:sz w:val="24"/>
                <w:szCs w:val="20"/>
              </w:rPr>
              <w:t>输入截图</w:t>
            </w:r>
            <w:r>
              <w:rPr>
                <w:rFonts w:hint="eastAsia"/>
                <w:color w:val="auto"/>
                <w:kern w:val="0"/>
                <w:sz w:val="24"/>
                <w:szCs w:val="20"/>
              </w:rPr>
              <w:t>如下：</w:t>
            </w:r>
          </w:p>
          <w:p>
            <w:pPr>
              <w:pStyle w:val="138"/>
              <w:tabs>
                <w:tab w:val="left" w:pos="420"/>
              </w:tabs>
              <w:spacing w:line="360" w:lineRule="auto"/>
              <w:ind w:left="471" w:firstLine="0"/>
              <w:rPr>
                <w:rFonts w:eastAsia="宋体" w:cs="Times New Roman"/>
                <w:color w:val="auto"/>
              </w:rPr>
            </w:pPr>
            <w:r>
              <w:rPr>
                <w:color w:val="auto"/>
              </w:rPr>
              <w:drawing>
                <wp:inline distT="0" distB="0" distL="114300" distR="114300">
                  <wp:extent cx="4878070" cy="3834130"/>
                  <wp:effectExtent l="9525" t="9525" r="27305" b="23495"/>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39"/>
                          <a:stretch>
                            <a:fillRect/>
                          </a:stretch>
                        </pic:blipFill>
                        <pic:spPr>
                          <a:xfrm>
                            <a:off x="0" y="0"/>
                            <a:ext cx="4878070" cy="3834130"/>
                          </a:xfrm>
                          <a:prstGeom prst="rect">
                            <a:avLst/>
                          </a:prstGeom>
                          <a:noFill/>
                          <a:ln>
                            <a:solidFill>
                              <a:schemeClr val="tx1"/>
                            </a:solidFill>
                          </a:ln>
                        </pic:spPr>
                      </pic:pic>
                    </a:graphicData>
                  </a:graphic>
                </wp:inline>
              </w:drawing>
            </w:r>
          </w:p>
          <w:p>
            <w:pPr>
              <w:pStyle w:val="138"/>
              <w:tabs>
                <w:tab w:val="left" w:pos="420"/>
              </w:tabs>
              <w:ind w:left="471" w:firstLine="0"/>
              <w:rPr>
                <w:rFonts w:eastAsia="宋体" w:cs="Times New Roman"/>
                <w:b/>
                <w:bCs/>
                <w:color w:val="auto"/>
                <w:sz w:val="21"/>
                <w:szCs w:val="21"/>
              </w:rPr>
            </w:pPr>
            <w:r>
              <w:rPr>
                <w:rFonts w:hint="eastAsia" w:eastAsia="宋体" w:cs="Times New Roman"/>
                <w:b/>
                <w:bCs/>
                <w:color w:val="auto"/>
                <w:sz w:val="21"/>
                <w:szCs w:val="21"/>
              </w:rPr>
              <w:t>图1 项目</w:t>
            </w:r>
            <w:r>
              <w:rPr>
                <w:rFonts w:eastAsia="宋体" w:cs="Times New Roman"/>
                <w:b/>
                <w:bCs/>
                <w:color w:val="auto"/>
                <w:sz w:val="21"/>
                <w:szCs w:val="21"/>
              </w:rPr>
              <w:t>筛选气象</w:t>
            </w:r>
            <w:r>
              <w:rPr>
                <w:rFonts w:hint="eastAsia" w:eastAsia="宋体" w:cs="Times New Roman"/>
                <w:b/>
                <w:bCs/>
                <w:color w:val="auto"/>
                <w:sz w:val="21"/>
                <w:szCs w:val="21"/>
              </w:rPr>
              <w:t>截图</w:t>
            </w:r>
          </w:p>
          <w:p>
            <w:pPr>
              <w:pStyle w:val="138"/>
              <w:tabs>
                <w:tab w:val="left" w:pos="420"/>
              </w:tabs>
              <w:spacing w:line="360" w:lineRule="auto"/>
              <w:ind w:left="471" w:firstLine="0"/>
              <w:rPr>
                <w:rFonts w:eastAsia="宋体" w:cs="Times New Roman"/>
                <w:color w:val="auto"/>
              </w:rPr>
            </w:pPr>
            <w:r>
              <w:rPr>
                <w:color w:val="auto"/>
              </w:rPr>
              <w:drawing>
                <wp:inline distT="0" distB="0" distL="114300" distR="114300">
                  <wp:extent cx="5057775" cy="4025900"/>
                  <wp:effectExtent l="9525" t="9525" r="19050" b="22225"/>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40"/>
                          <a:stretch>
                            <a:fillRect/>
                          </a:stretch>
                        </pic:blipFill>
                        <pic:spPr>
                          <a:xfrm>
                            <a:off x="0" y="0"/>
                            <a:ext cx="5057775" cy="4025900"/>
                          </a:xfrm>
                          <a:prstGeom prst="rect">
                            <a:avLst/>
                          </a:prstGeom>
                          <a:noFill/>
                          <a:ln>
                            <a:solidFill>
                              <a:schemeClr val="tx1"/>
                            </a:solidFill>
                          </a:ln>
                        </pic:spPr>
                      </pic:pic>
                    </a:graphicData>
                  </a:graphic>
                </wp:inline>
              </w:drawing>
            </w:r>
          </w:p>
          <w:p>
            <w:pPr>
              <w:pStyle w:val="138"/>
              <w:tabs>
                <w:tab w:val="left" w:pos="420"/>
              </w:tabs>
              <w:ind w:left="471" w:firstLine="0"/>
              <w:rPr>
                <w:rFonts w:eastAsia="宋体" w:cs="Times New Roman"/>
                <w:color w:val="auto"/>
                <w:sz w:val="21"/>
                <w:szCs w:val="21"/>
              </w:rPr>
            </w:pPr>
            <w:r>
              <w:rPr>
                <w:rFonts w:hint="eastAsia" w:eastAsia="宋体" w:cs="Times New Roman"/>
                <w:b/>
                <w:bCs/>
                <w:color w:val="auto"/>
                <w:sz w:val="21"/>
                <w:szCs w:val="21"/>
              </w:rPr>
              <w:t>图2 项目点源、面源</w:t>
            </w:r>
            <w:r>
              <w:rPr>
                <w:rFonts w:eastAsia="宋体" w:cs="Times New Roman"/>
                <w:b/>
                <w:bCs/>
                <w:color w:val="auto"/>
                <w:sz w:val="21"/>
                <w:szCs w:val="21"/>
              </w:rPr>
              <w:t>筛选</w:t>
            </w:r>
            <w:r>
              <w:rPr>
                <w:rFonts w:hint="eastAsia" w:eastAsia="宋体" w:cs="Times New Roman"/>
                <w:b/>
                <w:bCs/>
                <w:color w:val="auto"/>
                <w:sz w:val="21"/>
                <w:szCs w:val="21"/>
              </w:rPr>
              <w:t>方案截图</w:t>
            </w:r>
          </w:p>
          <w:p>
            <w:pPr>
              <w:pStyle w:val="138"/>
              <w:tabs>
                <w:tab w:val="left" w:pos="420"/>
              </w:tabs>
              <w:spacing w:line="312" w:lineRule="auto"/>
              <w:ind w:left="471" w:firstLine="0"/>
              <w:jc w:val="both"/>
              <w:rPr>
                <w:rFonts w:eastAsia="宋体" w:cs="Times New Roman"/>
                <w:color w:val="auto"/>
              </w:rPr>
            </w:pPr>
            <w:r>
              <w:rPr>
                <w:rFonts w:eastAsia="宋体" w:cs="Times New Roman"/>
                <w:color w:val="auto"/>
              </w:rPr>
              <w:t>本项目主要污染物估算模式计算结果如下：</w:t>
            </w:r>
          </w:p>
          <w:p>
            <w:pPr>
              <w:pStyle w:val="138"/>
              <w:tabs>
                <w:tab w:val="left" w:pos="420"/>
              </w:tabs>
              <w:spacing w:line="312" w:lineRule="auto"/>
              <w:ind w:left="471" w:firstLine="0"/>
              <w:rPr>
                <w:color w:val="auto"/>
              </w:rPr>
            </w:pPr>
            <w:r>
              <w:rPr>
                <w:color w:val="auto"/>
              </w:rPr>
              <w:drawing>
                <wp:inline distT="0" distB="0" distL="114300" distR="114300">
                  <wp:extent cx="4904105" cy="4108450"/>
                  <wp:effectExtent l="9525" t="9525" r="20320" b="15875"/>
                  <wp:docPr id="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pic:cNvPicPr>
                            <a:picLocks noChangeAspect="1"/>
                          </pic:cNvPicPr>
                        </pic:nvPicPr>
                        <pic:blipFill>
                          <a:blip r:embed="rId41"/>
                          <a:stretch>
                            <a:fillRect/>
                          </a:stretch>
                        </pic:blipFill>
                        <pic:spPr>
                          <a:xfrm>
                            <a:off x="0" y="0"/>
                            <a:ext cx="4904105" cy="4108450"/>
                          </a:xfrm>
                          <a:prstGeom prst="rect">
                            <a:avLst/>
                          </a:prstGeom>
                          <a:noFill/>
                          <a:ln>
                            <a:solidFill>
                              <a:schemeClr val="tx1"/>
                            </a:solidFill>
                          </a:ln>
                        </pic:spPr>
                      </pic:pic>
                    </a:graphicData>
                  </a:graphic>
                </wp:inline>
              </w:drawing>
            </w:r>
          </w:p>
          <w:p>
            <w:pPr>
              <w:pStyle w:val="138"/>
              <w:tabs>
                <w:tab w:val="left" w:pos="420"/>
              </w:tabs>
              <w:ind w:left="471" w:firstLine="0"/>
              <w:rPr>
                <w:rFonts w:eastAsia="宋体" w:cs="Times New Roman"/>
                <w:color w:val="auto"/>
                <w:sz w:val="21"/>
                <w:szCs w:val="21"/>
              </w:rPr>
            </w:pPr>
            <w:r>
              <w:rPr>
                <w:rFonts w:hint="eastAsia" w:eastAsia="宋体" w:cs="Times New Roman"/>
                <w:b/>
                <w:bCs/>
                <w:color w:val="auto"/>
                <w:sz w:val="21"/>
                <w:szCs w:val="21"/>
              </w:rPr>
              <w:t>图3 项目</w:t>
            </w:r>
            <w:r>
              <w:rPr>
                <w:rFonts w:eastAsia="宋体" w:cs="Times New Roman"/>
                <w:b/>
                <w:bCs/>
                <w:color w:val="auto"/>
                <w:sz w:val="21"/>
                <w:szCs w:val="21"/>
              </w:rPr>
              <w:t>筛选</w:t>
            </w:r>
            <w:r>
              <w:rPr>
                <w:rFonts w:hint="eastAsia" w:eastAsia="宋体" w:cs="Times New Roman"/>
                <w:b/>
                <w:bCs/>
                <w:color w:val="auto"/>
                <w:sz w:val="21"/>
                <w:szCs w:val="21"/>
              </w:rPr>
              <w:t>结果截图（1小时浓度占标率）</w:t>
            </w:r>
          </w:p>
          <w:p>
            <w:pPr>
              <w:pStyle w:val="138"/>
              <w:tabs>
                <w:tab w:val="left" w:pos="420"/>
              </w:tabs>
              <w:spacing w:line="312" w:lineRule="auto"/>
              <w:ind w:left="471" w:firstLine="0"/>
              <w:rPr>
                <w:color w:val="auto"/>
              </w:rPr>
            </w:pPr>
            <w:r>
              <w:rPr>
                <w:color w:val="auto"/>
              </w:rPr>
              <w:drawing>
                <wp:inline distT="0" distB="0" distL="114300" distR="114300">
                  <wp:extent cx="4914900" cy="4147185"/>
                  <wp:effectExtent l="9525" t="9525" r="9525" b="15240"/>
                  <wp:docPr id="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
                          <pic:cNvPicPr>
                            <a:picLocks noChangeAspect="1"/>
                          </pic:cNvPicPr>
                        </pic:nvPicPr>
                        <pic:blipFill>
                          <a:blip r:embed="rId42"/>
                          <a:stretch>
                            <a:fillRect/>
                          </a:stretch>
                        </pic:blipFill>
                        <pic:spPr>
                          <a:xfrm>
                            <a:off x="0" y="0"/>
                            <a:ext cx="4914900" cy="4147185"/>
                          </a:xfrm>
                          <a:prstGeom prst="rect">
                            <a:avLst/>
                          </a:prstGeom>
                          <a:noFill/>
                          <a:ln>
                            <a:solidFill>
                              <a:schemeClr val="tx1"/>
                            </a:solidFill>
                          </a:ln>
                        </pic:spPr>
                      </pic:pic>
                    </a:graphicData>
                  </a:graphic>
                </wp:inline>
              </w:drawing>
            </w:r>
          </w:p>
          <w:p>
            <w:pPr>
              <w:pStyle w:val="138"/>
              <w:tabs>
                <w:tab w:val="left" w:pos="420"/>
              </w:tabs>
              <w:spacing w:line="312" w:lineRule="auto"/>
              <w:ind w:left="471" w:firstLine="0"/>
              <w:rPr>
                <w:rFonts w:hint="eastAsia" w:eastAsia="宋体" w:cs="Times New Roman"/>
                <w:b/>
                <w:bCs/>
                <w:color w:val="auto"/>
                <w:sz w:val="21"/>
                <w:szCs w:val="21"/>
              </w:rPr>
            </w:pPr>
            <w:r>
              <w:rPr>
                <w:rFonts w:hint="eastAsia" w:eastAsia="宋体" w:cs="Times New Roman"/>
                <w:b/>
                <w:bCs/>
                <w:color w:val="auto"/>
                <w:sz w:val="21"/>
                <w:szCs w:val="21"/>
              </w:rPr>
              <w:t>图4 项目</w:t>
            </w:r>
            <w:r>
              <w:rPr>
                <w:rFonts w:eastAsia="宋体" w:cs="Times New Roman"/>
                <w:b/>
                <w:bCs/>
                <w:color w:val="auto"/>
                <w:sz w:val="21"/>
                <w:szCs w:val="21"/>
              </w:rPr>
              <w:t>筛选</w:t>
            </w:r>
            <w:r>
              <w:rPr>
                <w:rFonts w:hint="eastAsia" w:eastAsia="宋体" w:cs="Times New Roman"/>
                <w:b/>
                <w:bCs/>
                <w:color w:val="auto"/>
                <w:sz w:val="21"/>
                <w:szCs w:val="21"/>
              </w:rPr>
              <w:t>结果截图（1小时浓度）</w:t>
            </w:r>
          </w:p>
          <w:p>
            <w:pPr>
              <w:pStyle w:val="138"/>
              <w:tabs>
                <w:tab w:val="left" w:pos="420"/>
              </w:tabs>
              <w:spacing w:line="312" w:lineRule="auto"/>
              <w:ind w:left="471" w:firstLine="0"/>
              <w:rPr>
                <w:rFonts w:hint="eastAsia" w:eastAsia="宋体" w:cs="Times New Roman"/>
                <w:b/>
                <w:bCs/>
                <w:color w:val="auto"/>
                <w:sz w:val="21"/>
                <w:szCs w:val="21"/>
              </w:rPr>
            </w:pPr>
          </w:p>
          <w:p>
            <w:pPr>
              <w:pStyle w:val="138"/>
              <w:numPr>
                <w:ilvl w:val="0"/>
                <w:numId w:val="5"/>
              </w:numPr>
              <w:tabs>
                <w:tab w:val="left" w:pos="420"/>
              </w:tabs>
              <w:spacing w:line="312" w:lineRule="auto"/>
              <w:ind w:left="0" w:firstLine="471"/>
              <w:rPr>
                <w:rFonts w:eastAsia="宋体" w:cs="Times New Roman"/>
                <w:b/>
                <w:color w:val="auto"/>
                <w:sz w:val="21"/>
                <w:szCs w:val="21"/>
              </w:rPr>
            </w:pPr>
            <w:r>
              <w:rPr>
                <w:rFonts w:eastAsia="宋体" w:cs="Times New Roman"/>
                <w:b/>
                <w:color w:val="auto"/>
                <w:sz w:val="21"/>
                <w:szCs w:val="21"/>
              </w:rPr>
              <w:t>估算模式最大地面浓度占标率计算结果</w:t>
            </w:r>
          </w:p>
          <w:tbl>
            <w:tblPr>
              <w:tblStyle w:val="44"/>
              <w:tblW w:w="9089"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967"/>
              <w:gridCol w:w="1354"/>
              <w:gridCol w:w="1529"/>
              <w:gridCol w:w="1241"/>
              <w:gridCol w:w="1260"/>
              <w:gridCol w:w="860"/>
              <w:gridCol w:w="925"/>
              <w:gridCol w:w="953"/>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tblHeader/>
                <w:jc w:val="center"/>
              </w:trPr>
              <w:tc>
                <w:tcPr>
                  <w:tcW w:w="967" w:type="dxa"/>
                  <w:vMerge w:val="restart"/>
                  <w:tcBorders>
                    <w:tl2br w:val="nil"/>
                    <w:tr2bl w:val="nil"/>
                  </w:tcBorders>
                  <w:vAlign w:val="center"/>
                </w:tcPr>
                <w:p>
                  <w:pPr>
                    <w:jc w:val="center"/>
                    <w:rPr>
                      <w:b/>
                      <w:color w:val="auto"/>
                      <w:szCs w:val="21"/>
                    </w:rPr>
                  </w:pPr>
                  <w:r>
                    <w:rPr>
                      <w:b/>
                      <w:color w:val="auto"/>
                      <w:szCs w:val="21"/>
                    </w:rPr>
                    <w:t>类型</w:t>
                  </w:r>
                </w:p>
              </w:tc>
              <w:tc>
                <w:tcPr>
                  <w:tcW w:w="1354" w:type="dxa"/>
                  <w:vMerge w:val="restart"/>
                  <w:tcBorders>
                    <w:tl2br w:val="nil"/>
                    <w:tr2bl w:val="nil"/>
                  </w:tcBorders>
                  <w:vAlign w:val="center"/>
                </w:tcPr>
                <w:p>
                  <w:pPr>
                    <w:jc w:val="center"/>
                    <w:rPr>
                      <w:b/>
                      <w:color w:val="auto"/>
                      <w:szCs w:val="21"/>
                    </w:rPr>
                  </w:pPr>
                  <w:r>
                    <w:rPr>
                      <w:b/>
                      <w:color w:val="auto"/>
                      <w:szCs w:val="21"/>
                    </w:rPr>
                    <w:t>项目</w:t>
                  </w:r>
                </w:p>
              </w:tc>
              <w:tc>
                <w:tcPr>
                  <w:tcW w:w="1529" w:type="dxa"/>
                  <w:vMerge w:val="restart"/>
                  <w:tcBorders>
                    <w:tl2br w:val="nil"/>
                    <w:tr2bl w:val="nil"/>
                  </w:tcBorders>
                  <w:vAlign w:val="center"/>
                </w:tcPr>
                <w:p>
                  <w:pPr>
                    <w:jc w:val="center"/>
                    <w:rPr>
                      <w:b/>
                      <w:color w:val="auto"/>
                      <w:szCs w:val="21"/>
                    </w:rPr>
                  </w:pPr>
                  <w:r>
                    <w:rPr>
                      <w:b/>
                      <w:color w:val="auto"/>
                      <w:szCs w:val="21"/>
                    </w:rPr>
                    <w:t>污染物</w:t>
                  </w:r>
                </w:p>
              </w:tc>
              <w:tc>
                <w:tcPr>
                  <w:tcW w:w="4286" w:type="dxa"/>
                  <w:gridSpan w:val="4"/>
                  <w:tcBorders>
                    <w:tl2br w:val="nil"/>
                    <w:tr2bl w:val="nil"/>
                  </w:tcBorders>
                  <w:vAlign w:val="center"/>
                </w:tcPr>
                <w:p>
                  <w:pPr>
                    <w:autoSpaceDE w:val="0"/>
                    <w:autoSpaceDN w:val="0"/>
                    <w:jc w:val="center"/>
                    <w:rPr>
                      <w:b/>
                      <w:bCs/>
                      <w:color w:val="auto"/>
                      <w:szCs w:val="21"/>
                    </w:rPr>
                  </w:pPr>
                  <w:r>
                    <w:rPr>
                      <w:b/>
                      <w:bCs/>
                      <w:color w:val="auto"/>
                      <w:szCs w:val="21"/>
                    </w:rPr>
                    <w:t>计算结果</w:t>
                  </w:r>
                </w:p>
              </w:tc>
              <w:tc>
                <w:tcPr>
                  <w:tcW w:w="953" w:type="dxa"/>
                  <w:vMerge w:val="restart"/>
                  <w:tcBorders>
                    <w:tl2br w:val="nil"/>
                    <w:tr2bl w:val="nil"/>
                  </w:tcBorders>
                  <w:vAlign w:val="center"/>
                </w:tcPr>
                <w:p>
                  <w:pPr>
                    <w:autoSpaceDE w:val="0"/>
                    <w:autoSpaceDN w:val="0"/>
                    <w:jc w:val="center"/>
                    <w:rPr>
                      <w:b/>
                      <w:bCs/>
                      <w:color w:val="auto"/>
                      <w:szCs w:val="21"/>
                    </w:rPr>
                  </w:pPr>
                  <w:r>
                    <w:rPr>
                      <w:b/>
                      <w:bCs/>
                      <w:color w:val="auto"/>
                      <w:szCs w:val="21"/>
                    </w:rPr>
                    <w:t>评价等级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54" w:hRule="atLeast"/>
                <w:tblHeader/>
                <w:jc w:val="center"/>
              </w:trPr>
              <w:tc>
                <w:tcPr>
                  <w:tcW w:w="967" w:type="dxa"/>
                  <w:vMerge w:val="continue"/>
                  <w:tcBorders>
                    <w:tl2br w:val="nil"/>
                    <w:tr2bl w:val="nil"/>
                  </w:tcBorders>
                  <w:vAlign w:val="center"/>
                </w:tcPr>
                <w:p>
                  <w:pPr>
                    <w:jc w:val="center"/>
                    <w:rPr>
                      <w:b/>
                      <w:color w:val="auto"/>
                      <w:szCs w:val="21"/>
                    </w:rPr>
                  </w:pPr>
                </w:p>
              </w:tc>
              <w:tc>
                <w:tcPr>
                  <w:tcW w:w="1354" w:type="dxa"/>
                  <w:vMerge w:val="continue"/>
                  <w:tcBorders>
                    <w:tl2br w:val="nil"/>
                    <w:tr2bl w:val="nil"/>
                  </w:tcBorders>
                  <w:vAlign w:val="center"/>
                </w:tcPr>
                <w:p>
                  <w:pPr>
                    <w:jc w:val="center"/>
                    <w:rPr>
                      <w:b/>
                      <w:color w:val="auto"/>
                      <w:szCs w:val="21"/>
                    </w:rPr>
                  </w:pPr>
                </w:p>
              </w:tc>
              <w:tc>
                <w:tcPr>
                  <w:tcW w:w="1529" w:type="dxa"/>
                  <w:vMerge w:val="continue"/>
                  <w:tcBorders>
                    <w:tl2br w:val="nil"/>
                    <w:tr2bl w:val="nil"/>
                  </w:tcBorders>
                  <w:vAlign w:val="center"/>
                </w:tcPr>
                <w:p>
                  <w:pPr>
                    <w:jc w:val="center"/>
                    <w:rPr>
                      <w:b/>
                      <w:color w:val="auto"/>
                      <w:szCs w:val="21"/>
                    </w:rPr>
                  </w:pPr>
                </w:p>
              </w:tc>
              <w:tc>
                <w:tcPr>
                  <w:tcW w:w="1241" w:type="dxa"/>
                  <w:tcBorders>
                    <w:tl2br w:val="nil"/>
                    <w:tr2bl w:val="nil"/>
                  </w:tcBorders>
                  <w:vAlign w:val="center"/>
                </w:tcPr>
                <w:p>
                  <w:pPr>
                    <w:autoSpaceDE w:val="0"/>
                    <w:autoSpaceDN w:val="0"/>
                    <w:jc w:val="center"/>
                    <w:rPr>
                      <w:b/>
                      <w:bCs/>
                      <w:color w:val="auto"/>
                      <w:szCs w:val="21"/>
                      <w:shd w:val="clear" w:color="auto" w:fill="FFFFFF"/>
                    </w:rPr>
                  </w:pPr>
                  <w:r>
                    <w:rPr>
                      <w:b/>
                      <w:bCs/>
                      <w:color w:val="auto"/>
                      <w:position w:val="-6"/>
                      <w:szCs w:val="21"/>
                      <w:shd w:val="clear" w:color="auto" w:fill="FFFFFF"/>
                    </w:rPr>
                    <w:object>
                      <v:shape id="_x0000_i1025" o:spt="75" type="#_x0000_t75" style="height:14.25pt;width:14.25pt;" o:ole="t" filled="f" o:preferrelative="t" stroked="f" coordsize="21600,21600">
                        <v:path/>
                        <v:fill on="f" focussize="0,0"/>
                        <v:stroke on="f"/>
                        <v:imagedata r:id="rId44" o:title=""/>
                        <o:lock v:ext="edit" aspectratio="t"/>
                        <w10:wrap type="none"/>
                        <w10:anchorlock/>
                      </v:shape>
                      <o:OLEObject Type="Embed" ProgID="Equation.3" ShapeID="_x0000_i1025" DrawAspect="Content" ObjectID="_1468075725" r:id="rId43">
                        <o:LockedField>false</o:LockedField>
                      </o:OLEObject>
                    </w:object>
                  </w:r>
                  <w:r>
                    <w:rPr>
                      <w:b/>
                      <w:bCs/>
                      <w:color w:val="auto"/>
                      <w:szCs w:val="21"/>
                    </w:rPr>
                    <w:t>（%）</w:t>
                  </w:r>
                </w:p>
              </w:tc>
              <w:tc>
                <w:tcPr>
                  <w:tcW w:w="1260" w:type="dxa"/>
                  <w:tcBorders>
                    <w:tl2br w:val="nil"/>
                    <w:tr2bl w:val="nil"/>
                  </w:tcBorders>
                  <w:vAlign w:val="center"/>
                </w:tcPr>
                <w:p>
                  <w:pPr>
                    <w:autoSpaceDE w:val="0"/>
                    <w:autoSpaceDN w:val="0"/>
                    <w:jc w:val="center"/>
                    <w:rPr>
                      <w:b/>
                      <w:bCs/>
                      <w:color w:val="auto"/>
                      <w:kern w:val="0"/>
                      <w:szCs w:val="21"/>
                    </w:rPr>
                  </w:pPr>
                  <w:r>
                    <w:rPr>
                      <w:b/>
                      <w:bCs/>
                      <w:color w:val="auto"/>
                      <w:kern w:val="0"/>
                      <w:szCs w:val="21"/>
                    </w:rPr>
                    <w:t>预测浓度（mg/m</w:t>
                  </w:r>
                  <w:r>
                    <w:rPr>
                      <w:b/>
                      <w:bCs/>
                      <w:color w:val="auto"/>
                      <w:kern w:val="0"/>
                      <w:szCs w:val="21"/>
                      <w:vertAlign w:val="superscript"/>
                    </w:rPr>
                    <w:t>3</w:t>
                  </w:r>
                  <w:r>
                    <w:rPr>
                      <w:b/>
                      <w:bCs/>
                      <w:color w:val="auto"/>
                      <w:kern w:val="0"/>
                      <w:szCs w:val="21"/>
                    </w:rPr>
                    <w:t>）</w:t>
                  </w:r>
                </w:p>
              </w:tc>
              <w:tc>
                <w:tcPr>
                  <w:tcW w:w="860" w:type="dxa"/>
                  <w:tcBorders>
                    <w:right w:val="single" w:color="auto" w:sz="4" w:space="0"/>
                    <w:tl2br w:val="nil"/>
                    <w:tr2bl w:val="nil"/>
                  </w:tcBorders>
                  <w:vAlign w:val="center"/>
                </w:tcPr>
                <w:p>
                  <w:pPr>
                    <w:autoSpaceDE w:val="0"/>
                    <w:autoSpaceDN w:val="0"/>
                    <w:jc w:val="center"/>
                    <w:rPr>
                      <w:b/>
                      <w:bCs/>
                      <w:color w:val="auto"/>
                      <w:szCs w:val="21"/>
                    </w:rPr>
                  </w:pPr>
                  <w:r>
                    <w:rPr>
                      <w:b/>
                      <w:bCs/>
                      <w:color w:val="auto"/>
                      <w:szCs w:val="21"/>
                    </w:rPr>
                    <w:t>D10%（m）</w:t>
                  </w:r>
                </w:p>
              </w:tc>
              <w:tc>
                <w:tcPr>
                  <w:tcW w:w="925" w:type="dxa"/>
                  <w:tcBorders>
                    <w:left w:val="single" w:color="auto" w:sz="4" w:space="0"/>
                    <w:tl2br w:val="nil"/>
                    <w:tr2bl w:val="nil"/>
                  </w:tcBorders>
                  <w:vAlign w:val="center"/>
                </w:tcPr>
                <w:p>
                  <w:pPr>
                    <w:autoSpaceDE w:val="0"/>
                    <w:autoSpaceDN w:val="0"/>
                    <w:jc w:val="center"/>
                    <w:rPr>
                      <w:rFonts w:hint="default" w:eastAsia="宋体"/>
                      <w:b/>
                      <w:bCs/>
                      <w:color w:val="auto"/>
                      <w:szCs w:val="21"/>
                      <w:lang w:val="en-US" w:eastAsia="zh-CN"/>
                    </w:rPr>
                  </w:pPr>
                  <w:r>
                    <w:rPr>
                      <w:rFonts w:hint="eastAsia"/>
                      <w:b/>
                      <w:bCs/>
                      <w:color w:val="auto"/>
                      <w:szCs w:val="21"/>
                      <w:lang w:val="en-US" w:eastAsia="zh-CN"/>
                    </w:rPr>
                    <w:t>离原距离</w:t>
                  </w:r>
                  <w:r>
                    <w:rPr>
                      <w:b/>
                      <w:bCs/>
                      <w:color w:val="auto"/>
                      <w:szCs w:val="21"/>
                    </w:rPr>
                    <w:t>（m）</w:t>
                  </w:r>
                </w:p>
              </w:tc>
              <w:tc>
                <w:tcPr>
                  <w:tcW w:w="953" w:type="dxa"/>
                  <w:vMerge w:val="continue"/>
                  <w:tcBorders>
                    <w:tl2br w:val="nil"/>
                    <w:tr2bl w:val="nil"/>
                  </w:tcBorders>
                  <w:vAlign w:val="center"/>
                </w:tcPr>
                <w:p>
                  <w:pPr>
                    <w:autoSpaceDE w:val="0"/>
                    <w:autoSpaceDN w:val="0"/>
                    <w:jc w:val="center"/>
                    <w:rPr>
                      <w:b/>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24" w:hRule="atLeast"/>
                <w:tblHeader/>
                <w:jc w:val="center"/>
              </w:trPr>
              <w:tc>
                <w:tcPr>
                  <w:tcW w:w="967" w:type="dxa"/>
                  <w:tcBorders>
                    <w:tl2br w:val="nil"/>
                    <w:tr2bl w:val="nil"/>
                  </w:tcBorders>
                  <w:vAlign w:val="center"/>
                </w:tcPr>
                <w:p>
                  <w:pPr>
                    <w:jc w:val="center"/>
                    <w:rPr>
                      <w:bCs/>
                      <w:color w:val="auto"/>
                      <w:szCs w:val="21"/>
                    </w:rPr>
                  </w:pPr>
                  <w:r>
                    <w:rPr>
                      <w:bCs/>
                      <w:color w:val="auto"/>
                      <w:szCs w:val="21"/>
                    </w:rPr>
                    <w:t>有组织</w:t>
                  </w:r>
                </w:p>
              </w:tc>
              <w:tc>
                <w:tcPr>
                  <w:tcW w:w="1354" w:type="dxa"/>
                  <w:tcBorders>
                    <w:tl2br w:val="nil"/>
                    <w:tr2bl w:val="nil"/>
                  </w:tcBorders>
                  <w:vAlign w:val="center"/>
                </w:tcPr>
                <w:p>
                  <w:pPr>
                    <w:widowControl/>
                    <w:adjustRightInd w:val="0"/>
                    <w:snapToGrid w:val="0"/>
                    <w:jc w:val="center"/>
                    <w:rPr>
                      <w:bCs/>
                      <w:color w:val="auto"/>
                      <w:szCs w:val="21"/>
                    </w:rPr>
                  </w:pPr>
                  <w:r>
                    <w:rPr>
                      <w:color w:val="auto"/>
                      <w:szCs w:val="21"/>
                    </w:rPr>
                    <w:t>G1</w:t>
                  </w:r>
                </w:p>
              </w:tc>
              <w:tc>
                <w:tcPr>
                  <w:tcW w:w="1529" w:type="dxa"/>
                  <w:tcBorders>
                    <w:tl2br w:val="nil"/>
                    <w:tr2bl w:val="nil"/>
                  </w:tcBorders>
                  <w:vAlign w:val="center"/>
                </w:tcPr>
                <w:p>
                  <w:pPr>
                    <w:adjustRightInd w:val="0"/>
                    <w:snapToGrid w:val="0"/>
                    <w:jc w:val="center"/>
                    <w:rPr>
                      <w:bCs/>
                      <w:color w:val="auto"/>
                      <w:szCs w:val="21"/>
                    </w:rPr>
                  </w:pPr>
                  <w:r>
                    <w:rPr>
                      <w:color w:val="auto"/>
                      <w:szCs w:val="21"/>
                    </w:rPr>
                    <w:t>非甲烷总烃</w:t>
                  </w:r>
                </w:p>
              </w:tc>
              <w:tc>
                <w:tcPr>
                  <w:tcW w:w="1241" w:type="dxa"/>
                  <w:tcBorders>
                    <w:tl2br w:val="nil"/>
                    <w:tr2bl w:val="nil"/>
                  </w:tcBorders>
                  <w:vAlign w:val="center"/>
                </w:tcPr>
                <w:p>
                  <w:pPr>
                    <w:autoSpaceDE w:val="0"/>
                    <w:autoSpaceDN w:val="0"/>
                    <w:jc w:val="center"/>
                    <w:rPr>
                      <w:rFonts w:hint="default" w:eastAsia="宋体"/>
                      <w:bCs/>
                      <w:color w:val="auto"/>
                      <w:position w:val="-6"/>
                      <w:szCs w:val="21"/>
                      <w:shd w:val="clear" w:color="auto" w:fill="FFFFFF"/>
                      <w:lang w:val="en-US" w:eastAsia="zh-CN"/>
                    </w:rPr>
                  </w:pPr>
                  <w:r>
                    <w:rPr>
                      <w:rFonts w:hint="eastAsia"/>
                      <w:bCs/>
                      <w:color w:val="auto"/>
                      <w:position w:val="-6"/>
                      <w:szCs w:val="21"/>
                      <w:shd w:val="clear" w:color="auto" w:fill="FFFFFF"/>
                      <w:lang w:val="en-US" w:eastAsia="zh-CN"/>
                    </w:rPr>
                    <w:t>0.01</w:t>
                  </w:r>
                </w:p>
              </w:tc>
              <w:tc>
                <w:tcPr>
                  <w:tcW w:w="1260" w:type="dxa"/>
                  <w:tcBorders>
                    <w:tl2br w:val="nil"/>
                    <w:tr2bl w:val="nil"/>
                  </w:tcBorders>
                  <w:vAlign w:val="center"/>
                </w:tcPr>
                <w:p>
                  <w:pPr>
                    <w:autoSpaceDE w:val="0"/>
                    <w:autoSpaceDN w:val="0"/>
                    <w:jc w:val="center"/>
                    <w:rPr>
                      <w:rFonts w:hint="default" w:eastAsia="宋体"/>
                      <w:bCs/>
                      <w:color w:val="auto"/>
                      <w:kern w:val="0"/>
                      <w:szCs w:val="21"/>
                      <w:lang w:val="en-US" w:eastAsia="zh-CN"/>
                    </w:rPr>
                  </w:pPr>
                  <w:r>
                    <w:rPr>
                      <w:rFonts w:hint="eastAsia"/>
                      <w:bCs/>
                      <w:color w:val="auto"/>
                      <w:kern w:val="0"/>
                      <w:szCs w:val="21"/>
                      <w:lang w:val="en-US" w:eastAsia="zh-CN"/>
                    </w:rPr>
                    <w:t>0.0002</w:t>
                  </w:r>
                </w:p>
              </w:tc>
              <w:tc>
                <w:tcPr>
                  <w:tcW w:w="860" w:type="dxa"/>
                  <w:tcBorders>
                    <w:right w:val="single" w:color="auto" w:sz="4" w:space="0"/>
                    <w:tl2br w:val="nil"/>
                    <w:tr2bl w:val="nil"/>
                  </w:tcBorders>
                  <w:vAlign w:val="center"/>
                </w:tcPr>
                <w:p>
                  <w:pPr>
                    <w:adjustRightInd w:val="0"/>
                    <w:snapToGrid w:val="0"/>
                    <w:jc w:val="center"/>
                    <w:rPr>
                      <w:bCs/>
                      <w:color w:val="auto"/>
                      <w:szCs w:val="21"/>
                    </w:rPr>
                  </w:pPr>
                  <w:r>
                    <w:rPr>
                      <w:color w:val="auto"/>
                      <w:szCs w:val="21"/>
                    </w:rPr>
                    <w:t>/</w:t>
                  </w:r>
                </w:p>
              </w:tc>
              <w:tc>
                <w:tcPr>
                  <w:tcW w:w="925" w:type="dxa"/>
                  <w:tcBorders>
                    <w:left w:val="single" w:color="auto" w:sz="4" w:space="0"/>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68</w:t>
                  </w:r>
                </w:p>
              </w:tc>
              <w:tc>
                <w:tcPr>
                  <w:tcW w:w="953" w:type="dxa"/>
                  <w:tcBorders>
                    <w:tl2br w:val="nil"/>
                    <w:tr2bl w:val="nil"/>
                  </w:tcBorders>
                  <w:vAlign w:val="center"/>
                </w:tcPr>
                <w:p>
                  <w:pPr>
                    <w:autoSpaceDE w:val="0"/>
                    <w:autoSpaceDN w:val="0"/>
                    <w:jc w:val="center"/>
                    <w:rPr>
                      <w:bCs/>
                      <w:color w:val="auto"/>
                      <w:szCs w:val="21"/>
                    </w:rPr>
                  </w:pPr>
                  <w:r>
                    <w:rPr>
                      <w:bCs/>
                      <w:color w:val="auto"/>
                      <w:szCs w:val="21"/>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02" w:hRule="atLeast"/>
                <w:jc w:val="center"/>
              </w:trPr>
              <w:tc>
                <w:tcPr>
                  <w:tcW w:w="967" w:type="dxa"/>
                  <w:vMerge w:val="restart"/>
                  <w:tcBorders>
                    <w:tl2br w:val="nil"/>
                    <w:tr2bl w:val="nil"/>
                  </w:tcBorders>
                  <w:vAlign w:val="center"/>
                </w:tcPr>
                <w:p>
                  <w:pPr>
                    <w:jc w:val="center"/>
                    <w:rPr>
                      <w:color w:val="auto"/>
                      <w:szCs w:val="21"/>
                    </w:rPr>
                  </w:pPr>
                  <w:r>
                    <w:rPr>
                      <w:color w:val="auto"/>
                      <w:szCs w:val="21"/>
                    </w:rPr>
                    <w:t>无组织</w:t>
                  </w:r>
                </w:p>
              </w:tc>
              <w:tc>
                <w:tcPr>
                  <w:tcW w:w="1354" w:type="dxa"/>
                  <w:vMerge w:val="restart"/>
                  <w:tcBorders>
                    <w:tl2br w:val="nil"/>
                    <w:tr2bl w:val="nil"/>
                  </w:tcBorders>
                  <w:vAlign w:val="center"/>
                </w:tcPr>
                <w:p>
                  <w:pPr>
                    <w:widowControl/>
                    <w:adjustRightInd w:val="0"/>
                    <w:snapToGrid w:val="0"/>
                    <w:jc w:val="center"/>
                    <w:rPr>
                      <w:bCs/>
                      <w:color w:val="auto"/>
                      <w:kern w:val="0"/>
                      <w:szCs w:val="21"/>
                    </w:rPr>
                  </w:pPr>
                  <w:r>
                    <w:rPr>
                      <w:color w:val="auto"/>
                      <w:szCs w:val="21"/>
                    </w:rPr>
                    <w:t>生产车间</w:t>
                  </w:r>
                </w:p>
              </w:tc>
              <w:tc>
                <w:tcPr>
                  <w:tcW w:w="1529" w:type="dxa"/>
                  <w:tcBorders>
                    <w:tl2br w:val="nil"/>
                    <w:tr2bl w:val="nil"/>
                  </w:tcBorders>
                  <w:vAlign w:val="center"/>
                </w:tcPr>
                <w:p>
                  <w:pPr>
                    <w:widowControl/>
                    <w:topLinePunct/>
                    <w:autoSpaceDE w:val="0"/>
                    <w:autoSpaceDN w:val="0"/>
                    <w:adjustRightInd w:val="0"/>
                    <w:jc w:val="center"/>
                    <w:textAlignment w:val="baseline"/>
                    <w:rPr>
                      <w:color w:val="auto"/>
                      <w:kern w:val="24"/>
                      <w:szCs w:val="21"/>
                    </w:rPr>
                  </w:pPr>
                  <w:r>
                    <w:rPr>
                      <w:color w:val="auto"/>
                      <w:szCs w:val="21"/>
                    </w:rPr>
                    <w:t>非甲烷总烃</w:t>
                  </w:r>
                </w:p>
              </w:tc>
              <w:tc>
                <w:tcPr>
                  <w:tcW w:w="124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0.77</w:t>
                  </w:r>
                </w:p>
              </w:tc>
              <w:tc>
                <w:tcPr>
                  <w:tcW w:w="126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0.0154</w:t>
                  </w:r>
                </w:p>
              </w:tc>
              <w:tc>
                <w:tcPr>
                  <w:tcW w:w="860" w:type="dxa"/>
                  <w:tcBorders>
                    <w:right w:val="single" w:color="auto" w:sz="4" w:space="0"/>
                    <w:tl2br w:val="nil"/>
                    <w:tr2bl w:val="nil"/>
                  </w:tcBorders>
                  <w:vAlign w:val="center"/>
                </w:tcPr>
                <w:p>
                  <w:pPr>
                    <w:adjustRightInd w:val="0"/>
                    <w:snapToGrid w:val="0"/>
                    <w:jc w:val="center"/>
                    <w:rPr>
                      <w:color w:val="auto"/>
                      <w:szCs w:val="21"/>
                    </w:rPr>
                  </w:pPr>
                  <w:r>
                    <w:rPr>
                      <w:color w:val="auto"/>
                      <w:szCs w:val="21"/>
                    </w:rPr>
                    <w:t>/</w:t>
                  </w:r>
                </w:p>
              </w:tc>
              <w:tc>
                <w:tcPr>
                  <w:tcW w:w="925" w:type="dxa"/>
                  <w:tcBorders>
                    <w:left w:val="single" w:color="auto" w:sz="4" w:space="0"/>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23</w:t>
                  </w:r>
                </w:p>
              </w:tc>
              <w:tc>
                <w:tcPr>
                  <w:tcW w:w="953" w:type="dxa"/>
                  <w:tcBorders>
                    <w:tl2br w:val="nil"/>
                    <w:tr2bl w:val="nil"/>
                  </w:tcBorders>
                  <w:vAlign w:val="center"/>
                </w:tcPr>
                <w:p>
                  <w:pPr>
                    <w:adjustRightInd w:val="0"/>
                    <w:snapToGrid w:val="0"/>
                    <w:jc w:val="center"/>
                    <w:rPr>
                      <w:color w:val="auto"/>
                      <w:szCs w:val="21"/>
                    </w:rPr>
                  </w:pPr>
                  <w:r>
                    <w:rPr>
                      <w:rFonts w:hint="eastAsia"/>
                      <w:bCs/>
                      <w:color w:val="auto"/>
                      <w:szCs w:val="21"/>
                      <w:lang w:eastAsia="zh-CN"/>
                    </w:rPr>
                    <w:t>三</w:t>
                  </w:r>
                  <w:r>
                    <w:rPr>
                      <w:bCs/>
                      <w:color w:val="auto"/>
                      <w:szCs w:val="21"/>
                    </w:rPr>
                    <w:t>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02" w:hRule="atLeast"/>
                <w:jc w:val="center"/>
              </w:trPr>
              <w:tc>
                <w:tcPr>
                  <w:tcW w:w="967" w:type="dxa"/>
                  <w:vMerge w:val="continue"/>
                  <w:tcBorders>
                    <w:tl2br w:val="nil"/>
                    <w:tr2bl w:val="nil"/>
                  </w:tcBorders>
                  <w:vAlign w:val="center"/>
                </w:tcPr>
                <w:p>
                  <w:pPr>
                    <w:jc w:val="center"/>
                    <w:rPr>
                      <w:color w:val="auto"/>
                      <w:szCs w:val="21"/>
                    </w:rPr>
                  </w:pPr>
                </w:p>
              </w:tc>
              <w:tc>
                <w:tcPr>
                  <w:tcW w:w="1354" w:type="dxa"/>
                  <w:vMerge w:val="continue"/>
                  <w:tcBorders>
                    <w:tl2br w:val="nil"/>
                    <w:tr2bl w:val="nil"/>
                  </w:tcBorders>
                  <w:vAlign w:val="center"/>
                </w:tcPr>
                <w:p>
                  <w:pPr>
                    <w:widowControl/>
                    <w:adjustRightInd w:val="0"/>
                    <w:snapToGrid w:val="0"/>
                    <w:jc w:val="center"/>
                    <w:rPr>
                      <w:color w:val="auto"/>
                      <w:szCs w:val="21"/>
                    </w:rPr>
                  </w:pPr>
                </w:p>
              </w:tc>
              <w:tc>
                <w:tcPr>
                  <w:tcW w:w="1529" w:type="dxa"/>
                  <w:tcBorders>
                    <w:tl2br w:val="nil"/>
                    <w:tr2bl w:val="nil"/>
                  </w:tcBorders>
                  <w:vAlign w:val="center"/>
                </w:tcPr>
                <w:p>
                  <w:pPr>
                    <w:widowControl/>
                    <w:topLinePunct/>
                    <w:autoSpaceDE w:val="0"/>
                    <w:autoSpaceDN w:val="0"/>
                    <w:adjustRightInd w:val="0"/>
                    <w:jc w:val="center"/>
                    <w:textAlignment w:val="baseline"/>
                    <w:rPr>
                      <w:color w:val="auto"/>
                      <w:szCs w:val="21"/>
                    </w:rPr>
                  </w:pPr>
                  <w:r>
                    <w:rPr>
                      <w:rFonts w:hint="eastAsia"/>
                      <w:color w:val="auto"/>
                      <w:szCs w:val="21"/>
                    </w:rPr>
                    <w:t>TSP</w:t>
                  </w:r>
                </w:p>
              </w:tc>
              <w:tc>
                <w:tcPr>
                  <w:tcW w:w="124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2.0</w:t>
                  </w:r>
                </w:p>
              </w:tc>
              <w:tc>
                <w:tcPr>
                  <w:tcW w:w="126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0.0180</w:t>
                  </w:r>
                </w:p>
              </w:tc>
              <w:tc>
                <w:tcPr>
                  <w:tcW w:w="860" w:type="dxa"/>
                  <w:tcBorders>
                    <w:right w:val="single" w:color="auto" w:sz="4" w:space="0"/>
                    <w:tl2br w:val="nil"/>
                    <w:tr2bl w:val="nil"/>
                  </w:tcBorders>
                  <w:vAlign w:val="center"/>
                </w:tcPr>
                <w:p>
                  <w:pPr>
                    <w:adjustRightInd w:val="0"/>
                    <w:snapToGrid w:val="0"/>
                    <w:jc w:val="center"/>
                    <w:rPr>
                      <w:color w:val="auto"/>
                      <w:szCs w:val="21"/>
                    </w:rPr>
                  </w:pPr>
                  <w:r>
                    <w:rPr>
                      <w:color w:val="auto"/>
                      <w:szCs w:val="21"/>
                    </w:rPr>
                    <w:t>/</w:t>
                  </w:r>
                </w:p>
              </w:tc>
              <w:tc>
                <w:tcPr>
                  <w:tcW w:w="925" w:type="dxa"/>
                  <w:tcBorders>
                    <w:left w:val="single" w:color="auto" w:sz="4" w:space="0"/>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23</w:t>
                  </w:r>
                </w:p>
              </w:tc>
              <w:tc>
                <w:tcPr>
                  <w:tcW w:w="953" w:type="dxa"/>
                  <w:tcBorders>
                    <w:tl2br w:val="nil"/>
                    <w:tr2bl w:val="nil"/>
                  </w:tcBorders>
                  <w:vAlign w:val="center"/>
                </w:tcPr>
                <w:p>
                  <w:pPr>
                    <w:adjustRightInd w:val="0"/>
                    <w:snapToGrid w:val="0"/>
                    <w:jc w:val="center"/>
                    <w:rPr>
                      <w:bCs/>
                      <w:color w:val="auto"/>
                      <w:szCs w:val="21"/>
                    </w:rPr>
                  </w:pPr>
                  <w:r>
                    <w:rPr>
                      <w:rFonts w:hint="eastAsia"/>
                      <w:bCs/>
                      <w:color w:val="auto"/>
                      <w:szCs w:val="21"/>
                    </w:rPr>
                    <w:t>二</w:t>
                  </w:r>
                  <w:r>
                    <w:rPr>
                      <w:bCs/>
                      <w:color w:val="auto"/>
                      <w:szCs w:val="21"/>
                    </w:rPr>
                    <w:t>级</w:t>
                  </w:r>
                </w:p>
              </w:tc>
            </w:tr>
          </w:tbl>
          <w:p>
            <w:pPr>
              <w:spacing w:line="336" w:lineRule="auto"/>
              <w:ind w:firstLine="480" w:firstLineChars="200"/>
              <w:jc w:val="left"/>
              <w:rPr>
                <w:rFonts w:hint="default" w:ascii="Times New Roman" w:hAnsi="Times New Roman" w:eastAsia="宋体" w:cs="Times New Roman"/>
                <w:color w:val="auto"/>
                <w:sz w:val="24"/>
                <w:szCs w:val="24"/>
                <w:lang w:val="en-US" w:eastAsia="zh-CN"/>
              </w:rPr>
            </w:pPr>
            <w:r>
              <w:rPr>
                <w:color w:val="auto"/>
                <w:sz w:val="24"/>
              </w:rPr>
              <w:t>由上表可知，项目主要大气污染源的最大浓度占标率为</w:t>
            </w:r>
            <w:r>
              <w:rPr>
                <w:rFonts w:hint="eastAsia"/>
                <w:color w:val="auto"/>
                <w:sz w:val="24"/>
                <w:lang w:val="en-US" w:eastAsia="zh-CN"/>
              </w:rPr>
              <w:t>2.0</w:t>
            </w:r>
            <w:r>
              <w:rPr>
                <w:color w:val="auto"/>
                <w:sz w:val="24"/>
              </w:rPr>
              <w:t>%</w:t>
            </w:r>
            <w:r>
              <w:rPr>
                <w:rFonts w:hint="eastAsia"/>
                <w:color w:val="auto"/>
                <w:sz w:val="24"/>
                <w:lang w:eastAsia="zh-CN"/>
              </w:rPr>
              <w:t>，</w:t>
            </w:r>
            <w:r>
              <w:rPr>
                <w:rFonts w:hint="eastAsia" w:ascii="Times New Roman" w:hAnsi="Times New Roman" w:eastAsia="宋体" w:cs="Times New Roman"/>
                <w:color w:val="auto"/>
                <w:sz w:val="24"/>
                <w:szCs w:val="24"/>
                <w:lang w:val="en-US" w:eastAsia="zh-CN"/>
              </w:rPr>
              <w:t>非甲烷总烃</w:t>
            </w:r>
            <w:r>
              <w:rPr>
                <w:rFonts w:hint="eastAsia" w:cs="Times New Roman"/>
                <w:color w:val="auto"/>
                <w:sz w:val="24"/>
                <w:szCs w:val="24"/>
                <w:lang w:val="en-US" w:eastAsia="zh-CN"/>
              </w:rPr>
              <w:t>有组织</w:t>
            </w:r>
            <w:r>
              <w:rPr>
                <w:rFonts w:hint="default" w:ascii="Times New Roman" w:hAnsi="Times New Roman" w:eastAsia="宋体" w:cs="Times New Roman"/>
                <w:color w:val="auto"/>
                <w:sz w:val="24"/>
                <w:szCs w:val="24"/>
                <w:lang w:val="en-US" w:eastAsia="zh-CN"/>
              </w:rPr>
              <w:t>排放地面最大浓度为</w:t>
            </w:r>
            <w:r>
              <w:rPr>
                <w:rFonts w:hint="eastAsia" w:cs="Times New Roman"/>
                <w:color w:val="auto"/>
                <w:sz w:val="24"/>
                <w:szCs w:val="24"/>
                <w:lang w:val="en-US" w:eastAsia="zh-CN"/>
              </w:rPr>
              <w:t>0.0002</w:t>
            </w:r>
            <w:r>
              <w:rPr>
                <w:rFonts w:hint="default" w:ascii="Times New Roman" w:hAnsi="Times New Roman" w:eastAsia="宋体" w:cs="Times New Roman"/>
                <w:color w:val="auto"/>
                <w:sz w:val="24"/>
                <w:szCs w:val="24"/>
                <w:lang w:val="en-US" w:eastAsia="zh-CN"/>
              </w:rPr>
              <w:t>mg/m³，可满足</w:t>
            </w:r>
            <w:r>
              <w:rPr>
                <w:rFonts w:hint="eastAsia" w:hAnsi="宋体"/>
                <w:color w:val="auto"/>
                <w:sz w:val="24"/>
              </w:rPr>
              <w:t>达到《合成树脂工业污染物排放标准》(GB 31572-2015)表4规定的大气污染物排放标准限值</w:t>
            </w:r>
            <w:r>
              <w:rPr>
                <w:rFonts w:hint="eastAsia" w:hAnsi="宋体"/>
                <w:color w:val="auto"/>
                <w:sz w:val="24"/>
                <w:lang w:eastAsia="zh-CN"/>
              </w:rPr>
              <w:t>，</w:t>
            </w:r>
            <w:r>
              <w:rPr>
                <w:rFonts w:hint="eastAsia"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lang w:val="en-US" w:eastAsia="zh-CN"/>
              </w:rPr>
              <w:t>无组织排放地面最大浓度为</w:t>
            </w:r>
            <w:r>
              <w:rPr>
                <w:rFonts w:hint="eastAsia" w:cs="Times New Roman"/>
                <w:color w:val="auto"/>
                <w:sz w:val="24"/>
                <w:szCs w:val="24"/>
                <w:lang w:val="en-US" w:eastAsia="zh-CN"/>
              </w:rPr>
              <w:t>0.0154</w:t>
            </w:r>
            <w:r>
              <w:rPr>
                <w:rFonts w:hint="default" w:ascii="Times New Roman" w:hAnsi="Times New Roman" w:eastAsia="宋体" w:cs="Times New Roman"/>
                <w:color w:val="auto"/>
                <w:sz w:val="24"/>
                <w:szCs w:val="24"/>
                <w:lang w:val="en-US" w:eastAsia="zh-CN"/>
              </w:rPr>
              <w:t>mg/m³，可满足《合成树脂工业污染物排放标准》（GB31572-2015）中的表9企业边界大气污染物浓度限值，</w:t>
            </w:r>
            <w:r>
              <w:rPr>
                <w:rFonts w:hint="eastAsia" w:cs="Times New Roman"/>
                <w:color w:val="auto"/>
                <w:sz w:val="24"/>
                <w:szCs w:val="24"/>
                <w:lang w:val="en-US" w:eastAsia="zh-CN"/>
              </w:rPr>
              <w:t>TSP</w:t>
            </w:r>
            <w:r>
              <w:rPr>
                <w:rFonts w:hint="default" w:ascii="Times New Roman" w:hAnsi="Times New Roman" w:eastAsia="宋体" w:cs="Times New Roman"/>
                <w:color w:val="auto"/>
                <w:sz w:val="24"/>
                <w:szCs w:val="24"/>
                <w:lang w:val="en-US" w:eastAsia="zh-CN"/>
              </w:rPr>
              <w:t>无组织排放地面最大浓度为</w:t>
            </w:r>
            <w:r>
              <w:rPr>
                <w:rFonts w:hint="eastAsia" w:cs="Times New Roman"/>
                <w:color w:val="auto"/>
                <w:sz w:val="24"/>
                <w:szCs w:val="24"/>
                <w:lang w:val="en-US" w:eastAsia="zh-CN"/>
              </w:rPr>
              <w:t>0.0180</w:t>
            </w:r>
            <w:r>
              <w:rPr>
                <w:rFonts w:hint="default" w:ascii="Times New Roman" w:hAnsi="Times New Roman" w:eastAsia="宋体" w:cs="Times New Roman"/>
                <w:color w:val="auto"/>
                <w:sz w:val="24"/>
                <w:szCs w:val="24"/>
                <w:lang w:val="en-US" w:eastAsia="zh-CN"/>
              </w:rPr>
              <w:t>mg/m³，可满足广东省地方标准《大气污染物排放限值》（DB44/27－2001）第二时段无组织排放监控浓度限值</w:t>
            </w:r>
            <w:r>
              <w:rPr>
                <w:rFonts w:hint="eastAsia" w:cs="Times New Roman"/>
                <w:color w:val="auto"/>
                <w:sz w:val="24"/>
                <w:szCs w:val="24"/>
                <w:lang w:val="en-US" w:eastAsia="zh-CN"/>
              </w:rPr>
              <w:t>。综上所述，本项目外排废气均可达标排放，因此</w:t>
            </w:r>
            <w:r>
              <w:rPr>
                <w:rFonts w:hint="default" w:ascii="Times New Roman" w:hAnsi="Times New Roman" w:eastAsia="宋体" w:cs="Times New Roman"/>
                <w:color w:val="auto"/>
                <w:sz w:val="24"/>
                <w:szCs w:val="24"/>
                <w:lang w:val="en-US" w:eastAsia="zh-CN"/>
              </w:rPr>
              <w:t>对周围大气环境</w:t>
            </w:r>
            <w:r>
              <w:rPr>
                <w:rFonts w:hint="eastAsia" w:cs="Times New Roman"/>
                <w:color w:val="auto"/>
                <w:sz w:val="24"/>
                <w:szCs w:val="24"/>
                <w:lang w:val="en-US" w:eastAsia="zh-CN"/>
              </w:rPr>
              <w:t>和敏感点</w:t>
            </w:r>
            <w:r>
              <w:rPr>
                <w:rFonts w:hint="default" w:ascii="Times New Roman" w:hAnsi="Times New Roman" w:eastAsia="宋体" w:cs="Times New Roman"/>
                <w:color w:val="auto"/>
                <w:sz w:val="24"/>
                <w:szCs w:val="24"/>
                <w:lang w:val="en-US" w:eastAsia="zh-CN"/>
              </w:rPr>
              <w:t>影响不大</w:t>
            </w:r>
            <w:r>
              <w:rPr>
                <w:rFonts w:hint="eastAsia" w:cs="Times New Roman"/>
                <w:color w:val="auto"/>
                <w:sz w:val="24"/>
                <w:szCs w:val="24"/>
                <w:lang w:val="en-US" w:eastAsia="zh-CN"/>
              </w:rPr>
              <w:t>。</w:t>
            </w:r>
          </w:p>
          <w:p>
            <w:pPr>
              <w:spacing w:line="336" w:lineRule="auto"/>
              <w:ind w:firstLine="480" w:firstLineChars="200"/>
              <w:jc w:val="left"/>
              <w:rPr>
                <w:color w:val="auto"/>
                <w:sz w:val="24"/>
              </w:rPr>
            </w:pPr>
            <w:r>
              <w:rPr>
                <w:color w:val="auto"/>
                <w:sz w:val="24"/>
              </w:rPr>
              <w:t>按《环境影响评价技术导则—大气环境》（HJ2.2-2018）中的有关规定，确定项目大气环境影响评价工作等级为</w:t>
            </w:r>
            <w:r>
              <w:rPr>
                <w:rFonts w:hint="eastAsia"/>
                <w:color w:val="auto"/>
                <w:sz w:val="24"/>
                <w:lang w:eastAsia="zh-CN"/>
              </w:rPr>
              <w:t>二级</w:t>
            </w:r>
            <w:r>
              <w:rPr>
                <w:color w:val="auto"/>
                <w:sz w:val="24"/>
              </w:rPr>
              <w:t>。</w:t>
            </w:r>
            <w:r>
              <w:rPr>
                <w:rFonts w:hint="eastAsia"/>
                <w:color w:val="auto"/>
                <w:sz w:val="24"/>
                <w:lang w:eastAsia="zh-CN"/>
              </w:rPr>
              <w:t>二级</w:t>
            </w:r>
            <w:r>
              <w:rPr>
                <w:color w:val="auto"/>
                <w:sz w:val="24"/>
              </w:rPr>
              <w:t>评价项目不进行进一步预测与评价</w:t>
            </w:r>
            <w:r>
              <w:rPr>
                <w:rFonts w:hint="eastAsia"/>
                <w:color w:val="auto"/>
                <w:sz w:val="24"/>
              </w:rPr>
              <w:t>，</w:t>
            </w:r>
            <w:r>
              <w:rPr>
                <w:color w:val="auto"/>
                <w:sz w:val="24"/>
              </w:rPr>
              <w:t>只对污染物排放量进行核算。经核算，项目大气污染源排放情况如下：</w:t>
            </w:r>
          </w:p>
          <w:p>
            <w:pPr>
              <w:pStyle w:val="138"/>
              <w:numPr>
                <w:ilvl w:val="0"/>
                <w:numId w:val="5"/>
              </w:numPr>
              <w:tabs>
                <w:tab w:val="left" w:pos="420"/>
              </w:tabs>
              <w:spacing w:line="336" w:lineRule="auto"/>
              <w:ind w:left="0" w:firstLine="471"/>
              <w:rPr>
                <w:rFonts w:eastAsia="宋体" w:cs="Times New Roman"/>
                <w:b/>
                <w:color w:val="auto"/>
                <w:sz w:val="21"/>
                <w:szCs w:val="21"/>
              </w:rPr>
            </w:pPr>
            <w:r>
              <w:rPr>
                <w:rFonts w:eastAsia="宋体" w:cs="Times New Roman"/>
                <w:b/>
                <w:color w:val="auto"/>
                <w:sz w:val="21"/>
                <w:szCs w:val="21"/>
              </w:rPr>
              <w:t>大气污染物有组织排放量核算表</w:t>
            </w:r>
          </w:p>
          <w:tbl>
            <w:tblPr>
              <w:tblStyle w:val="45"/>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1329"/>
              <w:gridCol w:w="1513"/>
              <w:gridCol w:w="1513"/>
              <w:gridCol w:w="1511"/>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1801" w:type="dxa"/>
                  <w:vAlign w:val="center"/>
                </w:tcPr>
                <w:p>
                  <w:pPr>
                    <w:jc w:val="center"/>
                    <w:rPr>
                      <w:b/>
                      <w:bCs/>
                      <w:color w:val="auto"/>
                      <w:szCs w:val="21"/>
                    </w:rPr>
                  </w:pPr>
                  <w:r>
                    <w:rPr>
                      <w:b/>
                      <w:bCs/>
                      <w:color w:val="auto"/>
                      <w:szCs w:val="21"/>
                    </w:rPr>
                    <w:t>序号</w:t>
                  </w:r>
                </w:p>
              </w:tc>
              <w:tc>
                <w:tcPr>
                  <w:tcW w:w="1329" w:type="dxa"/>
                  <w:vAlign w:val="center"/>
                </w:tcPr>
                <w:p>
                  <w:pPr>
                    <w:jc w:val="center"/>
                    <w:rPr>
                      <w:b/>
                      <w:bCs/>
                      <w:color w:val="auto"/>
                      <w:szCs w:val="21"/>
                    </w:rPr>
                  </w:pPr>
                  <w:r>
                    <w:rPr>
                      <w:b/>
                      <w:bCs/>
                      <w:color w:val="auto"/>
                      <w:szCs w:val="21"/>
                    </w:rPr>
                    <w:t>排放口编号</w:t>
                  </w:r>
                </w:p>
              </w:tc>
              <w:tc>
                <w:tcPr>
                  <w:tcW w:w="1513" w:type="dxa"/>
                  <w:vAlign w:val="center"/>
                </w:tcPr>
                <w:p>
                  <w:pPr>
                    <w:jc w:val="center"/>
                    <w:rPr>
                      <w:b/>
                      <w:bCs/>
                      <w:color w:val="auto"/>
                      <w:szCs w:val="21"/>
                    </w:rPr>
                  </w:pPr>
                  <w:r>
                    <w:rPr>
                      <w:b/>
                      <w:bCs/>
                      <w:color w:val="auto"/>
                      <w:szCs w:val="21"/>
                    </w:rPr>
                    <w:t>污染物</w:t>
                  </w:r>
                </w:p>
              </w:tc>
              <w:tc>
                <w:tcPr>
                  <w:tcW w:w="1513" w:type="dxa"/>
                  <w:vAlign w:val="center"/>
                </w:tcPr>
                <w:p>
                  <w:pPr>
                    <w:jc w:val="center"/>
                    <w:rPr>
                      <w:b/>
                      <w:bCs/>
                      <w:color w:val="auto"/>
                      <w:szCs w:val="21"/>
                    </w:rPr>
                  </w:pPr>
                  <w:r>
                    <w:rPr>
                      <w:b/>
                      <w:bCs/>
                      <w:color w:val="auto"/>
                      <w:szCs w:val="21"/>
                    </w:rPr>
                    <w:t>核算排放浓度</w:t>
                  </w:r>
                </w:p>
                <w:p>
                  <w:pPr>
                    <w:jc w:val="center"/>
                    <w:rPr>
                      <w:b/>
                      <w:bCs/>
                      <w:color w:val="auto"/>
                      <w:szCs w:val="21"/>
                    </w:rPr>
                  </w:pPr>
                  <w:r>
                    <w:rPr>
                      <w:b/>
                      <w:bCs/>
                      <w:color w:val="auto"/>
                      <w:szCs w:val="21"/>
                    </w:rPr>
                    <w:t>（mg/m³）</w:t>
                  </w:r>
                </w:p>
              </w:tc>
              <w:tc>
                <w:tcPr>
                  <w:tcW w:w="1511" w:type="dxa"/>
                  <w:vAlign w:val="center"/>
                </w:tcPr>
                <w:p>
                  <w:pPr>
                    <w:jc w:val="center"/>
                    <w:rPr>
                      <w:b/>
                      <w:bCs/>
                      <w:color w:val="auto"/>
                      <w:szCs w:val="21"/>
                    </w:rPr>
                  </w:pPr>
                  <w:r>
                    <w:rPr>
                      <w:b/>
                      <w:bCs/>
                      <w:color w:val="auto"/>
                      <w:szCs w:val="21"/>
                    </w:rPr>
                    <w:t>核算排放速率</w:t>
                  </w:r>
                </w:p>
                <w:p>
                  <w:pPr>
                    <w:jc w:val="center"/>
                    <w:rPr>
                      <w:b/>
                      <w:bCs/>
                      <w:color w:val="auto"/>
                      <w:szCs w:val="21"/>
                    </w:rPr>
                  </w:pPr>
                  <w:r>
                    <w:rPr>
                      <w:b/>
                      <w:bCs/>
                      <w:color w:val="auto"/>
                      <w:szCs w:val="21"/>
                    </w:rPr>
                    <w:t>（kg/h）</w:t>
                  </w:r>
                </w:p>
              </w:tc>
              <w:tc>
                <w:tcPr>
                  <w:tcW w:w="1513" w:type="dxa"/>
                  <w:vAlign w:val="center"/>
                </w:tcPr>
                <w:p>
                  <w:pPr>
                    <w:jc w:val="center"/>
                    <w:rPr>
                      <w:b/>
                      <w:bCs/>
                      <w:color w:val="auto"/>
                      <w:szCs w:val="21"/>
                    </w:rPr>
                  </w:pPr>
                  <w:r>
                    <w:rPr>
                      <w:b/>
                      <w:bCs/>
                      <w:color w:val="auto"/>
                      <w:szCs w:val="21"/>
                    </w:rPr>
                    <w:t>核算年排放量</w:t>
                  </w:r>
                </w:p>
                <w:p>
                  <w:pPr>
                    <w:jc w:val="center"/>
                    <w:rPr>
                      <w:b/>
                      <w:bCs/>
                      <w:color w:val="auto"/>
                      <w:szCs w:val="21"/>
                    </w:rPr>
                  </w:pPr>
                  <w:r>
                    <w:rPr>
                      <w:b/>
                      <w:bCs/>
                      <w:color w:val="auto"/>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9180" w:type="dxa"/>
                  <w:gridSpan w:val="6"/>
                  <w:vAlign w:val="center"/>
                </w:tcPr>
                <w:p>
                  <w:pPr>
                    <w:jc w:val="center"/>
                    <w:rPr>
                      <w:color w:val="auto"/>
                      <w:szCs w:val="21"/>
                    </w:rPr>
                  </w:pPr>
                  <w:r>
                    <w:rPr>
                      <w:color w:val="auto"/>
                      <w:szCs w:val="21"/>
                    </w:rPr>
                    <w:t>主要排放口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801" w:type="dxa"/>
                  <w:vAlign w:val="center"/>
                </w:tcPr>
                <w:p>
                  <w:pPr>
                    <w:jc w:val="center"/>
                    <w:rPr>
                      <w:color w:val="auto"/>
                      <w:szCs w:val="21"/>
                    </w:rPr>
                  </w:pPr>
                  <w:r>
                    <w:rPr>
                      <w:color w:val="auto"/>
                      <w:szCs w:val="21"/>
                    </w:rPr>
                    <w:t>1</w:t>
                  </w:r>
                </w:p>
              </w:tc>
              <w:tc>
                <w:tcPr>
                  <w:tcW w:w="1329" w:type="dxa"/>
                  <w:vAlign w:val="center"/>
                </w:tcPr>
                <w:p>
                  <w:pPr>
                    <w:widowControl/>
                    <w:adjustRightInd w:val="0"/>
                    <w:snapToGrid w:val="0"/>
                    <w:jc w:val="center"/>
                    <w:rPr>
                      <w:color w:val="auto"/>
                      <w:szCs w:val="21"/>
                    </w:rPr>
                  </w:pPr>
                  <w:r>
                    <w:rPr>
                      <w:color w:val="auto"/>
                      <w:szCs w:val="21"/>
                    </w:rPr>
                    <w:t>G1</w:t>
                  </w:r>
                </w:p>
              </w:tc>
              <w:tc>
                <w:tcPr>
                  <w:tcW w:w="1513" w:type="dxa"/>
                  <w:vAlign w:val="center"/>
                </w:tcPr>
                <w:p>
                  <w:pPr>
                    <w:adjustRightInd w:val="0"/>
                    <w:snapToGrid w:val="0"/>
                    <w:jc w:val="center"/>
                    <w:rPr>
                      <w:color w:val="auto"/>
                      <w:szCs w:val="21"/>
                    </w:rPr>
                  </w:pPr>
                  <w:r>
                    <w:rPr>
                      <w:color w:val="auto"/>
                      <w:szCs w:val="21"/>
                    </w:rPr>
                    <w:t>非甲烷总烃</w:t>
                  </w:r>
                </w:p>
              </w:tc>
              <w:tc>
                <w:tcPr>
                  <w:tcW w:w="1513" w:type="dxa"/>
                  <w:vAlign w:val="center"/>
                </w:tcPr>
                <w:p>
                  <w:pPr>
                    <w:widowControl/>
                    <w:jc w:val="center"/>
                    <w:textAlignment w:val="center"/>
                    <w:rPr>
                      <w:color w:val="auto"/>
                      <w:szCs w:val="21"/>
                    </w:rPr>
                  </w:pPr>
                  <w:r>
                    <w:rPr>
                      <w:rFonts w:hint="eastAsia"/>
                      <w:color w:val="auto"/>
                      <w:lang w:val="en-US" w:eastAsia="zh-CN"/>
                    </w:rPr>
                    <w:t>1.085</w:t>
                  </w:r>
                </w:p>
              </w:tc>
              <w:tc>
                <w:tcPr>
                  <w:tcW w:w="1511" w:type="dxa"/>
                  <w:vAlign w:val="center"/>
                </w:tcPr>
                <w:p>
                  <w:pPr>
                    <w:widowControl/>
                    <w:jc w:val="center"/>
                    <w:textAlignment w:val="center"/>
                    <w:rPr>
                      <w:color w:val="auto"/>
                      <w:szCs w:val="21"/>
                    </w:rPr>
                  </w:pPr>
                  <w:r>
                    <w:rPr>
                      <w:rFonts w:hint="eastAsia"/>
                      <w:color w:val="auto"/>
                      <w:lang w:val="en-US" w:eastAsia="zh-CN"/>
                    </w:rPr>
                    <w:t>0.009</w:t>
                  </w:r>
                </w:p>
              </w:tc>
              <w:tc>
                <w:tcPr>
                  <w:tcW w:w="1513" w:type="dxa"/>
                  <w:vAlign w:val="center"/>
                </w:tcPr>
                <w:p>
                  <w:pPr>
                    <w:widowControl/>
                    <w:jc w:val="center"/>
                    <w:textAlignment w:val="center"/>
                    <w:rPr>
                      <w:color w:val="auto"/>
                      <w:szCs w:val="21"/>
                    </w:rPr>
                  </w:pPr>
                  <w:r>
                    <w:rPr>
                      <w:rFonts w:hint="eastAsia"/>
                      <w:color w:val="auto"/>
                      <w:lang w:val="en-US" w:eastAsia="zh-CN"/>
                    </w:rPr>
                    <w:t>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9180" w:type="dxa"/>
                  <w:gridSpan w:val="6"/>
                  <w:vAlign w:val="center"/>
                </w:tcPr>
                <w:p>
                  <w:pPr>
                    <w:jc w:val="center"/>
                    <w:rPr>
                      <w:color w:val="auto"/>
                      <w:szCs w:val="21"/>
                    </w:rPr>
                  </w:pPr>
                  <w:r>
                    <w:rPr>
                      <w:color w:val="auto"/>
                      <w:szCs w:val="21"/>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801" w:type="dxa"/>
                  <w:vAlign w:val="center"/>
                </w:tcPr>
                <w:p>
                  <w:pPr>
                    <w:jc w:val="center"/>
                    <w:rPr>
                      <w:color w:val="auto"/>
                      <w:szCs w:val="21"/>
                    </w:rPr>
                  </w:pPr>
                  <w:r>
                    <w:rPr>
                      <w:color w:val="auto"/>
                      <w:szCs w:val="21"/>
                    </w:rPr>
                    <w:t>有组织排放总计</w:t>
                  </w:r>
                </w:p>
              </w:tc>
              <w:tc>
                <w:tcPr>
                  <w:tcW w:w="5866" w:type="dxa"/>
                  <w:gridSpan w:val="4"/>
                  <w:vAlign w:val="center"/>
                </w:tcPr>
                <w:p>
                  <w:pPr>
                    <w:adjustRightInd w:val="0"/>
                    <w:snapToGrid w:val="0"/>
                    <w:jc w:val="center"/>
                    <w:rPr>
                      <w:color w:val="auto"/>
                      <w:szCs w:val="21"/>
                    </w:rPr>
                  </w:pPr>
                  <w:r>
                    <w:rPr>
                      <w:color w:val="auto"/>
                      <w:szCs w:val="21"/>
                    </w:rPr>
                    <w:t>非甲烷总烃</w:t>
                  </w:r>
                </w:p>
              </w:tc>
              <w:tc>
                <w:tcPr>
                  <w:tcW w:w="1513" w:type="dxa"/>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0.022</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大气污染物无组织排放量核算表</w:t>
            </w:r>
          </w:p>
          <w:tbl>
            <w:tblPr>
              <w:tblStyle w:val="45"/>
              <w:tblW w:w="92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949"/>
              <w:gridCol w:w="863"/>
              <w:gridCol w:w="1067"/>
              <w:gridCol w:w="1387"/>
              <w:gridCol w:w="2050"/>
              <w:gridCol w:w="1185"/>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660" w:type="dxa"/>
                  <w:vMerge w:val="restart"/>
                  <w:vAlign w:val="center"/>
                </w:tcPr>
                <w:p>
                  <w:pPr>
                    <w:jc w:val="center"/>
                    <w:rPr>
                      <w:b/>
                      <w:bCs/>
                      <w:color w:val="auto"/>
                      <w:szCs w:val="21"/>
                    </w:rPr>
                  </w:pPr>
                  <w:r>
                    <w:rPr>
                      <w:b/>
                      <w:bCs/>
                      <w:color w:val="auto"/>
                      <w:szCs w:val="21"/>
                    </w:rPr>
                    <w:t>序号</w:t>
                  </w:r>
                </w:p>
              </w:tc>
              <w:tc>
                <w:tcPr>
                  <w:tcW w:w="949" w:type="dxa"/>
                  <w:vMerge w:val="restart"/>
                  <w:vAlign w:val="center"/>
                </w:tcPr>
                <w:p>
                  <w:pPr>
                    <w:jc w:val="center"/>
                    <w:rPr>
                      <w:b/>
                      <w:bCs/>
                      <w:color w:val="auto"/>
                      <w:szCs w:val="21"/>
                    </w:rPr>
                  </w:pPr>
                  <w:r>
                    <w:rPr>
                      <w:b/>
                      <w:bCs/>
                      <w:color w:val="auto"/>
                      <w:szCs w:val="21"/>
                    </w:rPr>
                    <w:t>排放口编号</w:t>
                  </w:r>
                </w:p>
              </w:tc>
              <w:tc>
                <w:tcPr>
                  <w:tcW w:w="863" w:type="dxa"/>
                  <w:vMerge w:val="restart"/>
                  <w:vAlign w:val="center"/>
                </w:tcPr>
                <w:p>
                  <w:pPr>
                    <w:jc w:val="center"/>
                    <w:rPr>
                      <w:b/>
                      <w:bCs/>
                      <w:color w:val="auto"/>
                      <w:szCs w:val="21"/>
                    </w:rPr>
                  </w:pPr>
                  <w:r>
                    <w:rPr>
                      <w:b/>
                      <w:bCs/>
                      <w:color w:val="auto"/>
                      <w:szCs w:val="21"/>
                    </w:rPr>
                    <w:t>产物环节</w:t>
                  </w:r>
                </w:p>
              </w:tc>
              <w:tc>
                <w:tcPr>
                  <w:tcW w:w="1067" w:type="dxa"/>
                  <w:vMerge w:val="restart"/>
                  <w:vAlign w:val="center"/>
                </w:tcPr>
                <w:p>
                  <w:pPr>
                    <w:jc w:val="center"/>
                    <w:rPr>
                      <w:b/>
                      <w:bCs/>
                      <w:color w:val="auto"/>
                      <w:szCs w:val="21"/>
                    </w:rPr>
                  </w:pPr>
                  <w:r>
                    <w:rPr>
                      <w:b/>
                      <w:bCs/>
                      <w:color w:val="auto"/>
                      <w:szCs w:val="21"/>
                    </w:rPr>
                    <w:t>污染物</w:t>
                  </w:r>
                </w:p>
              </w:tc>
              <w:tc>
                <w:tcPr>
                  <w:tcW w:w="1387" w:type="dxa"/>
                  <w:vMerge w:val="restart"/>
                  <w:vAlign w:val="center"/>
                </w:tcPr>
                <w:p>
                  <w:pPr>
                    <w:jc w:val="center"/>
                    <w:rPr>
                      <w:b/>
                      <w:bCs/>
                      <w:color w:val="auto"/>
                      <w:szCs w:val="21"/>
                    </w:rPr>
                  </w:pPr>
                  <w:r>
                    <w:rPr>
                      <w:b/>
                      <w:bCs/>
                      <w:color w:val="auto"/>
                      <w:szCs w:val="21"/>
                    </w:rPr>
                    <w:t>主要污染防治措施</w:t>
                  </w:r>
                </w:p>
              </w:tc>
              <w:tc>
                <w:tcPr>
                  <w:tcW w:w="3235" w:type="dxa"/>
                  <w:gridSpan w:val="2"/>
                  <w:vAlign w:val="center"/>
                </w:tcPr>
                <w:p>
                  <w:pPr>
                    <w:jc w:val="center"/>
                    <w:rPr>
                      <w:b/>
                      <w:bCs/>
                      <w:color w:val="auto"/>
                      <w:szCs w:val="21"/>
                    </w:rPr>
                  </w:pPr>
                  <w:r>
                    <w:rPr>
                      <w:b/>
                      <w:bCs/>
                      <w:color w:val="auto"/>
                      <w:szCs w:val="21"/>
                    </w:rPr>
                    <w:t>国家或地方污染物排放标准</w:t>
                  </w:r>
                </w:p>
              </w:tc>
              <w:tc>
                <w:tcPr>
                  <w:tcW w:w="1079" w:type="dxa"/>
                  <w:vMerge w:val="restart"/>
                  <w:vAlign w:val="center"/>
                </w:tcPr>
                <w:p>
                  <w:pPr>
                    <w:jc w:val="center"/>
                    <w:rPr>
                      <w:b/>
                      <w:bCs/>
                      <w:color w:val="auto"/>
                      <w:szCs w:val="21"/>
                    </w:rPr>
                  </w:pPr>
                  <w:r>
                    <w:rPr>
                      <w:b/>
                      <w:bCs/>
                      <w:color w:val="auto"/>
                      <w:szCs w:val="21"/>
                    </w:rPr>
                    <w:t>年排放量</w:t>
                  </w:r>
                </w:p>
                <w:p>
                  <w:pPr>
                    <w:jc w:val="center"/>
                    <w:rPr>
                      <w:b/>
                      <w:bCs/>
                      <w:color w:val="auto"/>
                      <w:szCs w:val="21"/>
                    </w:rPr>
                  </w:pPr>
                  <w:r>
                    <w:rPr>
                      <w:b/>
                      <w:bCs/>
                      <w:color w:val="auto"/>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660" w:type="dxa"/>
                  <w:vMerge w:val="continue"/>
                  <w:vAlign w:val="center"/>
                </w:tcPr>
                <w:p>
                  <w:pPr>
                    <w:spacing w:line="360" w:lineRule="auto"/>
                    <w:jc w:val="center"/>
                    <w:rPr>
                      <w:color w:val="auto"/>
                      <w:szCs w:val="21"/>
                    </w:rPr>
                  </w:pPr>
                </w:p>
              </w:tc>
              <w:tc>
                <w:tcPr>
                  <w:tcW w:w="949" w:type="dxa"/>
                  <w:vMerge w:val="continue"/>
                  <w:vAlign w:val="center"/>
                </w:tcPr>
                <w:p>
                  <w:pPr>
                    <w:spacing w:line="360" w:lineRule="auto"/>
                    <w:jc w:val="center"/>
                    <w:rPr>
                      <w:color w:val="auto"/>
                      <w:szCs w:val="21"/>
                    </w:rPr>
                  </w:pPr>
                </w:p>
              </w:tc>
              <w:tc>
                <w:tcPr>
                  <w:tcW w:w="863" w:type="dxa"/>
                  <w:vMerge w:val="continue"/>
                  <w:vAlign w:val="center"/>
                </w:tcPr>
                <w:p>
                  <w:pPr>
                    <w:spacing w:line="360" w:lineRule="auto"/>
                    <w:jc w:val="center"/>
                    <w:rPr>
                      <w:color w:val="auto"/>
                      <w:szCs w:val="21"/>
                    </w:rPr>
                  </w:pPr>
                </w:p>
              </w:tc>
              <w:tc>
                <w:tcPr>
                  <w:tcW w:w="1067" w:type="dxa"/>
                  <w:vMerge w:val="continue"/>
                  <w:vAlign w:val="center"/>
                </w:tcPr>
                <w:p>
                  <w:pPr>
                    <w:spacing w:line="360" w:lineRule="auto"/>
                    <w:jc w:val="center"/>
                    <w:rPr>
                      <w:color w:val="auto"/>
                      <w:szCs w:val="21"/>
                    </w:rPr>
                  </w:pPr>
                </w:p>
              </w:tc>
              <w:tc>
                <w:tcPr>
                  <w:tcW w:w="1387" w:type="dxa"/>
                  <w:vMerge w:val="continue"/>
                  <w:vAlign w:val="center"/>
                </w:tcPr>
                <w:p>
                  <w:pPr>
                    <w:spacing w:line="360" w:lineRule="auto"/>
                    <w:jc w:val="center"/>
                    <w:rPr>
                      <w:color w:val="auto"/>
                      <w:szCs w:val="21"/>
                    </w:rPr>
                  </w:pPr>
                </w:p>
              </w:tc>
              <w:tc>
                <w:tcPr>
                  <w:tcW w:w="2050" w:type="dxa"/>
                  <w:vAlign w:val="center"/>
                </w:tcPr>
                <w:p>
                  <w:pPr>
                    <w:jc w:val="center"/>
                    <w:rPr>
                      <w:b/>
                      <w:bCs/>
                      <w:color w:val="auto"/>
                      <w:szCs w:val="21"/>
                    </w:rPr>
                  </w:pPr>
                  <w:r>
                    <w:rPr>
                      <w:b/>
                      <w:bCs/>
                      <w:color w:val="auto"/>
                      <w:szCs w:val="21"/>
                    </w:rPr>
                    <w:t>标准名称</w:t>
                  </w:r>
                </w:p>
              </w:tc>
              <w:tc>
                <w:tcPr>
                  <w:tcW w:w="1185" w:type="dxa"/>
                  <w:vAlign w:val="center"/>
                </w:tcPr>
                <w:p>
                  <w:pPr>
                    <w:jc w:val="center"/>
                    <w:rPr>
                      <w:b/>
                      <w:bCs/>
                      <w:color w:val="auto"/>
                      <w:szCs w:val="21"/>
                    </w:rPr>
                  </w:pPr>
                  <w:r>
                    <w:rPr>
                      <w:b/>
                      <w:bCs/>
                      <w:color w:val="auto"/>
                      <w:szCs w:val="21"/>
                    </w:rPr>
                    <w:t>浓度限值（mg/m³）</w:t>
                  </w:r>
                </w:p>
              </w:tc>
              <w:tc>
                <w:tcPr>
                  <w:tcW w:w="1079"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4" w:hRule="atLeast"/>
              </w:trPr>
              <w:tc>
                <w:tcPr>
                  <w:tcW w:w="660" w:type="dxa"/>
                  <w:vMerge w:val="restart"/>
                  <w:vAlign w:val="center"/>
                </w:tcPr>
                <w:p>
                  <w:pPr>
                    <w:spacing w:line="360" w:lineRule="auto"/>
                    <w:jc w:val="center"/>
                    <w:rPr>
                      <w:color w:val="auto"/>
                      <w:szCs w:val="21"/>
                    </w:rPr>
                  </w:pPr>
                  <w:r>
                    <w:rPr>
                      <w:color w:val="auto"/>
                      <w:szCs w:val="21"/>
                    </w:rPr>
                    <w:t>1</w:t>
                  </w:r>
                </w:p>
              </w:tc>
              <w:tc>
                <w:tcPr>
                  <w:tcW w:w="949" w:type="dxa"/>
                  <w:vMerge w:val="restart"/>
                  <w:vAlign w:val="center"/>
                </w:tcPr>
                <w:p>
                  <w:pPr>
                    <w:jc w:val="center"/>
                    <w:rPr>
                      <w:color w:val="auto"/>
                      <w:szCs w:val="21"/>
                    </w:rPr>
                  </w:pPr>
                  <w:r>
                    <w:rPr>
                      <w:rFonts w:hint="eastAsia"/>
                      <w:color w:val="auto"/>
                      <w:szCs w:val="21"/>
                    </w:rPr>
                    <w:t>生产</w:t>
                  </w:r>
                  <w:r>
                    <w:rPr>
                      <w:color w:val="auto"/>
                      <w:szCs w:val="21"/>
                    </w:rPr>
                    <w:t>车间</w:t>
                  </w:r>
                </w:p>
              </w:tc>
              <w:tc>
                <w:tcPr>
                  <w:tcW w:w="863" w:type="dxa"/>
                  <w:vAlign w:val="center"/>
                </w:tcPr>
                <w:p>
                  <w:pPr>
                    <w:jc w:val="center"/>
                    <w:rPr>
                      <w:color w:val="auto"/>
                      <w:szCs w:val="21"/>
                    </w:rPr>
                  </w:pPr>
                  <w:r>
                    <w:rPr>
                      <w:rFonts w:hint="eastAsia"/>
                      <w:color w:val="auto"/>
                      <w:szCs w:val="21"/>
                    </w:rPr>
                    <w:t>造粒、挤出成型</w:t>
                  </w:r>
                  <w:r>
                    <w:rPr>
                      <w:color w:val="auto"/>
                      <w:szCs w:val="21"/>
                    </w:rPr>
                    <w:t>工序</w:t>
                  </w:r>
                </w:p>
              </w:tc>
              <w:tc>
                <w:tcPr>
                  <w:tcW w:w="1067" w:type="dxa"/>
                  <w:vAlign w:val="center"/>
                </w:tcPr>
                <w:p>
                  <w:pPr>
                    <w:adjustRightInd w:val="0"/>
                    <w:snapToGrid w:val="0"/>
                    <w:jc w:val="center"/>
                    <w:rPr>
                      <w:color w:val="auto"/>
                      <w:szCs w:val="21"/>
                    </w:rPr>
                  </w:pPr>
                  <w:r>
                    <w:rPr>
                      <w:color w:val="auto"/>
                      <w:szCs w:val="21"/>
                    </w:rPr>
                    <w:t>非甲烷总烃</w:t>
                  </w:r>
                </w:p>
              </w:tc>
              <w:tc>
                <w:tcPr>
                  <w:tcW w:w="1387" w:type="dxa"/>
                  <w:vAlign w:val="center"/>
                </w:tcPr>
                <w:p>
                  <w:pPr>
                    <w:jc w:val="center"/>
                    <w:rPr>
                      <w:color w:val="auto"/>
                      <w:szCs w:val="21"/>
                    </w:rPr>
                  </w:pPr>
                  <w:r>
                    <w:rPr>
                      <w:color w:val="auto"/>
                      <w:szCs w:val="21"/>
                    </w:rPr>
                    <w:t>加强车间机械通风</w:t>
                  </w:r>
                </w:p>
              </w:tc>
              <w:tc>
                <w:tcPr>
                  <w:tcW w:w="2050" w:type="dxa"/>
                  <w:vAlign w:val="center"/>
                </w:tcPr>
                <w:p>
                  <w:pPr>
                    <w:jc w:val="center"/>
                    <w:rPr>
                      <w:color w:val="auto"/>
                      <w:szCs w:val="21"/>
                    </w:rPr>
                  </w:pPr>
                  <w:r>
                    <w:rPr>
                      <w:color w:val="auto"/>
                      <w:szCs w:val="21"/>
                    </w:rPr>
                    <w:t>《合成树脂工业污染物排放标准》（GB31572-2015）中的表9企业边界大气污染物浓度限值</w:t>
                  </w:r>
                </w:p>
              </w:tc>
              <w:tc>
                <w:tcPr>
                  <w:tcW w:w="1185" w:type="dxa"/>
                  <w:vAlign w:val="center"/>
                </w:tcPr>
                <w:p>
                  <w:pPr>
                    <w:pStyle w:val="34"/>
                    <w:ind w:firstLine="0"/>
                    <w:jc w:val="center"/>
                    <w:rPr>
                      <w:color w:val="auto"/>
                      <w:sz w:val="21"/>
                      <w:szCs w:val="21"/>
                    </w:rPr>
                  </w:pPr>
                  <w:r>
                    <w:rPr>
                      <w:rFonts w:hint="eastAsia"/>
                      <w:color w:val="auto"/>
                      <w:sz w:val="21"/>
                      <w:szCs w:val="21"/>
                    </w:rPr>
                    <w:t>4.0</w:t>
                  </w:r>
                </w:p>
              </w:tc>
              <w:tc>
                <w:tcPr>
                  <w:tcW w:w="1079" w:type="dxa"/>
                  <w:vAlign w:val="center"/>
                </w:tcPr>
                <w:p>
                  <w:pPr>
                    <w:jc w:val="center"/>
                    <w:rPr>
                      <w:rFonts w:hint="default" w:eastAsia="宋体"/>
                      <w:color w:val="auto"/>
                      <w:szCs w:val="21"/>
                      <w:lang w:val="en-US" w:eastAsia="zh-CN"/>
                    </w:rPr>
                  </w:pPr>
                  <w:r>
                    <w:rPr>
                      <w:rFonts w:hint="eastAsia"/>
                      <w:color w:val="auto"/>
                      <w:szCs w:val="21"/>
                      <w:lang w:val="en-US" w:eastAsia="zh-CN"/>
                    </w:rPr>
                    <w:t>0.028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660" w:type="dxa"/>
                  <w:vMerge w:val="continue"/>
                  <w:vAlign w:val="center"/>
                </w:tcPr>
                <w:p>
                  <w:pPr>
                    <w:spacing w:line="360" w:lineRule="auto"/>
                    <w:jc w:val="center"/>
                    <w:rPr>
                      <w:color w:val="auto"/>
                      <w:szCs w:val="21"/>
                    </w:rPr>
                  </w:pPr>
                </w:p>
              </w:tc>
              <w:tc>
                <w:tcPr>
                  <w:tcW w:w="949" w:type="dxa"/>
                  <w:vMerge w:val="continue"/>
                  <w:vAlign w:val="center"/>
                </w:tcPr>
                <w:p>
                  <w:pPr>
                    <w:jc w:val="center"/>
                    <w:rPr>
                      <w:color w:val="auto"/>
                      <w:szCs w:val="21"/>
                    </w:rPr>
                  </w:pPr>
                </w:p>
              </w:tc>
              <w:tc>
                <w:tcPr>
                  <w:tcW w:w="863" w:type="dxa"/>
                  <w:vAlign w:val="center"/>
                </w:tcPr>
                <w:p>
                  <w:pPr>
                    <w:jc w:val="center"/>
                    <w:rPr>
                      <w:color w:val="auto"/>
                      <w:szCs w:val="21"/>
                    </w:rPr>
                  </w:pPr>
                  <w:r>
                    <w:rPr>
                      <w:rFonts w:hint="eastAsia"/>
                      <w:color w:val="auto"/>
                      <w:szCs w:val="21"/>
                    </w:rPr>
                    <w:t>混料工序</w:t>
                  </w:r>
                </w:p>
              </w:tc>
              <w:tc>
                <w:tcPr>
                  <w:tcW w:w="1067" w:type="dxa"/>
                  <w:vAlign w:val="center"/>
                </w:tcPr>
                <w:p>
                  <w:pPr>
                    <w:adjustRightInd w:val="0"/>
                    <w:snapToGrid w:val="0"/>
                    <w:jc w:val="center"/>
                    <w:rPr>
                      <w:color w:val="auto"/>
                      <w:szCs w:val="21"/>
                    </w:rPr>
                  </w:pPr>
                  <w:r>
                    <w:rPr>
                      <w:rFonts w:hint="eastAsia"/>
                      <w:color w:val="auto"/>
                      <w:szCs w:val="21"/>
                    </w:rPr>
                    <w:t>TSP</w:t>
                  </w:r>
                </w:p>
              </w:tc>
              <w:tc>
                <w:tcPr>
                  <w:tcW w:w="1387" w:type="dxa"/>
                  <w:vAlign w:val="center"/>
                </w:tcPr>
                <w:p>
                  <w:pPr>
                    <w:jc w:val="center"/>
                    <w:rPr>
                      <w:color w:val="auto"/>
                      <w:szCs w:val="21"/>
                    </w:rPr>
                  </w:pPr>
                  <w:r>
                    <w:rPr>
                      <w:color w:val="auto"/>
                      <w:szCs w:val="21"/>
                    </w:rPr>
                    <w:t>加强车间机械通风</w:t>
                  </w:r>
                </w:p>
              </w:tc>
              <w:tc>
                <w:tcPr>
                  <w:tcW w:w="2050" w:type="dxa"/>
                  <w:vAlign w:val="center"/>
                </w:tcPr>
                <w:p>
                  <w:pPr>
                    <w:jc w:val="center"/>
                    <w:rPr>
                      <w:color w:val="auto"/>
                      <w:szCs w:val="21"/>
                    </w:rPr>
                  </w:pPr>
                  <w:r>
                    <w:rPr>
                      <w:color w:val="auto"/>
                      <w:szCs w:val="21"/>
                    </w:rPr>
                    <w:t>广东省地方标准《大气污染物排放限值》（DB44/27－2001）第二时段无组织排放监控浓度限值</w:t>
                  </w:r>
                </w:p>
              </w:tc>
              <w:tc>
                <w:tcPr>
                  <w:tcW w:w="1185" w:type="dxa"/>
                  <w:vAlign w:val="center"/>
                </w:tcPr>
                <w:p>
                  <w:pPr>
                    <w:pStyle w:val="34"/>
                    <w:ind w:firstLine="0"/>
                    <w:jc w:val="center"/>
                    <w:rPr>
                      <w:color w:val="auto"/>
                      <w:sz w:val="21"/>
                      <w:szCs w:val="21"/>
                    </w:rPr>
                  </w:pPr>
                  <w:r>
                    <w:rPr>
                      <w:rFonts w:hint="eastAsia"/>
                      <w:color w:val="auto"/>
                      <w:sz w:val="21"/>
                      <w:szCs w:val="21"/>
                    </w:rPr>
                    <w:t>1.0</w:t>
                  </w:r>
                </w:p>
              </w:tc>
              <w:tc>
                <w:tcPr>
                  <w:tcW w:w="1079" w:type="dxa"/>
                  <w:vAlign w:val="center"/>
                </w:tcPr>
                <w:p>
                  <w:pPr>
                    <w:jc w:val="center"/>
                    <w:rPr>
                      <w:color w:val="auto"/>
                      <w:szCs w:val="21"/>
                    </w:rPr>
                  </w:pPr>
                  <w:r>
                    <w:rPr>
                      <w:rFonts w:hint="eastAsia"/>
                      <w:color w:val="auto"/>
                      <w:szCs w:val="21"/>
                    </w:rPr>
                    <w:t>0.0325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40" w:type="dxa"/>
                  <w:gridSpan w:val="8"/>
                  <w:vAlign w:val="center"/>
                </w:tcPr>
                <w:p>
                  <w:pPr>
                    <w:spacing w:line="360" w:lineRule="auto"/>
                    <w:jc w:val="center"/>
                    <w:rPr>
                      <w:color w:val="auto"/>
                      <w:szCs w:val="21"/>
                    </w:rPr>
                  </w:pPr>
                  <w:r>
                    <w:rPr>
                      <w:color w:val="auto"/>
                      <w:szCs w:val="21"/>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472" w:type="dxa"/>
                  <w:gridSpan w:val="3"/>
                  <w:vMerge w:val="restart"/>
                  <w:vAlign w:val="center"/>
                </w:tcPr>
                <w:p>
                  <w:pPr>
                    <w:spacing w:line="360" w:lineRule="auto"/>
                    <w:jc w:val="center"/>
                    <w:rPr>
                      <w:color w:val="auto"/>
                      <w:szCs w:val="21"/>
                    </w:rPr>
                  </w:pPr>
                  <w:r>
                    <w:rPr>
                      <w:color w:val="auto"/>
                      <w:szCs w:val="21"/>
                    </w:rPr>
                    <w:t>无组织排放总计</w:t>
                  </w:r>
                </w:p>
              </w:tc>
              <w:tc>
                <w:tcPr>
                  <w:tcW w:w="5689" w:type="dxa"/>
                  <w:gridSpan w:val="4"/>
                  <w:vAlign w:val="center"/>
                </w:tcPr>
                <w:p>
                  <w:pPr>
                    <w:adjustRightInd w:val="0"/>
                    <w:snapToGrid w:val="0"/>
                    <w:jc w:val="center"/>
                    <w:rPr>
                      <w:color w:val="auto"/>
                      <w:szCs w:val="21"/>
                    </w:rPr>
                  </w:pPr>
                  <w:r>
                    <w:rPr>
                      <w:color w:val="auto"/>
                      <w:szCs w:val="21"/>
                    </w:rPr>
                    <w:t>非甲烷总烃</w:t>
                  </w:r>
                </w:p>
              </w:tc>
              <w:tc>
                <w:tcPr>
                  <w:tcW w:w="1079" w:type="dxa"/>
                  <w:vAlign w:val="center"/>
                </w:tcPr>
                <w:p>
                  <w:pPr>
                    <w:jc w:val="center"/>
                    <w:rPr>
                      <w:color w:val="auto"/>
                      <w:szCs w:val="21"/>
                    </w:rPr>
                  </w:pPr>
                  <w:r>
                    <w:rPr>
                      <w:rFonts w:hint="eastAsia"/>
                      <w:color w:val="auto"/>
                      <w:szCs w:val="21"/>
                    </w:rPr>
                    <w:t>0.0</w:t>
                  </w:r>
                  <w:r>
                    <w:rPr>
                      <w:rFonts w:hint="eastAsia"/>
                      <w:color w:val="auto"/>
                      <w:szCs w:val="21"/>
                      <w:lang w:val="en-US" w:eastAsia="zh-CN"/>
                    </w:rPr>
                    <w:t>2</w:t>
                  </w:r>
                  <w:r>
                    <w:rPr>
                      <w:rFonts w:hint="eastAsia"/>
                      <w:color w:val="auto"/>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472" w:type="dxa"/>
                  <w:gridSpan w:val="3"/>
                  <w:vMerge w:val="continue"/>
                  <w:vAlign w:val="center"/>
                </w:tcPr>
                <w:p>
                  <w:pPr>
                    <w:spacing w:line="360" w:lineRule="auto"/>
                    <w:jc w:val="center"/>
                    <w:rPr>
                      <w:color w:val="auto"/>
                      <w:szCs w:val="21"/>
                    </w:rPr>
                  </w:pPr>
                </w:p>
              </w:tc>
              <w:tc>
                <w:tcPr>
                  <w:tcW w:w="5689" w:type="dxa"/>
                  <w:gridSpan w:val="4"/>
                  <w:vAlign w:val="center"/>
                </w:tcPr>
                <w:p>
                  <w:pPr>
                    <w:adjustRightInd w:val="0"/>
                    <w:snapToGrid w:val="0"/>
                    <w:jc w:val="center"/>
                    <w:rPr>
                      <w:color w:val="auto"/>
                      <w:szCs w:val="21"/>
                    </w:rPr>
                  </w:pPr>
                  <w:r>
                    <w:rPr>
                      <w:rFonts w:hint="eastAsia"/>
                      <w:color w:val="auto"/>
                      <w:szCs w:val="21"/>
                    </w:rPr>
                    <w:t>TSP</w:t>
                  </w:r>
                </w:p>
              </w:tc>
              <w:tc>
                <w:tcPr>
                  <w:tcW w:w="1079" w:type="dxa"/>
                  <w:vAlign w:val="center"/>
                </w:tcPr>
                <w:p>
                  <w:pPr>
                    <w:jc w:val="center"/>
                    <w:rPr>
                      <w:color w:val="auto"/>
                      <w:szCs w:val="21"/>
                    </w:rPr>
                  </w:pPr>
                  <w:r>
                    <w:rPr>
                      <w:rFonts w:hint="eastAsia"/>
                      <w:color w:val="auto"/>
                      <w:szCs w:val="21"/>
                    </w:rPr>
                    <w:t>0.0325</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大气污染物年排放量核算表</w:t>
            </w:r>
          </w:p>
          <w:tbl>
            <w:tblPr>
              <w:tblStyle w:val="45"/>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5"/>
              <w:gridCol w:w="3362"/>
              <w:gridCol w:w="3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rPr>
                  </w:pPr>
                  <w:r>
                    <w:rPr>
                      <w:b/>
                      <w:bCs/>
                      <w:color w:val="auto"/>
                      <w:szCs w:val="21"/>
                    </w:rPr>
                    <w:t>序号</w:t>
                  </w:r>
                </w:p>
              </w:tc>
              <w:tc>
                <w:tcPr>
                  <w:tcW w:w="3362" w:type="dxa"/>
                  <w:vAlign w:val="center"/>
                </w:tcPr>
                <w:p>
                  <w:pPr>
                    <w:spacing w:line="360" w:lineRule="auto"/>
                    <w:jc w:val="center"/>
                    <w:rPr>
                      <w:b/>
                      <w:bCs/>
                      <w:color w:val="auto"/>
                      <w:szCs w:val="21"/>
                    </w:rPr>
                  </w:pPr>
                  <w:r>
                    <w:rPr>
                      <w:b/>
                      <w:bCs/>
                      <w:color w:val="auto"/>
                      <w:szCs w:val="21"/>
                    </w:rPr>
                    <w:t>污染物</w:t>
                  </w:r>
                </w:p>
              </w:tc>
              <w:tc>
                <w:tcPr>
                  <w:tcW w:w="3363" w:type="dxa"/>
                  <w:vAlign w:val="center"/>
                </w:tcPr>
                <w:p>
                  <w:pPr>
                    <w:spacing w:line="360" w:lineRule="auto"/>
                    <w:jc w:val="center"/>
                    <w:rPr>
                      <w:b/>
                      <w:bCs/>
                      <w:color w:val="auto"/>
                      <w:szCs w:val="21"/>
                    </w:rPr>
                  </w:pPr>
                  <w:r>
                    <w:rPr>
                      <w:b/>
                      <w:bCs/>
                      <w:color w:val="auto"/>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rPr>
                  </w:pPr>
                  <w:r>
                    <w:rPr>
                      <w:b/>
                      <w:bCs/>
                      <w:color w:val="auto"/>
                      <w:szCs w:val="21"/>
                    </w:rPr>
                    <w:t>1</w:t>
                  </w:r>
                </w:p>
              </w:tc>
              <w:tc>
                <w:tcPr>
                  <w:tcW w:w="3362" w:type="dxa"/>
                  <w:vAlign w:val="center"/>
                </w:tcPr>
                <w:p>
                  <w:pPr>
                    <w:widowControl/>
                    <w:topLinePunct/>
                    <w:autoSpaceDE w:val="0"/>
                    <w:autoSpaceDN w:val="0"/>
                    <w:adjustRightInd w:val="0"/>
                    <w:jc w:val="center"/>
                    <w:textAlignment w:val="baseline"/>
                    <w:rPr>
                      <w:b/>
                      <w:bCs/>
                      <w:color w:val="auto"/>
                      <w:szCs w:val="21"/>
                    </w:rPr>
                  </w:pPr>
                  <w:r>
                    <w:rPr>
                      <w:color w:val="auto"/>
                      <w:szCs w:val="21"/>
                    </w:rPr>
                    <w:t>非甲烷总烃</w:t>
                  </w:r>
                </w:p>
              </w:tc>
              <w:tc>
                <w:tcPr>
                  <w:tcW w:w="3363" w:type="dxa"/>
                  <w:vAlign w:val="center"/>
                </w:tcPr>
                <w:p>
                  <w:pPr>
                    <w:snapToGrid w:val="0"/>
                    <w:spacing w:line="360" w:lineRule="auto"/>
                    <w:jc w:val="center"/>
                    <w:rPr>
                      <w:rFonts w:hint="default" w:eastAsia="宋体"/>
                      <w:b/>
                      <w:bCs/>
                      <w:color w:val="auto"/>
                      <w:szCs w:val="21"/>
                      <w:lang w:val="en-US" w:eastAsia="zh-CN"/>
                    </w:rPr>
                  </w:pPr>
                  <w:r>
                    <w:rPr>
                      <w:rFonts w:hint="eastAsia"/>
                      <w:color w:val="auto"/>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rPr>
                  </w:pPr>
                  <w:r>
                    <w:rPr>
                      <w:rFonts w:hint="eastAsia"/>
                      <w:b/>
                      <w:bCs/>
                      <w:color w:val="auto"/>
                      <w:szCs w:val="21"/>
                    </w:rPr>
                    <w:t>2</w:t>
                  </w:r>
                </w:p>
              </w:tc>
              <w:tc>
                <w:tcPr>
                  <w:tcW w:w="3362" w:type="dxa"/>
                  <w:vAlign w:val="center"/>
                </w:tcPr>
                <w:p>
                  <w:pPr>
                    <w:adjustRightInd w:val="0"/>
                    <w:snapToGrid w:val="0"/>
                    <w:jc w:val="center"/>
                    <w:rPr>
                      <w:color w:val="auto"/>
                      <w:szCs w:val="21"/>
                    </w:rPr>
                  </w:pPr>
                  <w:r>
                    <w:rPr>
                      <w:rFonts w:hint="eastAsia"/>
                      <w:color w:val="auto"/>
                      <w:szCs w:val="21"/>
                    </w:rPr>
                    <w:t>TSP</w:t>
                  </w:r>
                </w:p>
              </w:tc>
              <w:tc>
                <w:tcPr>
                  <w:tcW w:w="3363" w:type="dxa"/>
                  <w:vAlign w:val="center"/>
                </w:tcPr>
                <w:p>
                  <w:pPr>
                    <w:jc w:val="center"/>
                    <w:rPr>
                      <w:color w:val="auto"/>
                      <w:szCs w:val="21"/>
                    </w:rPr>
                  </w:pPr>
                  <w:r>
                    <w:rPr>
                      <w:rFonts w:hint="eastAsia"/>
                      <w:color w:val="auto"/>
                      <w:szCs w:val="21"/>
                    </w:rPr>
                    <w:t>0.0325</w:t>
                  </w:r>
                </w:p>
              </w:tc>
            </w:tr>
          </w:tbl>
          <w:p>
            <w:pPr>
              <w:pStyle w:val="34"/>
              <w:spacing w:line="336" w:lineRule="auto"/>
              <w:ind w:firstLine="470" w:firstLineChars="196"/>
              <w:rPr>
                <w:b/>
                <w:color w:val="auto"/>
                <w:kern w:val="2"/>
              </w:rPr>
            </w:pPr>
            <w:r>
              <w:rPr>
                <w:color w:val="auto"/>
                <w:szCs w:val="24"/>
              </w:rPr>
              <w:t>综上可知，本项目大气污染物年排放核算情况为：非甲烷总烃</w:t>
            </w:r>
            <w:r>
              <w:rPr>
                <w:color w:val="auto"/>
                <w:szCs w:val="24"/>
                <w:lang w:bidi="ar"/>
              </w:rPr>
              <w:t>：</w:t>
            </w:r>
            <w:r>
              <w:rPr>
                <w:rFonts w:hint="eastAsia"/>
                <w:color w:val="auto"/>
                <w:szCs w:val="24"/>
                <w:lang w:val="en-US" w:eastAsia="zh-CN" w:bidi="ar"/>
              </w:rPr>
              <w:t>0.05</w:t>
            </w:r>
            <w:r>
              <w:rPr>
                <w:color w:val="auto"/>
                <w:szCs w:val="24"/>
              </w:rPr>
              <w:t>t/a</w:t>
            </w:r>
            <w:r>
              <w:rPr>
                <w:rFonts w:hint="eastAsia"/>
                <w:color w:val="auto"/>
                <w:szCs w:val="24"/>
              </w:rPr>
              <w:t>，</w:t>
            </w:r>
            <w:r>
              <w:rPr>
                <w:rFonts w:hint="eastAsia"/>
                <w:color w:val="auto"/>
              </w:rPr>
              <w:t>TSP</w:t>
            </w:r>
            <w:r>
              <w:rPr>
                <w:color w:val="auto"/>
                <w:szCs w:val="24"/>
              </w:rPr>
              <w:t>：</w:t>
            </w:r>
            <w:r>
              <w:rPr>
                <w:rFonts w:hint="eastAsia"/>
                <w:color w:val="auto"/>
                <w:szCs w:val="24"/>
                <w:lang w:bidi="ar"/>
              </w:rPr>
              <w:t>0.0325</w:t>
            </w:r>
            <w:r>
              <w:rPr>
                <w:color w:val="auto"/>
                <w:szCs w:val="24"/>
                <w:lang w:bidi="ar"/>
              </w:rPr>
              <w:t>t/a</w:t>
            </w:r>
            <w:r>
              <w:rPr>
                <w:rFonts w:hint="eastAsia"/>
                <w:color w:val="auto"/>
                <w:szCs w:val="24"/>
                <w:lang w:bidi="ar"/>
              </w:rPr>
              <w:t>。</w:t>
            </w:r>
          </w:p>
          <w:p>
            <w:pPr>
              <w:pStyle w:val="34"/>
              <w:spacing w:line="336" w:lineRule="auto"/>
              <w:ind w:firstLine="472" w:firstLineChars="196"/>
              <w:rPr>
                <w:b/>
                <w:color w:val="auto"/>
                <w:kern w:val="2"/>
              </w:rPr>
            </w:pPr>
            <w:r>
              <w:rPr>
                <w:rFonts w:hint="eastAsia"/>
                <w:b/>
                <w:color w:val="auto"/>
                <w:kern w:val="2"/>
              </w:rPr>
              <w:t>二、水环境影响</w:t>
            </w:r>
            <w:bookmarkEnd w:id="25"/>
            <w:r>
              <w:rPr>
                <w:rFonts w:hint="eastAsia"/>
                <w:b/>
                <w:color w:val="auto"/>
                <w:kern w:val="2"/>
              </w:rPr>
              <w:t>分析</w:t>
            </w:r>
          </w:p>
          <w:p>
            <w:pPr>
              <w:adjustRightInd w:val="0"/>
              <w:spacing w:line="360" w:lineRule="auto"/>
              <w:ind w:firstLine="482" w:firstLineChars="200"/>
              <w:rPr>
                <w:color w:val="auto"/>
                <w:sz w:val="24"/>
                <w:szCs w:val="24"/>
                <w:highlight w:val="none"/>
              </w:rPr>
            </w:pPr>
            <w:r>
              <w:rPr>
                <w:rFonts w:hint="eastAsia" w:hAnsi="宋体"/>
                <w:b/>
                <w:color w:val="auto"/>
                <w:sz w:val="24"/>
                <w:lang w:eastAsia="zh-CN"/>
              </w:rPr>
              <w:t>冷却废水</w:t>
            </w:r>
            <w:r>
              <w:rPr>
                <w:rFonts w:hAnsi="宋体"/>
                <w:b/>
                <w:color w:val="auto"/>
                <w:sz w:val="24"/>
              </w:rPr>
              <w:t>：</w:t>
            </w:r>
            <w:r>
              <w:rPr>
                <w:rFonts w:hint="eastAsia" w:hAnsi="宋体"/>
                <w:bCs/>
                <w:color w:val="auto"/>
                <w:sz w:val="24"/>
              </w:rPr>
              <w:t>项目</w:t>
            </w:r>
            <w:r>
              <w:rPr>
                <w:rFonts w:hint="eastAsia"/>
                <w:color w:val="auto"/>
                <w:sz w:val="24"/>
              </w:rPr>
              <w:t>冷却工序的冷却水由冷却塔提供，根据</w:t>
            </w:r>
            <w:r>
              <w:rPr>
                <w:rFonts w:hint="eastAsia" w:hAnsi="宋体"/>
                <w:color w:val="auto"/>
                <w:sz w:val="24"/>
              </w:rPr>
              <w:t>建设单位</w:t>
            </w:r>
            <w:r>
              <w:rPr>
                <w:rFonts w:hint="eastAsia"/>
                <w:color w:val="auto"/>
                <w:sz w:val="24"/>
              </w:rPr>
              <w:t>提供的资料，</w:t>
            </w:r>
            <w:r>
              <w:rPr>
                <w:rFonts w:hint="eastAsia" w:hAnsi="宋体"/>
                <w:color w:val="auto"/>
                <w:sz w:val="24"/>
                <w:lang w:eastAsia="zh-CN"/>
              </w:rPr>
              <w:t>冷却废水</w:t>
            </w:r>
            <w:r>
              <w:rPr>
                <w:rFonts w:hAnsi="宋体"/>
                <w:color w:val="auto"/>
                <w:sz w:val="24"/>
              </w:rPr>
              <w:t>为普通的自来水，其中无需添加矿物油、乳化液等冷却剂，</w:t>
            </w:r>
            <w:r>
              <w:rPr>
                <w:rFonts w:hint="eastAsia"/>
                <w:color w:val="auto"/>
                <w:sz w:val="24"/>
                <w:lang w:eastAsia="zh-CN"/>
              </w:rPr>
              <w:t>该冷却水循环使用，循环水量为10t/h</w:t>
            </w:r>
            <w:r>
              <w:rPr>
                <w:rFonts w:hint="eastAsia"/>
                <w:color w:val="auto"/>
                <w:sz w:val="24"/>
              </w:rPr>
              <w:t>，因受热等因素损失，需定期补充新鲜水，</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0.2t</w:t>
            </w:r>
            <w:r>
              <w:rPr>
                <w:rFonts w:hint="eastAsia"/>
                <w:color w:val="auto"/>
                <w:sz w:val="24"/>
                <w:highlight w:val="none"/>
              </w:rPr>
              <w:t>/d（</w:t>
            </w:r>
            <w:r>
              <w:rPr>
                <w:rFonts w:hint="eastAsia"/>
                <w:color w:val="auto"/>
                <w:sz w:val="24"/>
                <w:highlight w:val="none"/>
                <w:lang w:val="en-US" w:eastAsia="zh-CN"/>
              </w:rPr>
              <w:t>60t</w:t>
            </w:r>
            <w:r>
              <w:rPr>
                <w:rFonts w:hint="eastAsia"/>
                <w:color w:val="auto"/>
                <w:sz w:val="24"/>
                <w:highlight w:val="none"/>
              </w:rPr>
              <w:t>/a）</w:t>
            </w:r>
            <w:r>
              <w:rPr>
                <w:rFonts w:hint="eastAsia" w:cs="宋体"/>
                <w:color w:val="auto"/>
                <w:sz w:val="24"/>
                <w:szCs w:val="24"/>
                <w:highlight w:val="none"/>
                <w:lang w:bidi="ar"/>
              </w:rPr>
              <w:t>。</w:t>
            </w:r>
            <w:r>
              <w:rPr>
                <w:rFonts w:hint="eastAsia" w:cs="Times New Roman"/>
                <w:color w:val="auto"/>
                <w:sz w:val="24"/>
                <w:highlight w:val="none"/>
                <w:lang w:eastAsia="zh-CN"/>
              </w:rPr>
              <w:t>冷却水</w:t>
            </w:r>
            <w:r>
              <w:rPr>
                <w:rFonts w:hint="default" w:ascii="Times New Roman" w:hAnsi="Times New Roman" w:cs="Times New Roman"/>
                <w:color w:val="auto"/>
                <w:sz w:val="24"/>
                <w:highlight w:val="none"/>
              </w:rPr>
              <w:t>在循环蒸发过程中溶解盐类不断被浓缩，含盐量不断增加，为了将循环水中含盐量维持在适宜浓度，</w:t>
            </w:r>
            <w:r>
              <w:rPr>
                <w:rFonts w:hint="default" w:ascii="Times New Roman" w:hAnsi="Times New Roman" w:cs="Times New Roman"/>
                <w:color w:val="auto"/>
                <w:sz w:val="24"/>
                <w:szCs w:val="24"/>
                <w:highlight w:val="none"/>
              </w:rPr>
              <w:t>根据建设单位提供资料，</w:t>
            </w:r>
            <w:r>
              <w:rPr>
                <w:rStyle w:val="50"/>
                <w:rFonts w:hint="default" w:ascii="Times New Roman" w:hAnsi="Times New Roman" w:cs="Times New Roman"/>
                <w:color w:val="auto"/>
                <w:sz w:val="24"/>
                <w:szCs w:val="24"/>
                <w:highlight w:val="none"/>
                <w:lang w:eastAsia="zh-CN"/>
              </w:rPr>
              <w:t>每三个月更换一次，一次更换水量为</w:t>
            </w:r>
            <w:r>
              <w:rPr>
                <w:rStyle w:val="50"/>
                <w:rFonts w:hint="default" w:ascii="Times New Roman" w:hAnsi="Times New Roman" w:cs="Times New Roman"/>
                <w:color w:val="auto"/>
                <w:sz w:val="24"/>
                <w:szCs w:val="24"/>
                <w:highlight w:val="none"/>
                <w:lang w:val="en-US" w:eastAsia="zh-CN"/>
              </w:rPr>
              <w:t>2t，</w:t>
            </w:r>
            <w:r>
              <w:rPr>
                <w:rStyle w:val="50"/>
                <w:rFonts w:hint="eastAsia" w:cs="Times New Roman"/>
                <w:color w:val="auto"/>
                <w:sz w:val="24"/>
                <w:szCs w:val="24"/>
                <w:highlight w:val="none"/>
                <w:lang w:val="en-US" w:eastAsia="zh-CN"/>
              </w:rPr>
              <w:t>即</w:t>
            </w:r>
            <w:r>
              <w:rPr>
                <w:rStyle w:val="50"/>
                <w:rFonts w:hint="default" w:ascii="Times New Roman" w:hAnsi="Times New Roman" w:cs="Times New Roman"/>
                <w:color w:val="auto"/>
                <w:sz w:val="24"/>
                <w:szCs w:val="24"/>
                <w:highlight w:val="none"/>
                <w:lang w:val="en-US" w:eastAsia="zh-CN"/>
              </w:rPr>
              <w:t>8t/a</w:t>
            </w:r>
            <w:r>
              <w:rPr>
                <w:rFonts w:hint="default" w:ascii="Times New Roman" w:hAnsi="Times New Roman" w:cs="Times New Roman"/>
                <w:color w:val="auto"/>
                <w:sz w:val="24"/>
                <w:szCs w:val="24"/>
                <w:highlight w:val="none"/>
              </w:rPr>
              <w:t>。</w:t>
            </w:r>
          </w:p>
          <w:p>
            <w:pPr>
              <w:spacing w:line="343" w:lineRule="auto"/>
              <w:ind w:firstLine="482" w:firstLineChars="200"/>
              <w:rPr>
                <w:color w:val="auto"/>
                <w:sz w:val="24"/>
              </w:rPr>
            </w:pPr>
            <w:r>
              <w:rPr>
                <w:rFonts w:hint="eastAsia"/>
                <w:b/>
                <w:color w:val="auto"/>
                <w:sz w:val="24"/>
              </w:rPr>
              <w:t>生活污水：</w:t>
            </w:r>
            <w:r>
              <w:rPr>
                <w:color w:val="auto"/>
                <w:sz w:val="24"/>
              </w:rPr>
              <w:t>项目设有员工及管理人员总数为</w:t>
            </w:r>
            <w:r>
              <w:rPr>
                <w:rFonts w:hint="eastAsia"/>
                <w:color w:val="auto"/>
                <w:sz w:val="24"/>
              </w:rPr>
              <w:t>15</w:t>
            </w:r>
            <w:r>
              <w:rPr>
                <w:color w:val="auto"/>
                <w:sz w:val="24"/>
              </w:rPr>
              <w:t>人，</w:t>
            </w:r>
            <w:r>
              <w:rPr>
                <w:rFonts w:hint="eastAsia"/>
                <w:color w:val="auto"/>
                <w:sz w:val="24"/>
              </w:rPr>
              <w:t>均不在项目内食宿</w:t>
            </w:r>
            <w:r>
              <w:rPr>
                <w:rFonts w:hint="eastAsia"/>
                <w:bCs/>
                <w:color w:val="auto"/>
                <w:sz w:val="24"/>
              </w:rPr>
              <w:t>，</w:t>
            </w:r>
            <w:r>
              <w:rPr>
                <w:color w:val="auto"/>
                <w:sz w:val="24"/>
              </w:rPr>
              <w:t>根据《广东省用水定额》（DB44/1461-2014），</w:t>
            </w:r>
            <w:r>
              <w:rPr>
                <w:rFonts w:hint="eastAsia"/>
                <w:color w:val="auto"/>
                <w:sz w:val="24"/>
              </w:rPr>
              <w:t>则项目一天用水量=0.04t</w:t>
            </w:r>
            <w:r>
              <w:rPr>
                <w:color w:val="auto"/>
                <w:sz w:val="24"/>
              </w:rPr>
              <w:t>/d</w:t>
            </w:r>
            <w:r>
              <w:rPr>
                <w:rFonts w:hint="eastAsia"/>
                <w:color w:val="auto"/>
                <w:sz w:val="24"/>
              </w:rPr>
              <w:t>×15=0.6t</w:t>
            </w:r>
            <w:r>
              <w:rPr>
                <w:color w:val="auto"/>
                <w:sz w:val="24"/>
              </w:rPr>
              <w:t>/d</w:t>
            </w:r>
            <w:r>
              <w:rPr>
                <w:rFonts w:hint="eastAsia"/>
                <w:color w:val="auto"/>
                <w:sz w:val="24"/>
              </w:rPr>
              <w:t>，</w:t>
            </w:r>
            <w:r>
              <w:rPr>
                <w:color w:val="auto"/>
                <w:sz w:val="24"/>
              </w:rPr>
              <w:t>一年</w:t>
            </w:r>
            <w:r>
              <w:rPr>
                <w:rFonts w:hint="eastAsia"/>
                <w:color w:val="auto"/>
                <w:sz w:val="24"/>
              </w:rPr>
              <w:t>300</w:t>
            </w:r>
            <w:r>
              <w:rPr>
                <w:color w:val="auto"/>
                <w:sz w:val="24"/>
              </w:rPr>
              <w:t>天计算，生活用水</w:t>
            </w:r>
            <w:r>
              <w:rPr>
                <w:rFonts w:hint="eastAsia"/>
                <w:color w:val="auto"/>
                <w:sz w:val="24"/>
              </w:rPr>
              <w:t>量</w:t>
            </w:r>
            <w:r>
              <w:rPr>
                <w:color w:val="auto"/>
                <w:sz w:val="24"/>
              </w:rPr>
              <w:t>为</w:t>
            </w:r>
            <w:r>
              <w:rPr>
                <w:rFonts w:hint="eastAsia"/>
                <w:color w:val="auto"/>
                <w:sz w:val="24"/>
              </w:rPr>
              <w:t>180</w:t>
            </w:r>
            <w:r>
              <w:rPr>
                <w:color w:val="auto"/>
                <w:sz w:val="24"/>
              </w:rPr>
              <w:t>t/a。项目生活污水排污系数按0.9计算，则生活污水排放量约为</w:t>
            </w:r>
            <w:r>
              <w:rPr>
                <w:rFonts w:hint="eastAsia"/>
                <w:color w:val="auto"/>
                <w:sz w:val="24"/>
              </w:rPr>
              <w:t>162t</w:t>
            </w:r>
            <w:r>
              <w:rPr>
                <w:color w:val="auto"/>
                <w:sz w:val="24"/>
              </w:rPr>
              <w:t>/a，主要污染物为COD</w:t>
            </w:r>
            <w:r>
              <w:rPr>
                <w:color w:val="auto"/>
                <w:sz w:val="24"/>
                <w:vertAlign w:val="subscript"/>
              </w:rPr>
              <w:t>cr</w:t>
            </w:r>
            <w:r>
              <w:rPr>
                <w:color w:val="auto"/>
                <w:sz w:val="24"/>
              </w:rPr>
              <w:t>、BOD</w:t>
            </w:r>
            <w:r>
              <w:rPr>
                <w:color w:val="auto"/>
                <w:sz w:val="24"/>
                <w:vertAlign w:val="subscript"/>
              </w:rPr>
              <w:t>5</w:t>
            </w:r>
            <w:r>
              <w:rPr>
                <w:color w:val="auto"/>
                <w:sz w:val="24"/>
              </w:rPr>
              <w:t>、SS、NH</w:t>
            </w:r>
            <w:r>
              <w:rPr>
                <w:color w:val="auto"/>
                <w:sz w:val="24"/>
                <w:vertAlign w:val="subscript"/>
              </w:rPr>
              <w:t>3</w:t>
            </w:r>
            <w:r>
              <w:rPr>
                <w:color w:val="auto"/>
                <w:sz w:val="24"/>
              </w:rPr>
              <w:t>-N等。</w:t>
            </w:r>
          </w:p>
          <w:p>
            <w:pPr>
              <w:spacing w:line="343" w:lineRule="auto"/>
              <w:ind w:firstLine="480" w:firstLineChars="200"/>
              <w:rPr>
                <w:rFonts w:hAnsi="宋体"/>
                <w:color w:val="auto"/>
                <w:sz w:val="24"/>
              </w:rPr>
            </w:pPr>
            <w:r>
              <w:rPr>
                <w:rFonts w:hint="eastAsia"/>
                <w:bCs/>
                <w:color w:val="auto"/>
                <w:sz w:val="24"/>
              </w:rPr>
              <w:t>项目</w:t>
            </w:r>
            <w:r>
              <w:rPr>
                <w:rFonts w:hint="eastAsia" w:cs="Times New Roman"/>
                <w:color w:val="auto"/>
                <w:sz w:val="24"/>
                <w:szCs w:val="24"/>
                <w:highlight w:val="none"/>
                <w:lang w:eastAsia="zh-CN"/>
              </w:rPr>
              <w:t>冷却废水与</w:t>
            </w:r>
            <w:r>
              <w:rPr>
                <w:rFonts w:hint="eastAsia"/>
                <w:bCs/>
                <w:color w:val="auto"/>
                <w:sz w:val="24"/>
              </w:rPr>
              <w:t>生活污水经三级化粪池预处理后，达到广东省地方标准《水污染物排放限值》（DB44/26-2001）第二时段三级标准</w:t>
            </w:r>
            <w:r>
              <w:rPr>
                <w:rFonts w:hint="eastAsia"/>
                <w:color w:val="auto"/>
                <w:sz w:val="24"/>
              </w:rPr>
              <w:t>和《污水排入城镇下水道水质标准》（CJ343-2010）较严者</w:t>
            </w:r>
            <w:r>
              <w:rPr>
                <w:rFonts w:hint="eastAsia"/>
                <w:bCs/>
                <w:color w:val="auto"/>
                <w:sz w:val="24"/>
              </w:rPr>
              <w:t>排放至市政污水管网，</w:t>
            </w:r>
            <w:r>
              <w:rPr>
                <w:rFonts w:hint="eastAsia"/>
                <w:color w:val="auto"/>
                <w:sz w:val="24"/>
              </w:rPr>
              <w:t>然后</w:t>
            </w:r>
            <w:r>
              <w:rPr>
                <w:rFonts w:hint="eastAsia"/>
                <w:bCs/>
                <w:color w:val="auto"/>
                <w:sz w:val="24"/>
              </w:rPr>
              <w:t>引</w:t>
            </w:r>
            <w:r>
              <w:rPr>
                <w:rFonts w:hint="eastAsia"/>
                <w:color w:val="auto"/>
                <w:sz w:val="24"/>
              </w:rPr>
              <w:t>至开平市水口污水处理厂处</w:t>
            </w:r>
            <w:r>
              <w:rPr>
                <w:rFonts w:hint="eastAsia"/>
                <w:bCs/>
                <w:color w:val="auto"/>
                <w:sz w:val="24"/>
              </w:rPr>
              <w:t>理后达</w:t>
            </w:r>
            <w:r>
              <w:rPr>
                <w:rFonts w:hint="eastAsia"/>
                <w:color w:val="auto"/>
                <w:sz w:val="24"/>
              </w:rPr>
              <w:t>到《城镇污水处理厂污染物排放标准》（GB18918-2002）中一级A 标准及广东省地方标准《水污染物排放限值》（DB44/26-2001）第二时段一级标准的较严值</w:t>
            </w:r>
            <w:r>
              <w:rPr>
                <w:bCs/>
                <w:color w:val="auto"/>
                <w:sz w:val="24"/>
              </w:rPr>
              <w:t>后排放</w:t>
            </w:r>
            <w:r>
              <w:rPr>
                <w:rFonts w:hint="eastAsia"/>
                <w:color w:val="auto"/>
                <w:sz w:val="24"/>
              </w:rPr>
              <w:t>。</w:t>
            </w:r>
            <w:r>
              <w:rPr>
                <w:color w:val="auto"/>
                <w:sz w:val="24"/>
              </w:rPr>
              <w:t>项目产生生活污水经处理后水污染物得到一定量削减，减轻了污水排放对纳污水体的污染负荷，有利于水环境保护</w:t>
            </w:r>
            <w:r>
              <w:rPr>
                <w:rFonts w:hint="eastAsia"/>
                <w:color w:val="auto"/>
                <w:sz w:val="24"/>
              </w:rPr>
              <w:t>，</w:t>
            </w:r>
            <w:r>
              <w:rPr>
                <w:bCs/>
                <w:color w:val="auto"/>
                <w:sz w:val="24"/>
                <w:szCs w:val="20"/>
              </w:rPr>
              <w:t>则项目生活污水对周围环境影响不大。</w:t>
            </w:r>
          </w:p>
          <w:p>
            <w:pPr>
              <w:spacing w:line="360" w:lineRule="auto"/>
              <w:ind w:firstLine="482" w:firstLineChars="200"/>
              <w:rPr>
                <w:b/>
                <w:color w:val="auto"/>
                <w:sz w:val="24"/>
              </w:rPr>
            </w:pPr>
            <w:r>
              <w:rPr>
                <w:b/>
                <w:color w:val="auto"/>
                <w:sz w:val="24"/>
              </w:rPr>
              <w:t>污水处理厂简介：</w:t>
            </w:r>
            <w:r>
              <w:rPr>
                <w:rFonts w:hint="eastAsia"/>
                <w:bCs/>
                <w:color w:val="auto"/>
                <w:sz w:val="24"/>
              </w:rPr>
              <w:t>水口污水处理厂位于水口镇泮兴路16号，设计处理规模为5000吨/天，水口污水处理厂主要收集水口镇新市、东方红、泮村、泮南、永安等管理区和第二、第四工业园的生活污水。工程占地面积6666.7 平方米，建筑面积1016 平方米。水口污水处理厂于2007 年开始开工建设，于2009年12月建成并开始试运行，采用“CASS”处理工艺，该方案成熟可靠，在正常运营的情况下，尾水完全可以达到既定标准的要求。</w:t>
            </w:r>
          </w:p>
          <w:p>
            <w:pPr>
              <w:spacing w:line="360" w:lineRule="auto"/>
              <w:ind w:firstLine="482" w:firstLineChars="200"/>
              <w:rPr>
                <w:rFonts w:eastAsiaTheme="minorEastAsia"/>
                <w:b/>
                <w:bCs/>
                <w:color w:val="auto"/>
                <w:sz w:val="24"/>
              </w:rPr>
            </w:pPr>
            <w:bookmarkStart w:id="26" w:name="_Toc364763647"/>
            <w:bookmarkStart w:id="27" w:name="_Toc364331276"/>
            <w:r>
              <w:rPr>
                <w:rFonts w:eastAsiaTheme="minorEastAsia"/>
                <w:b/>
                <w:bCs/>
                <w:color w:val="auto"/>
                <w:sz w:val="24"/>
              </w:rPr>
              <w:t>地表水环境影响评价</w:t>
            </w:r>
          </w:p>
          <w:p>
            <w:pPr>
              <w:spacing w:line="360" w:lineRule="auto"/>
              <w:ind w:firstLine="480" w:firstLineChars="200"/>
              <w:rPr>
                <w:rFonts w:eastAsiaTheme="minorEastAsia"/>
                <w:color w:val="auto"/>
                <w:sz w:val="24"/>
              </w:rPr>
            </w:pPr>
            <w:r>
              <w:rPr>
                <w:rFonts w:eastAsiaTheme="minorEastAsia"/>
                <w:color w:val="auto"/>
                <w:sz w:val="24"/>
              </w:rPr>
              <w:t>（1）评价等级确定</w:t>
            </w:r>
          </w:p>
          <w:p>
            <w:pPr>
              <w:spacing w:line="360" w:lineRule="auto"/>
              <w:ind w:firstLine="480" w:firstLineChars="200"/>
              <w:rPr>
                <w:color w:val="auto"/>
              </w:rPr>
            </w:pPr>
            <w:r>
              <w:rPr>
                <w:rFonts w:eastAsiaTheme="minorEastAsia"/>
                <w:color w:val="auto"/>
                <w:sz w:val="24"/>
              </w:rPr>
              <w:t>根据《环境影响评价技术导则地表水环境（HJ 2.3—2018）》按照建设项目的影响类型、排放方式、排放量或影响情况、受纳水体环境质量现状、水环境保护目标等综合确定，水污染影响型建设项目评价等级判定依据见表</w:t>
            </w:r>
            <w:r>
              <w:rPr>
                <w:rFonts w:hint="eastAsia" w:eastAsiaTheme="minorEastAsia"/>
                <w:color w:val="auto"/>
                <w:sz w:val="24"/>
                <w:lang w:val="en-US" w:eastAsia="zh-CN"/>
              </w:rPr>
              <w:t>38</w:t>
            </w:r>
            <w:r>
              <w:rPr>
                <w:rFonts w:eastAsiaTheme="minorEastAsia"/>
                <w:color w:val="auto"/>
                <w:sz w:val="24"/>
              </w:rPr>
              <w:t>。根据工程分析，本项目的等级判定参数见</w:t>
            </w:r>
            <w:r>
              <w:rPr>
                <w:rFonts w:hint="eastAsia" w:eastAsiaTheme="minorEastAsia"/>
                <w:color w:val="auto"/>
                <w:sz w:val="24"/>
              </w:rPr>
              <w:t>表</w:t>
            </w:r>
            <w:r>
              <w:rPr>
                <w:rFonts w:hint="eastAsia" w:eastAsiaTheme="minorEastAsia"/>
                <w:color w:val="auto"/>
                <w:sz w:val="24"/>
                <w:lang w:val="en-US" w:eastAsia="zh-CN"/>
              </w:rPr>
              <w:t>39</w:t>
            </w:r>
            <w:r>
              <w:rPr>
                <w:rFonts w:eastAsiaTheme="minorEastAsia"/>
                <w:color w:val="auto"/>
                <w:sz w:val="24"/>
              </w:rPr>
              <w:t>，判定结果为三级B。</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 xml:space="preserve">  水污染影响型建设项目评价等级判定依据</w:t>
            </w:r>
          </w:p>
          <w:tbl>
            <w:tblPr>
              <w:tblStyle w:val="44"/>
              <w:tblW w:w="8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9"/>
              <w:gridCol w:w="2949"/>
              <w:gridCol w:w="2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Merge w:val="restart"/>
                  <w:vAlign w:val="center"/>
                </w:tcPr>
                <w:p>
                  <w:pPr>
                    <w:spacing w:line="276" w:lineRule="auto"/>
                    <w:jc w:val="center"/>
                    <w:rPr>
                      <w:rFonts w:eastAsiaTheme="minorEastAsia"/>
                      <w:color w:val="auto"/>
                      <w:szCs w:val="21"/>
                    </w:rPr>
                  </w:pPr>
                  <w:r>
                    <w:rPr>
                      <w:rFonts w:eastAsiaTheme="minorEastAsia"/>
                      <w:color w:val="auto"/>
                      <w:szCs w:val="21"/>
                    </w:rPr>
                    <w:t>评价等级</w:t>
                  </w:r>
                </w:p>
              </w:tc>
              <w:tc>
                <w:tcPr>
                  <w:tcW w:w="5895" w:type="dxa"/>
                  <w:gridSpan w:val="2"/>
                  <w:vAlign w:val="center"/>
                </w:tcPr>
                <w:p>
                  <w:pPr>
                    <w:spacing w:line="276" w:lineRule="auto"/>
                    <w:jc w:val="center"/>
                    <w:rPr>
                      <w:rFonts w:eastAsiaTheme="minorEastAsia"/>
                      <w:color w:val="auto"/>
                      <w:szCs w:val="21"/>
                    </w:rPr>
                  </w:pPr>
                  <w:r>
                    <w:rPr>
                      <w:rFonts w:eastAsiaTheme="minorEastAsia"/>
                      <w:color w:val="auto"/>
                      <w:szCs w:val="21"/>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Merge w:val="continue"/>
                  <w:vAlign w:val="center"/>
                </w:tcPr>
                <w:p>
                  <w:pPr>
                    <w:spacing w:line="276" w:lineRule="auto"/>
                    <w:jc w:val="center"/>
                    <w:rPr>
                      <w:rFonts w:eastAsiaTheme="minorEastAsia"/>
                      <w:color w:val="auto"/>
                      <w:szCs w:val="21"/>
                    </w:rPr>
                  </w:pPr>
                </w:p>
              </w:tc>
              <w:tc>
                <w:tcPr>
                  <w:tcW w:w="2949" w:type="dxa"/>
                  <w:vAlign w:val="center"/>
                </w:tcPr>
                <w:p>
                  <w:pPr>
                    <w:spacing w:line="276" w:lineRule="auto"/>
                    <w:jc w:val="center"/>
                    <w:rPr>
                      <w:rFonts w:eastAsiaTheme="minorEastAsia"/>
                      <w:color w:val="auto"/>
                      <w:szCs w:val="21"/>
                    </w:rPr>
                  </w:pPr>
                  <w:r>
                    <w:rPr>
                      <w:rFonts w:eastAsiaTheme="minorEastAsia"/>
                      <w:color w:val="auto"/>
                      <w:szCs w:val="21"/>
                    </w:rPr>
                    <w:t>排放方式</w:t>
                  </w:r>
                </w:p>
              </w:tc>
              <w:tc>
                <w:tcPr>
                  <w:tcW w:w="2946" w:type="dxa"/>
                  <w:vAlign w:val="center"/>
                </w:tcPr>
                <w:p>
                  <w:pPr>
                    <w:spacing w:line="276" w:lineRule="auto"/>
                    <w:jc w:val="center"/>
                    <w:rPr>
                      <w:rFonts w:eastAsiaTheme="minorEastAsia"/>
                      <w:color w:val="auto"/>
                      <w:szCs w:val="21"/>
                    </w:rPr>
                  </w:pPr>
                  <w:r>
                    <w:rPr>
                      <w:rFonts w:eastAsiaTheme="minorEastAsia"/>
                      <w:color w:val="auto"/>
                      <w:szCs w:val="21"/>
                    </w:rPr>
                    <w:t>废水排放量（Q/m</w:t>
                  </w:r>
                  <w:r>
                    <w:rPr>
                      <w:rFonts w:eastAsiaTheme="minorEastAsia"/>
                      <w:color w:val="auto"/>
                      <w:szCs w:val="21"/>
                      <w:vertAlign w:val="superscript"/>
                    </w:rPr>
                    <w:t>3</w:t>
                  </w:r>
                  <w:r>
                    <w:rPr>
                      <w:rFonts w:eastAsiaTheme="minorEastAsia"/>
                      <w:color w:val="auto"/>
                      <w:szCs w:val="21"/>
                    </w:rPr>
                    <w:t>/d）</w:t>
                  </w:r>
                </w:p>
                <w:p>
                  <w:pPr>
                    <w:spacing w:line="276" w:lineRule="auto"/>
                    <w:jc w:val="center"/>
                    <w:rPr>
                      <w:rFonts w:eastAsiaTheme="minorEastAsia"/>
                      <w:color w:val="auto"/>
                      <w:szCs w:val="21"/>
                    </w:rPr>
                  </w:pPr>
                  <w:r>
                    <w:rPr>
                      <w:rFonts w:eastAsiaTheme="minorEastAsia"/>
                      <w:color w:val="auto"/>
                      <w:szCs w:val="21"/>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spacing w:line="276" w:lineRule="auto"/>
                    <w:jc w:val="center"/>
                    <w:rPr>
                      <w:rFonts w:eastAsiaTheme="minorEastAsia"/>
                      <w:color w:val="auto"/>
                      <w:szCs w:val="21"/>
                    </w:rPr>
                  </w:pPr>
                  <w:r>
                    <w:rPr>
                      <w:rFonts w:eastAsiaTheme="minorEastAsia"/>
                      <w:color w:val="auto"/>
                      <w:szCs w:val="21"/>
                    </w:rPr>
                    <w:t>一级</w:t>
                  </w:r>
                </w:p>
              </w:tc>
              <w:tc>
                <w:tcPr>
                  <w:tcW w:w="2949" w:type="dxa"/>
                  <w:vAlign w:val="center"/>
                </w:tcPr>
                <w:p>
                  <w:pPr>
                    <w:spacing w:line="276" w:lineRule="auto"/>
                    <w:jc w:val="center"/>
                    <w:rPr>
                      <w:rFonts w:eastAsiaTheme="minorEastAsia"/>
                      <w:color w:val="auto"/>
                      <w:szCs w:val="21"/>
                    </w:rPr>
                  </w:pPr>
                  <w:r>
                    <w:rPr>
                      <w:rFonts w:eastAsiaTheme="minorEastAsia"/>
                      <w:color w:val="auto"/>
                      <w:szCs w:val="21"/>
                    </w:rPr>
                    <w:t>直接排放</w:t>
                  </w:r>
                </w:p>
              </w:tc>
              <w:tc>
                <w:tcPr>
                  <w:tcW w:w="2946" w:type="dxa"/>
                  <w:vAlign w:val="center"/>
                </w:tcPr>
                <w:p>
                  <w:pPr>
                    <w:spacing w:line="276" w:lineRule="auto"/>
                    <w:jc w:val="center"/>
                    <w:rPr>
                      <w:rFonts w:eastAsiaTheme="minorEastAsia"/>
                      <w:color w:val="auto"/>
                      <w:szCs w:val="21"/>
                    </w:rPr>
                  </w:pPr>
                  <w:r>
                    <w:rPr>
                      <w:rFonts w:eastAsiaTheme="minorEastAsia"/>
                      <w:color w:val="auto"/>
                      <w:szCs w:val="21"/>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spacing w:line="276" w:lineRule="auto"/>
                    <w:jc w:val="center"/>
                    <w:rPr>
                      <w:rFonts w:eastAsiaTheme="minorEastAsia"/>
                      <w:color w:val="auto"/>
                      <w:szCs w:val="21"/>
                    </w:rPr>
                  </w:pPr>
                  <w:r>
                    <w:rPr>
                      <w:rFonts w:eastAsiaTheme="minorEastAsia"/>
                      <w:color w:val="auto"/>
                      <w:szCs w:val="21"/>
                    </w:rPr>
                    <w:t>二级</w:t>
                  </w:r>
                </w:p>
              </w:tc>
              <w:tc>
                <w:tcPr>
                  <w:tcW w:w="2949" w:type="dxa"/>
                  <w:vAlign w:val="center"/>
                </w:tcPr>
                <w:p>
                  <w:pPr>
                    <w:spacing w:line="276" w:lineRule="auto"/>
                    <w:jc w:val="center"/>
                    <w:rPr>
                      <w:rFonts w:eastAsiaTheme="minorEastAsia"/>
                      <w:color w:val="auto"/>
                      <w:szCs w:val="21"/>
                    </w:rPr>
                  </w:pPr>
                  <w:r>
                    <w:rPr>
                      <w:rFonts w:eastAsiaTheme="minorEastAsia"/>
                      <w:color w:val="auto"/>
                      <w:szCs w:val="21"/>
                    </w:rPr>
                    <w:t>直接排放</w:t>
                  </w:r>
                </w:p>
              </w:tc>
              <w:tc>
                <w:tcPr>
                  <w:tcW w:w="2946" w:type="dxa"/>
                  <w:vAlign w:val="center"/>
                </w:tcPr>
                <w:p>
                  <w:pPr>
                    <w:spacing w:line="276" w:lineRule="auto"/>
                    <w:jc w:val="center"/>
                    <w:rPr>
                      <w:rFonts w:eastAsiaTheme="minorEastAsia"/>
                      <w:color w:val="auto"/>
                      <w:szCs w:val="21"/>
                    </w:rPr>
                  </w:pPr>
                  <w:r>
                    <w:rPr>
                      <w:rFonts w:eastAsiaTheme="minorEastAsia"/>
                      <w:color w:val="auto"/>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spacing w:line="276" w:lineRule="auto"/>
                    <w:jc w:val="center"/>
                    <w:rPr>
                      <w:rFonts w:eastAsiaTheme="minorEastAsia"/>
                      <w:color w:val="auto"/>
                      <w:szCs w:val="21"/>
                    </w:rPr>
                  </w:pPr>
                  <w:r>
                    <w:rPr>
                      <w:rFonts w:eastAsiaTheme="minorEastAsia"/>
                      <w:color w:val="auto"/>
                      <w:szCs w:val="21"/>
                    </w:rPr>
                    <w:t>三级A</w:t>
                  </w:r>
                </w:p>
              </w:tc>
              <w:tc>
                <w:tcPr>
                  <w:tcW w:w="2949" w:type="dxa"/>
                  <w:vAlign w:val="center"/>
                </w:tcPr>
                <w:p>
                  <w:pPr>
                    <w:spacing w:line="276" w:lineRule="auto"/>
                    <w:jc w:val="center"/>
                    <w:rPr>
                      <w:rFonts w:eastAsiaTheme="minorEastAsia"/>
                      <w:color w:val="auto"/>
                      <w:szCs w:val="21"/>
                    </w:rPr>
                  </w:pPr>
                  <w:r>
                    <w:rPr>
                      <w:rFonts w:eastAsiaTheme="minorEastAsia"/>
                      <w:color w:val="auto"/>
                      <w:szCs w:val="21"/>
                    </w:rPr>
                    <w:t>直接排放</w:t>
                  </w:r>
                </w:p>
              </w:tc>
              <w:tc>
                <w:tcPr>
                  <w:tcW w:w="2946" w:type="dxa"/>
                  <w:vAlign w:val="center"/>
                </w:tcPr>
                <w:p>
                  <w:pPr>
                    <w:spacing w:line="276" w:lineRule="auto"/>
                    <w:jc w:val="center"/>
                    <w:rPr>
                      <w:rFonts w:eastAsiaTheme="minorEastAsia"/>
                      <w:color w:val="auto"/>
                      <w:szCs w:val="21"/>
                    </w:rPr>
                  </w:pPr>
                  <w:r>
                    <w:rPr>
                      <w:rFonts w:eastAsiaTheme="minorEastAsia"/>
                      <w:color w:val="auto"/>
                      <w:szCs w:val="21"/>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spacing w:line="276" w:lineRule="auto"/>
                    <w:jc w:val="center"/>
                    <w:rPr>
                      <w:rFonts w:eastAsiaTheme="minorEastAsia"/>
                      <w:color w:val="auto"/>
                      <w:szCs w:val="21"/>
                    </w:rPr>
                  </w:pPr>
                  <w:r>
                    <w:rPr>
                      <w:rFonts w:eastAsiaTheme="minorEastAsia"/>
                      <w:color w:val="auto"/>
                      <w:szCs w:val="21"/>
                    </w:rPr>
                    <w:t>三级B</w:t>
                  </w:r>
                </w:p>
              </w:tc>
              <w:tc>
                <w:tcPr>
                  <w:tcW w:w="2949" w:type="dxa"/>
                  <w:vAlign w:val="center"/>
                </w:tcPr>
                <w:p>
                  <w:pPr>
                    <w:spacing w:line="276" w:lineRule="auto"/>
                    <w:jc w:val="center"/>
                    <w:rPr>
                      <w:rFonts w:eastAsiaTheme="minorEastAsia"/>
                      <w:color w:val="auto"/>
                      <w:szCs w:val="21"/>
                    </w:rPr>
                  </w:pPr>
                  <w:r>
                    <w:rPr>
                      <w:rFonts w:eastAsiaTheme="minorEastAsia"/>
                      <w:color w:val="auto"/>
                      <w:szCs w:val="21"/>
                    </w:rPr>
                    <w:t>间接排放</w:t>
                  </w:r>
                </w:p>
              </w:tc>
              <w:tc>
                <w:tcPr>
                  <w:tcW w:w="2946" w:type="dxa"/>
                  <w:vAlign w:val="center"/>
                </w:tcPr>
                <w:p>
                  <w:pPr>
                    <w:spacing w:line="276" w:lineRule="auto"/>
                    <w:jc w:val="center"/>
                    <w:rPr>
                      <w:rFonts w:eastAsiaTheme="minorEastAsia"/>
                      <w:color w:val="auto"/>
                      <w:szCs w:val="21"/>
                    </w:rPr>
                  </w:pPr>
                  <w:r>
                    <w:rPr>
                      <w:rFonts w:eastAsiaTheme="minorEastAsia"/>
                      <w:color w:val="auto"/>
                      <w:szCs w:val="21"/>
                    </w:rPr>
                    <w:t>--</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 xml:space="preserve"> 本项目的等级判定结果</w:t>
            </w:r>
          </w:p>
          <w:tbl>
            <w:tblPr>
              <w:tblStyle w:val="45"/>
              <w:tblW w:w="88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2713"/>
              <w:gridCol w:w="4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09" w:type="dxa"/>
                  <w:gridSpan w:val="2"/>
                  <w:vAlign w:val="center"/>
                </w:tcPr>
                <w:p>
                  <w:pPr>
                    <w:spacing w:line="276" w:lineRule="auto"/>
                    <w:jc w:val="center"/>
                    <w:rPr>
                      <w:rFonts w:eastAsiaTheme="minorEastAsia"/>
                      <w:color w:val="auto"/>
                      <w:szCs w:val="21"/>
                    </w:rPr>
                  </w:pPr>
                  <w:r>
                    <w:rPr>
                      <w:rFonts w:eastAsiaTheme="minorEastAsia"/>
                      <w:color w:val="auto"/>
                      <w:szCs w:val="21"/>
                    </w:rPr>
                    <w:t>影响类型</w:t>
                  </w:r>
                </w:p>
              </w:tc>
              <w:tc>
                <w:tcPr>
                  <w:tcW w:w="4586" w:type="dxa"/>
                  <w:vAlign w:val="center"/>
                </w:tcPr>
                <w:p>
                  <w:pPr>
                    <w:spacing w:line="276" w:lineRule="auto"/>
                    <w:jc w:val="center"/>
                    <w:rPr>
                      <w:rFonts w:eastAsiaTheme="minorEastAsia"/>
                      <w:color w:val="auto"/>
                      <w:szCs w:val="21"/>
                    </w:rPr>
                  </w:pPr>
                  <w:r>
                    <w:rPr>
                      <w:rFonts w:eastAsiaTheme="minorEastAsia"/>
                      <w:color w:val="auto"/>
                      <w:szCs w:val="21"/>
                    </w:rPr>
                    <w:t>水污染影响型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09" w:type="dxa"/>
                  <w:gridSpan w:val="2"/>
                  <w:vAlign w:val="center"/>
                </w:tcPr>
                <w:p>
                  <w:pPr>
                    <w:spacing w:line="276" w:lineRule="auto"/>
                    <w:jc w:val="center"/>
                    <w:rPr>
                      <w:rFonts w:eastAsiaTheme="minorEastAsia"/>
                      <w:color w:val="auto"/>
                      <w:szCs w:val="21"/>
                    </w:rPr>
                  </w:pPr>
                  <w:r>
                    <w:rPr>
                      <w:rFonts w:eastAsiaTheme="minorEastAsia"/>
                      <w:color w:val="auto"/>
                      <w:szCs w:val="21"/>
                    </w:rPr>
                    <w:t>排放方式</w:t>
                  </w:r>
                </w:p>
              </w:tc>
              <w:tc>
                <w:tcPr>
                  <w:tcW w:w="4586" w:type="dxa"/>
                  <w:vAlign w:val="center"/>
                </w:tcPr>
                <w:p>
                  <w:pPr>
                    <w:spacing w:line="276" w:lineRule="auto"/>
                    <w:jc w:val="center"/>
                    <w:rPr>
                      <w:rFonts w:eastAsiaTheme="minorEastAsia"/>
                      <w:color w:val="auto"/>
                      <w:szCs w:val="21"/>
                    </w:rPr>
                  </w:pPr>
                  <w:r>
                    <w:rPr>
                      <w:rFonts w:eastAsiaTheme="minorEastAsia"/>
                      <w:color w:val="auto"/>
                      <w:szCs w:val="21"/>
                    </w:rPr>
                    <w:t>间接排放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restart"/>
                  <w:vAlign w:val="center"/>
                </w:tcPr>
                <w:p>
                  <w:pPr>
                    <w:spacing w:line="276" w:lineRule="auto"/>
                    <w:jc w:val="center"/>
                    <w:rPr>
                      <w:rFonts w:eastAsiaTheme="minorEastAsia"/>
                      <w:color w:val="auto"/>
                      <w:szCs w:val="21"/>
                    </w:rPr>
                  </w:pPr>
                  <w:r>
                    <w:rPr>
                      <w:rFonts w:eastAsiaTheme="minorEastAsia"/>
                      <w:color w:val="auto"/>
                      <w:szCs w:val="21"/>
                    </w:rPr>
                    <w:t>水环境保护目标</w:t>
                  </w:r>
                </w:p>
              </w:tc>
              <w:tc>
                <w:tcPr>
                  <w:tcW w:w="2713" w:type="dxa"/>
                  <w:vAlign w:val="center"/>
                </w:tcPr>
                <w:p>
                  <w:pPr>
                    <w:spacing w:line="276" w:lineRule="auto"/>
                    <w:jc w:val="center"/>
                    <w:rPr>
                      <w:rFonts w:eastAsiaTheme="minorEastAsia"/>
                      <w:color w:val="auto"/>
                      <w:szCs w:val="21"/>
                    </w:rPr>
                  </w:pPr>
                  <w:r>
                    <w:rPr>
                      <w:rFonts w:eastAsiaTheme="minorEastAsia"/>
                      <w:color w:val="auto"/>
                      <w:szCs w:val="21"/>
                    </w:rPr>
                    <w:t>是否涉及保护目标</w:t>
                  </w:r>
                </w:p>
              </w:tc>
              <w:tc>
                <w:tcPr>
                  <w:tcW w:w="4586" w:type="dxa"/>
                  <w:vAlign w:val="center"/>
                </w:tcPr>
                <w:p>
                  <w:pPr>
                    <w:spacing w:line="276" w:lineRule="auto"/>
                    <w:jc w:val="center"/>
                    <w:rPr>
                      <w:rFonts w:eastAsiaTheme="minorEastAsia"/>
                      <w:color w:val="auto"/>
                      <w:szCs w:val="21"/>
                    </w:rPr>
                  </w:pPr>
                  <w:r>
                    <w:rPr>
                      <w:rFonts w:eastAsiaTheme="minorEastAsia"/>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continue"/>
                  <w:vAlign w:val="center"/>
                </w:tcPr>
                <w:p>
                  <w:pPr>
                    <w:spacing w:line="276" w:lineRule="auto"/>
                    <w:jc w:val="center"/>
                    <w:rPr>
                      <w:rFonts w:eastAsiaTheme="minorEastAsia"/>
                      <w:color w:val="auto"/>
                      <w:szCs w:val="21"/>
                    </w:rPr>
                  </w:pPr>
                </w:p>
              </w:tc>
              <w:tc>
                <w:tcPr>
                  <w:tcW w:w="2713" w:type="dxa"/>
                  <w:vAlign w:val="center"/>
                </w:tcPr>
                <w:p>
                  <w:pPr>
                    <w:spacing w:line="276" w:lineRule="auto"/>
                    <w:jc w:val="center"/>
                    <w:rPr>
                      <w:rFonts w:eastAsiaTheme="minorEastAsia"/>
                      <w:color w:val="auto"/>
                      <w:szCs w:val="21"/>
                    </w:rPr>
                  </w:pPr>
                  <w:r>
                    <w:rPr>
                      <w:rFonts w:eastAsiaTheme="minorEastAsia"/>
                      <w:color w:val="auto"/>
                      <w:szCs w:val="21"/>
                    </w:rPr>
                    <w:t>保护目标</w:t>
                  </w:r>
                </w:p>
              </w:tc>
              <w:tc>
                <w:tcPr>
                  <w:tcW w:w="4586" w:type="dxa"/>
                  <w:vAlign w:val="center"/>
                </w:tcPr>
                <w:p>
                  <w:pPr>
                    <w:spacing w:line="276" w:lineRule="auto"/>
                    <w:jc w:val="center"/>
                    <w:rPr>
                      <w:rFonts w:eastAsiaTheme="minorEastAsia"/>
                      <w:color w:val="auto"/>
                      <w:szCs w:val="21"/>
                    </w:rPr>
                  </w:pPr>
                  <w:r>
                    <w:rPr>
                      <w:rFonts w:eastAsiaTheme="minor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09" w:type="dxa"/>
                  <w:gridSpan w:val="2"/>
                  <w:vAlign w:val="center"/>
                </w:tcPr>
                <w:p>
                  <w:pPr>
                    <w:spacing w:line="276" w:lineRule="auto"/>
                    <w:jc w:val="center"/>
                    <w:rPr>
                      <w:rFonts w:eastAsiaTheme="minorEastAsia"/>
                      <w:color w:val="auto"/>
                      <w:szCs w:val="21"/>
                    </w:rPr>
                  </w:pPr>
                  <w:r>
                    <w:rPr>
                      <w:rFonts w:eastAsiaTheme="minorEastAsia"/>
                      <w:color w:val="auto"/>
                      <w:szCs w:val="21"/>
                    </w:rPr>
                    <w:t>等级判定结果</w:t>
                  </w:r>
                </w:p>
              </w:tc>
              <w:tc>
                <w:tcPr>
                  <w:tcW w:w="4586" w:type="dxa"/>
                  <w:vAlign w:val="center"/>
                </w:tcPr>
                <w:p>
                  <w:pPr>
                    <w:spacing w:line="276" w:lineRule="auto"/>
                    <w:jc w:val="center"/>
                    <w:rPr>
                      <w:rFonts w:eastAsiaTheme="minorEastAsia"/>
                      <w:color w:val="auto"/>
                      <w:szCs w:val="21"/>
                    </w:rPr>
                  </w:pPr>
                  <w:r>
                    <w:rPr>
                      <w:rFonts w:eastAsiaTheme="minorEastAsia"/>
                      <w:color w:val="auto"/>
                      <w:szCs w:val="21"/>
                    </w:rPr>
                    <w:t>三级B</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废水类别、污染物及污染治理设施信息表</w:t>
            </w:r>
          </w:p>
          <w:tbl>
            <w:tblPr>
              <w:tblStyle w:val="45"/>
              <w:tblW w:w="91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40"/>
              <w:gridCol w:w="532"/>
              <w:gridCol w:w="815"/>
              <w:gridCol w:w="534"/>
              <w:gridCol w:w="1105"/>
              <w:gridCol w:w="824"/>
              <w:gridCol w:w="921"/>
              <w:gridCol w:w="921"/>
              <w:gridCol w:w="858"/>
              <w:gridCol w:w="741"/>
              <w:gridCol w:w="1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340" w:type="dxa"/>
                  <w:vMerge w:val="restart"/>
                  <w:vAlign w:val="center"/>
                </w:tcPr>
                <w:p>
                  <w:pPr>
                    <w:spacing w:line="276" w:lineRule="auto"/>
                    <w:jc w:val="center"/>
                    <w:rPr>
                      <w:rFonts w:eastAsiaTheme="minorEastAsia"/>
                      <w:color w:val="auto"/>
                      <w:szCs w:val="21"/>
                    </w:rPr>
                  </w:pPr>
                  <w:r>
                    <w:rPr>
                      <w:rFonts w:eastAsiaTheme="minorEastAsia"/>
                      <w:color w:val="auto"/>
                      <w:szCs w:val="21"/>
                    </w:rPr>
                    <w:t>序号</w:t>
                  </w:r>
                </w:p>
              </w:tc>
              <w:tc>
                <w:tcPr>
                  <w:tcW w:w="532" w:type="dxa"/>
                  <w:vMerge w:val="restart"/>
                  <w:vAlign w:val="center"/>
                </w:tcPr>
                <w:p>
                  <w:pPr>
                    <w:spacing w:line="276" w:lineRule="auto"/>
                    <w:jc w:val="center"/>
                    <w:rPr>
                      <w:rFonts w:eastAsiaTheme="minorEastAsia"/>
                      <w:color w:val="auto"/>
                      <w:szCs w:val="21"/>
                    </w:rPr>
                  </w:pPr>
                  <w:r>
                    <w:rPr>
                      <w:rFonts w:eastAsiaTheme="minorEastAsia"/>
                      <w:color w:val="auto"/>
                      <w:szCs w:val="21"/>
                    </w:rPr>
                    <w:t>废水类别</w:t>
                  </w:r>
                </w:p>
              </w:tc>
              <w:tc>
                <w:tcPr>
                  <w:tcW w:w="815" w:type="dxa"/>
                  <w:vMerge w:val="restart"/>
                  <w:vAlign w:val="center"/>
                </w:tcPr>
                <w:p>
                  <w:pPr>
                    <w:spacing w:line="276" w:lineRule="auto"/>
                    <w:jc w:val="center"/>
                    <w:rPr>
                      <w:rFonts w:eastAsiaTheme="minorEastAsia"/>
                      <w:color w:val="auto"/>
                      <w:szCs w:val="21"/>
                    </w:rPr>
                  </w:pPr>
                  <w:r>
                    <w:rPr>
                      <w:rFonts w:eastAsiaTheme="minorEastAsia"/>
                      <w:color w:val="auto"/>
                      <w:szCs w:val="21"/>
                    </w:rPr>
                    <w:t>污染物种类</w:t>
                  </w:r>
                </w:p>
              </w:tc>
              <w:tc>
                <w:tcPr>
                  <w:tcW w:w="534" w:type="dxa"/>
                  <w:vMerge w:val="restart"/>
                  <w:vAlign w:val="center"/>
                </w:tcPr>
                <w:p>
                  <w:pPr>
                    <w:spacing w:line="276" w:lineRule="auto"/>
                    <w:jc w:val="center"/>
                    <w:rPr>
                      <w:rFonts w:eastAsiaTheme="minorEastAsia"/>
                      <w:color w:val="auto"/>
                      <w:szCs w:val="21"/>
                    </w:rPr>
                  </w:pPr>
                  <w:r>
                    <w:rPr>
                      <w:rFonts w:eastAsiaTheme="minorEastAsia"/>
                      <w:color w:val="auto"/>
                      <w:szCs w:val="21"/>
                    </w:rPr>
                    <w:t>排放去向</w:t>
                  </w:r>
                </w:p>
              </w:tc>
              <w:tc>
                <w:tcPr>
                  <w:tcW w:w="1105" w:type="dxa"/>
                  <w:vMerge w:val="restart"/>
                  <w:vAlign w:val="center"/>
                </w:tcPr>
                <w:p>
                  <w:pPr>
                    <w:spacing w:line="276" w:lineRule="auto"/>
                    <w:jc w:val="center"/>
                    <w:rPr>
                      <w:rFonts w:eastAsiaTheme="minorEastAsia"/>
                      <w:color w:val="auto"/>
                      <w:szCs w:val="21"/>
                    </w:rPr>
                  </w:pPr>
                  <w:r>
                    <w:rPr>
                      <w:rFonts w:eastAsiaTheme="minorEastAsia"/>
                      <w:color w:val="auto"/>
                      <w:szCs w:val="21"/>
                    </w:rPr>
                    <w:t>排放规律</w:t>
                  </w:r>
                </w:p>
              </w:tc>
              <w:tc>
                <w:tcPr>
                  <w:tcW w:w="2666" w:type="dxa"/>
                  <w:gridSpan w:val="3"/>
                  <w:vAlign w:val="center"/>
                </w:tcPr>
                <w:p>
                  <w:pPr>
                    <w:spacing w:line="276" w:lineRule="auto"/>
                    <w:jc w:val="center"/>
                    <w:rPr>
                      <w:rFonts w:eastAsiaTheme="minorEastAsia"/>
                      <w:color w:val="auto"/>
                      <w:szCs w:val="21"/>
                    </w:rPr>
                  </w:pPr>
                  <w:r>
                    <w:rPr>
                      <w:rFonts w:eastAsiaTheme="minorEastAsia"/>
                      <w:color w:val="auto"/>
                      <w:szCs w:val="21"/>
                    </w:rPr>
                    <w:t>污染防治设施</w:t>
                  </w:r>
                </w:p>
              </w:tc>
              <w:tc>
                <w:tcPr>
                  <w:tcW w:w="858" w:type="dxa"/>
                  <w:vMerge w:val="restart"/>
                  <w:vAlign w:val="center"/>
                </w:tcPr>
                <w:p>
                  <w:pPr>
                    <w:spacing w:line="276" w:lineRule="auto"/>
                    <w:jc w:val="center"/>
                    <w:rPr>
                      <w:rFonts w:eastAsiaTheme="minorEastAsia"/>
                      <w:color w:val="auto"/>
                      <w:szCs w:val="21"/>
                    </w:rPr>
                  </w:pPr>
                  <w:r>
                    <w:rPr>
                      <w:rFonts w:eastAsiaTheme="minorEastAsia"/>
                      <w:color w:val="auto"/>
                      <w:szCs w:val="21"/>
                    </w:rPr>
                    <w:t>排放口</w:t>
                  </w:r>
                </w:p>
                <w:p>
                  <w:pPr>
                    <w:spacing w:line="276" w:lineRule="auto"/>
                    <w:jc w:val="center"/>
                    <w:rPr>
                      <w:rFonts w:eastAsiaTheme="minorEastAsia"/>
                      <w:color w:val="auto"/>
                      <w:szCs w:val="21"/>
                    </w:rPr>
                  </w:pPr>
                  <w:r>
                    <w:rPr>
                      <w:rFonts w:eastAsiaTheme="minorEastAsia"/>
                      <w:color w:val="auto"/>
                      <w:szCs w:val="21"/>
                    </w:rPr>
                    <w:t>编号</w:t>
                  </w:r>
                </w:p>
              </w:tc>
              <w:tc>
                <w:tcPr>
                  <w:tcW w:w="741" w:type="dxa"/>
                  <w:vMerge w:val="restart"/>
                  <w:vAlign w:val="center"/>
                </w:tcPr>
                <w:p>
                  <w:pPr>
                    <w:spacing w:line="276" w:lineRule="auto"/>
                    <w:jc w:val="center"/>
                    <w:rPr>
                      <w:rFonts w:eastAsiaTheme="minorEastAsia"/>
                      <w:color w:val="auto"/>
                      <w:szCs w:val="21"/>
                    </w:rPr>
                  </w:pPr>
                  <w:r>
                    <w:rPr>
                      <w:rFonts w:eastAsiaTheme="minorEastAsia"/>
                      <w:color w:val="auto"/>
                      <w:szCs w:val="21"/>
                    </w:rPr>
                    <w:t>排放口设置是否符合要求</w:t>
                  </w:r>
                </w:p>
              </w:tc>
              <w:tc>
                <w:tcPr>
                  <w:tcW w:w="1534" w:type="dxa"/>
                  <w:vMerge w:val="restart"/>
                  <w:vAlign w:val="center"/>
                </w:tcPr>
                <w:p>
                  <w:pPr>
                    <w:spacing w:line="276" w:lineRule="auto"/>
                    <w:jc w:val="center"/>
                    <w:rPr>
                      <w:rFonts w:eastAsiaTheme="minorEastAsia"/>
                      <w:color w:val="auto"/>
                      <w:szCs w:val="21"/>
                    </w:rPr>
                  </w:pPr>
                  <w:r>
                    <w:rPr>
                      <w:rFonts w:eastAsiaTheme="minorEastAsia"/>
                      <w:color w:val="auto"/>
                      <w:szCs w:val="21"/>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7" w:hRule="atLeast"/>
                <w:jc w:val="center"/>
              </w:trPr>
              <w:tc>
                <w:tcPr>
                  <w:tcW w:w="340" w:type="dxa"/>
                  <w:vMerge w:val="continue"/>
                  <w:vAlign w:val="center"/>
                </w:tcPr>
                <w:p>
                  <w:pPr>
                    <w:spacing w:line="276" w:lineRule="auto"/>
                    <w:jc w:val="center"/>
                    <w:rPr>
                      <w:rFonts w:eastAsiaTheme="minorEastAsia"/>
                      <w:color w:val="auto"/>
                      <w:szCs w:val="21"/>
                    </w:rPr>
                  </w:pPr>
                </w:p>
              </w:tc>
              <w:tc>
                <w:tcPr>
                  <w:tcW w:w="532" w:type="dxa"/>
                  <w:vMerge w:val="continue"/>
                  <w:vAlign w:val="center"/>
                </w:tcPr>
                <w:p>
                  <w:pPr>
                    <w:spacing w:line="276" w:lineRule="auto"/>
                    <w:jc w:val="center"/>
                    <w:rPr>
                      <w:rFonts w:eastAsiaTheme="minorEastAsia"/>
                      <w:color w:val="auto"/>
                      <w:szCs w:val="21"/>
                    </w:rPr>
                  </w:pPr>
                </w:p>
              </w:tc>
              <w:tc>
                <w:tcPr>
                  <w:tcW w:w="815" w:type="dxa"/>
                  <w:vMerge w:val="continue"/>
                  <w:vAlign w:val="center"/>
                </w:tcPr>
                <w:p>
                  <w:pPr>
                    <w:spacing w:line="276" w:lineRule="auto"/>
                    <w:jc w:val="center"/>
                    <w:rPr>
                      <w:rFonts w:eastAsiaTheme="minorEastAsia"/>
                      <w:color w:val="auto"/>
                      <w:szCs w:val="21"/>
                    </w:rPr>
                  </w:pPr>
                </w:p>
              </w:tc>
              <w:tc>
                <w:tcPr>
                  <w:tcW w:w="534" w:type="dxa"/>
                  <w:vMerge w:val="continue"/>
                  <w:vAlign w:val="center"/>
                </w:tcPr>
                <w:p>
                  <w:pPr>
                    <w:spacing w:line="276" w:lineRule="auto"/>
                    <w:jc w:val="center"/>
                    <w:rPr>
                      <w:rFonts w:eastAsiaTheme="minorEastAsia"/>
                      <w:color w:val="auto"/>
                      <w:szCs w:val="21"/>
                    </w:rPr>
                  </w:pPr>
                </w:p>
              </w:tc>
              <w:tc>
                <w:tcPr>
                  <w:tcW w:w="1105" w:type="dxa"/>
                  <w:vMerge w:val="continue"/>
                  <w:vAlign w:val="center"/>
                </w:tcPr>
                <w:p>
                  <w:pPr>
                    <w:spacing w:line="276" w:lineRule="auto"/>
                    <w:jc w:val="center"/>
                    <w:rPr>
                      <w:rFonts w:eastAsiaTheme="minorEastAsia"/>
                      <w:color w:val="auto"/>
                      <w:szCs w:val="21"/>
                    </w:rPr>
                  </w:pPr>
                </w:p>
              </w:tc>
              <w:tc>
                <w:tcPr>
                  <w:tcW w:w="824" w:type="dxa"/>
                  <w:vAlign w:val="center"/>
                </w:tcPr>
                <w:p>
                  <w:pPr>
                    <w:spacing w:line="276" w:lineRule="auto"/>
                    <w:jc w:val="center"/>
                    <w:rPr>
                      <w:rFonts w:eastAsiaTheme="minorEastAsia"/>
                      <w:color w:val="auto"/>
                      <w:szCs w:val="21"/>
                    </w:rPr>
                  </w:pPr>
                  <w:r>
                    <w:rPr>
                      <w:rFonts w:eastAsiaTheme="minorEastAsia"/>
                      <w:color w:val="auto"/>
                      <w:szCs w:val="21"/>
                    </w:rPr>
                    <w:t>污染设施施编号</w:t>
                  </w:r>
                </w:p>
              </w:tc>
              <w:tc>
                <w:tcPr>
                  <w:tcW w:w="921" w:type="dxa"/>
                  <w:vAlign w:val="center"/>
                </w:tcPr>
                <w:p>
                  <w:pPr>
                    <w:spacing w:line="276" w:lineRule="auto"/>
                    <w:jc w:val="center"/>
                    <w:rPr>
                      <w:rFonts w:eastAsiaTheme="minorEastAsia"/>
                      <w:color w:val="auto"/>
                      <w:szCs w:val="21"/>
                    </w:rPr>
                  </w:pPr>
                  <w:r>
                    <w:rPr>
                      <w:rFonts w:eastAsiaTheme="minorEastAsia"/>
                      <w:color w:val="auto"/>
                      <w:szCs w:val="21"/>
                    </w:rPr>
                    <w:t>污染治理设施名称</w:t>
                  </w:r>
                </w:p>
              </w:tc>
              <w:tc>
                <w:tcPr>
                  <w:tcW w:w="921" w:type="dxa"/>
                  <w:vAlign w:val="center"/>
                </w:tcPr>
                <w:p>
                  <w:pPr>
                    <w:spacing w:line="276" w:lineRule="auto"/>
                    <w:jc w:val="center"/>
                    <w:rPr>
                      <w:rFonts w:eastAsiaTheme="minorEastAsia"/>
                      <w:color w:val="auto"/>
                      <w:szCs w:val="21"/>
                    </w:rPr>
                  </w:pPr>
                  <w:r>
                    <w:rPr>
                      <w:rFonts w:eastAsiaTheme="minorEastAsia"/>
                      <w:color w:val="auto"/>
                      <w:szCs w:val="21"/>
                    </w:rPr>
                    <w:t>污染治理设施工艺</w:t>
                  </w:r>
                </w:p>
              </w:tc>
              <w:tc>
                <w:tcPr>
                  <w:tcW w:w="858" w:type="dxa"/>
                  <w:vMerge w:val="continue"/>
                  <w:vAlign w:val="center"/>
                </w:tcPr>
                <w:p>
                  <w:pPr>
                    <w:spacing w:line="276" w:lineRule="auto"/>
                    <w:jc w:val="center"/>
                    <w:rPr>
                      <w:rFonts w:eastAsiaTheme="minorEastAsia"/>
                      <w:color w:val="auto"/>
                      <w:szCs w:val="21"/>
                    </w:rPr>
                  </w:pPr>
                </w:p>
              </w:tc>
              <w:tc>
                <w:tcPr>
                  <w:tcW w:w="741" w:type="dxa"/>
                  <w:vMerge w:val="continue"/>
                  <w:vAlign w:val="center"/>
                </w:tcPr>
                <w:p>
                  <w:pPr>
                    <w:spacing w:line="276" w:lineRule="auto"/>
                    <w:jc w:val="center"/>
                    <w:rPr>
                      <w:rFonts w:eastAsiaTheme="minorEastAsia"/>
                      <w:color w:val="auto"/>
                      <w:szCs w:val="21"/>
                    </w:rPr>
                  </w:pPr>
                </w:p>
              </w:tc>
              <w:tc>
                <w:tcPr>
                  <w:tcW w:w="1534" w:type="dxa"/>
                  <w:vMerge w:val="continue"/>
                  <w:vAlign w:val="center"/>
                </w:tcPr>
                <w:p>
                  <w:pPr>
                    <w:spacing w:line="276" w:lineRule="auto"/>
                    <w:jc w:val="center"/>
                    <w:rPr>
                      <w:rFonts w:eastAsiaTheme="minorEastAsia"/>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40" w:type="dxa"/>
                  <w:vAlign w:val="center"/>
                </w:tcPr>
                <w:p>
                  <w:pPr>
                    <w:spacing w:line="276" w:lineRule="auto"/>
                    <w:jc w:val="center"/>
                    <w:rPr>
                      <w:rFonts w:eastAsiaTheme="minorEastAsia"/>
                      <w:color w:val="auto"/>
                      <w:szCs w:val="21"/>
                    </w:rPr>
                  </w:pPr>
                  <w:r>
                    <w:rPr>
                      <w:rFonts w:eastAsiaTheme="minorEastAsia"/>
                      <w:color w:val="auto"/>
                      <w:szCs w:val="21"/>
                    </w:rPr>
                    <w:t>1</w:t>
                  </w:r>
                </w:p>
              </w:tc>
              <w:tc>
                <w:tcPr>
                  <w:tcW w:w="532" w:type="dxa"/>
                  <w:vAlign w:val="center"/>
                </w:tcPr>
                <w:p>
                  <w:pPr>
                    <w:spacing w:line="276" w:lineRule="auto"/>
                    <w:jc w:val="center"/>
                    <w:rPr>
                      <w:rFonts w:eastAsiaTheme="minorEastAsia"/>
                      <w:color w:val="auto"/>
                      <w:szCs w:val="21"/>
                    </w:rPr>
                  </w:pPr>
                  <w:r>
                    <w:rPr>
                      <w:rFonts w:eastAsiaTheme="minorEastAsia"/>
                      <w:color w:val="auto"/>
                      <w:szCs w:val="21"/>
                    </w:rPr>
                    <w:t>生活污水</w:t>
                  </w:r>
                </w:p>
              </w:tc>
              <w:tc>
                <w:tcPr>
                  <w:tcW w:w="815" w:type="dxa"/>
                  <w:vAlign w:val="center"/>
                </w:tcPr>
                <w:p>
                  <w:pPr>
                    <w:spacing w:line="276" w:lineRule="auto"/>
                    <w:jc w:val="center"/>
                    <w:rPr>
                      <w:rFonts w:eastAsiaTheme="minorEastAsia"/>
                      <w:color w:val="auto"/>
                      <w:szCs w:val="21"/>
                    </w:rPr>
                  </w:pPr>
                  <w:r>
                    <w:rPr>
                      <w:rFonts w:eastAsiaTheme="minorEastAsia"/>
                      <w:color w:val="auto"/>
                      <w:szCs w:val="21"/>
                    </w:rPr>
                    <w:t>COD、</w:t>
                  </w:r>
                </w:p>
                <w:p>
                  <w:pPr>
                    <w:spacing w:line="276" w:lineRule="auto"/>
                    <w:jc w:val="center"/>
                    <w:rPr>
                      <w:rFonts w:eastAsiaTheme="minorEastAsia"/>
                      <w:color w:val="auto"/>
                      <w:szCs w:val="21"/>
                    </w:rPr>
                  </w:pPr>
                  <w:r>
                    <w:rPr>
                      <w:rFonts w:eastAsiaTheme="minorEastAsia"/>
                      <w:color w:val="auto"/>
                      <w:szCs w:val="21"/>
                    </w:rPr>
                    <w:t>BOD、</w:t>
                  </w:r>
                </w:p>
                <w:p>
                  <w:pPr>
                    <w:spacing w:line="276" w:lineRule="auto"/>
                    <w:jc w:val="center"/>
                    <w:rPr>
                      <w:rFonts w:eastAsiaTheme="minorEastAsia"/>
                      <w:color w:val="auto"/>
                      <w:szCs w:val="21"/>
                    </w:rPr>
                  </w:pPr>
                  <w:r>
                    <w:rPr>
                      <w:rFonts w:eastAsiaTheme="minorEastAsia"/>
                      <w:color w:val="auto"/>
                      <w:szCs w:val="21"/>
                    </w:rPr>
                    <w:t>氨氮等</w:t>
                  </w:r>
                </w:p>
              </w:tc>
              <w:tc>
                <w:tcPr>
                  <w:tcW w:w="534" w:type="dxa"/>
                  <w:vAlign w:val="center"/>
                </w:tcPr>
                <w:p>
                  <w:pPr>
                    <w:spacing w:line="276" w:lineRule="auto"/>
                    <w:jc w:val="center"/>
                    <w:rPr>
                      <w:rFonts w:eastAsiaTheme="minorEastAsia"/>
                      <w:color w:val="auto"/>
                      <w:szCs w:val="21"/>
                    </w:rPr>
                  </w:pPr>
                  <w:r>
                    <w:rPr>
                      <w:rFonts w:eastAsiaTheme="minorEastAsia"/>
                      <w:color w:val="auto"/>
                      <w:szCs w:val="21"/>
                    </w:rPr>
                    <w:t>进入</w:t>
                  </w:r>
                </w:p>
                <w:p>
                  <w:pPr>
                    <w:spacing w:line="276" w:lineRule="auto"/>
                    <w:jc w:val="center"/>
                    <w:rPr>
                      <w:rFonts w:eastAsiaTheme="minorEastAsia"/>
                      <w:color w:val="auto"/>
                      <w:szCs w:val="21"/>
                    </w:rPr>
                  </w:pPr>
                  <w:r>
                    <w:rPr>
                      <w:rFonts w:eastAsiaTheme="minorEastAsia"/>
                      <w:color w:val="auto"/>
                      <w:szCs w:val="21"/>
                    </w:rPr>
                    <w:t>城市</w:t>
                  </w:r>
                </w:p>
                <w:p>
                  <w:pPr>
                    <w:spacing w:line="276" w:lineRule="auto"/>
                    <w:jc w:val="center"/>
                    <w:rPr>
                      <w:rFonts w:eastAsiaTheme="minorEastAsia"/>
                      <w:color w:val="auto"/>
                      <w:szCs w:val="21"/>
                    </w:rPr>
                  </w:pPr>
                  <w:r>
                    <w:rPr>
                      <w:rFonts w:eastAsiaTheme="minorEastAsia"/>
                      <w:color w:val="auto"/>
                      <w:szCs w:val="21"/>
                    </w:rPr>
                    <w:t>污水</w:t>
                  </w:r>
                </w:p>
                <w:p>
                  <w:pPr>
                    <w:spacing w:line="276" w:lineRule="auto"/>
                    <w:jc w:val="center"/>
                    <w:rPr>
                      <w:rFonts w:eastAsiaTheme="minorEastAsia"/>
                      <w:color w:val="auto"/>
                      <w:szCs w:val="21"/>
                    </w:rPr>
                  </w:pPr>
                  <w:r>
                    <w:rPr>
                      <w:rFonts w:eastAsiaTheme="minorEastAsia"/>
                      <w:color w:val="auto"/>
                      <w:szCs w:val="21"/>
                    </w:rPr>
                    <w:t>处理厂</w:t>
                  </w:r>
                </w:p>
              </w:tc>
              <w:tc>
                <w:tcPr>
                  <w:tcW w:w="1105" w:type="dxa"/>
                  <w:vAlign w:val="center"/>
                </w:tcPr>
                <w:p>
                  <w:pPr>
                    <w:spacing w:line="276" w:lineRule="auto"/>
                    <w:jc w:val="center"/>
                    <w:rPr>
                      <w:rFonts w:eastAsiaTheme="minorEastAsia"/>
                      <w:color w:val="auto"/>
                      <w:szCs w:val="21"/>
                    </w:rPr>
                  </w:pPr>
                  <w:r>
                    <w:rPr>
                      <w:rFonts w:eastAsiaTheme="minorEastAsia"/>
                      <w:color w:val="auto"/>
                      <w:szCs w:val="21"/>
                    </w:rPr>
                    <w:t>间断排放，排放期间流量不稳定且无规律，但不属于冲击型排放</w:t>
                  </w:r>
                </w:p>
              </w:tc>
              <w:tc>
                <w:tcPr>
                  <w:tcW w:w="824" w:type="dxa"/>
                  <w:vAlign w:val="center"/>
                </w:tcPr>
                <w:p>
                  <w:pPr>
                    <w:spacing w:line="276" w:lineRule="auto"/>
                    <w:jc w:val="center"/>
                    <w:rPr>
                      <w:rFonts w:eastAsiaTheme="minorEastAsia"/>
                      <w:color w:val="auto"/>
                      <w:szCs w:val="21"/>
                    </w:rPr>
                  </w:pPr>
                  <w:r>
                    <w:rPr>
                      <w:rFonts w:eastAsiaTheme="minorEastAsia"/>
                      <w:color w:val="auto"/>
                      <w:szCs w:val="21"/>
                    </w:rPr>
                    <w:t>/</w:t>
                  </w:r>
                </w:p>
              </w:tc>
              <w:tc>
                <w:tcPr>
                  <w:tcW w:w="921" w:type="dxa"/>
                  <w:vAlign w:val="center"/>
                </w:tcPr>
                <w:p>
                  <w:pPr>
                    <w:spacing w:line="276" w:lineRule="auto"/>
                    <w:jc w:val="center"/>
                    <w:rPr>
                      <w:rFonts w:eastAsiaTheme="minorEastAsia"/>
                      <w:color w:val="auto"/>
                      <w:szCs w:val="21"/>
                    </w:rPr>
                  </w:pPr>
                  <w:r>
                    <w:rPr>
                      <w:rFonts w:eastAsiaTheme="minorEastAsia"/>
                      <w:color w:val="auto"/>
                      <w:szCs w:val="21"/>
                    </w:rPr>
                    <w:t>化粪池</w:t>
                  </w:r>
                </w:p>
              </w:tc>
              <w:tc>
                <w:tcPr>
                  <w:tcW w:w="921" w:type="dxa"/>
                  <w:vAlign w:val="center"/>
                </w:tcPr>
                <w:p>
                  <w:pPr>
                    <w:spacing w:line="276" w:lineRule="auto"/>
                    <w:jc w:val="center"/>
                    <w:rPr>
                      <w:rFonts w:eastAsiaTheme="minorEastAsia"/>
                      <w:color w:val="auto"/>
                      <w:szCs w:val="21"/>
                    </w:rPr>
                  </w:pPr>
                  <w:r>
                    <w:rPr>
                      <w:rFonts w:eastAsiaTheme="minorEastAsia"/>
                      <w:color w:val="auto"/>
                      <w:szCs w:val="21"/>
                    </w:rPr>
                    <w:t>分格沉淀、厌氧消化</w:t>
                  </w:r>
                </w:p>
              </w:tc>
              <w:tc>
                <w:tcPr>
                  <w:tcW w:w="858" w:type="dxa"/>
                  <w:vAlign w:val="center"/>
                </w:tcPr>
                <w:p>
                  <w:pPr>
                    <w:spacing w:line="276" w:lineRule="auto"/>
                    <w:jc w:val="center"/>
                    <w:rPr>
                      <w:rFonts w:eastAsiaTheme="minorEastAsia"/>
                      <w:color w:val="auto"/>
                      <w:szCs w:val="21"/>
                    </w:rPr>
                  </w:pPr>
                  <w:r>
                    <w:rPr>
                      <w:rFonts w:eastAsiaTheme="minorEastAsia"/>
                      <w:color w:val="auto"/>
                      <w:szCs w:val="21"/>
                    </w:rPr>
                    <w:t>WS-01</w:t>
                  </w:r>
                </w:p>
              </w:tc>
              <w:tc>
                <w:tcPr>
                  <w:tcW w:w="741" w:type="dxa"/>
                  <w:vAlign w:val="center"/>
                </w:tcPr>
                <w:p>
                  <w:pPr>
                    <w:spacing w:line="276" w:lineRule="auto"/>
                    <w:jc w:val="center"/>
                    <w:rPr>
                      <w:rFonts w:eastAsiaTheme="minorEastAsia"/>
                      <w:color w:val="auto"/>
                      <w:szCs w:val="21"/>
                    </w:rPr>
                  </w:pPr>
                  <w:r>
                    <w:rPr>
                      <w:rFonts w:eastAsiaTheme="minorEastAsia"/>
                      <w:color w:val="auto"/>
                      <w:szCs w:val="21"/>
                    </w:rPr>
                    <w:t>√是</w:t>
                  </w:r>
                </w:p>
                <w:p>
                  <w:pPr>
                    <w:spacing w:line="276" w:lineRule="auto"/>
                    <w:jc w:val="center"/>
                    <w:rPr>
                      <w:rFonts w:eastAsiaTheme="minorEastAsia"/>
                      <w:color w:val="auto"/>
                      <w:szCs w:val="21"/>
                    </w:rPr>
                  </w:pPr>
                  <w:r>
                    <w:rPr>
                      <w:rFonts w:eastAsiaTheme="minorEastAsia"/>
                      <w:color w:val="auto"/>
                      <w:szCs w:val="21"/>
                    </w:rPr>
                    <w:t>□否</w:t>
                  </w:r>
                </w:p>
              </w:tc>
              <w:tc>
                <w:tcPr>
                  <w:tcW w:w="1534" w:type="dxa"/>
                  <w:vAlign w:val="center"/>
                </w:tcPr>
                <w:p>
                  <w:pPr>
                    <w:spacing w:line="276" w:lineRule="auto"/>
                    <w:jc w:val="center"/>
                    <w:rPr>
                      <w:rFonts w:eastAsiaTheme="minorEastAsia"/>
                      <w:color w:val="auto"/>
                      <w:szCs w:val="21"/>
                    </w:rPr>
                  </w:pPr>
                  <w:r>
                    <w:rPr>
                      <w:rFonts w:eastAsiaTheme="minorEastAsia"/>
                      <w:color w:val="auto"/>
                      <w:szCs w:val="21"/>
                    </w:rPr>
                    <w:t>√企业总排</w:t>
                  </w:r>
                </w:p>
                <w:p>
                  <w:pPr>
                    <w:spacing w:line="276" w:lineRule="auto"/>
                    <w:jc w:val="center"/>
                    <w:rPr>
                      <w:rFonts w:eastAsiaTheme="minorEastAsia"/>
                      <w:color w:val="auto"/>
                      <w:szCs w:val="21"/>
                    </w:rPr>
                  </w:pPr>
                  <w:r>
                    <w:rPr>
                      <w:rFonts w:eastAsiaTheme="minorEastAsia"/>
                      <w:color w:val="auto"/>
                      <w:szCs w:val="21"/>
                    </w:rPr>
                    <w:t>□雨水排放</w:t>
                  </w:r>
                </w:p>
                <w:p>
                  <w:pPr>
                    <w:spacing w:line="276" w:lineRule="auto"/>
                    <w:jc w:val="center"/>
                    <w:rPr>
                      <w:rFonts w:eastAsiaTheme="minorEastAsia"/>
                      <w:color w:val="auto"/>
                      <w:szCs w:val="21"/>
                    </w:rPr>
                  </w:pPr>
                  <w:r>
                    <w:rPr>
                      <w:rFonts w:eastAsiaTheme="minorEastAsia"/>
                      <w:color w:val="auto"/>
                      <w:szCs w:val="21"/>
                    </w:rPr>
                    <w:t>□清净下水排放</w:t>
                  </w:r>
                </w:p>
                <w:p>
                  <w:pPr>
                    <w:spacing w:line="276" w:lineRule="auto"/>
                    <w:jc w:val="center"/>
                    <w:rPr>
                      <w:rFonts w:eastAsiaTheme="minorEastAsia"/>
                      <w:color w:val="auto"/>
                      <w:szCs w:val="21"/>
                    </w:rPr>
                  </w:pPr>
                  <w:r>
                    <w:rPr>
                      <w:rFonts w:eastAsiaTheme="minorEastAsia"/>
                      <w:color w:val="auto"/>
                      <w:szCs w:val="21"/>
                    </w:rPr>
                    <w:t>□温排水排放</w:t>
                  </w:r>
                </w:p>
                <w:p>
                  <w:pPr>
                    <w:spacing w:line="276" w:lineRule="auto"/>
                    <w:jc w:val="center"/>
                    <w:rPr>
                      <w:rFonts w:eastAsiaTheme="minorEastAsia"/>
                      <w:color w:val="auto"/>
                      <w:szCs w:val="21"/>
                    </w:rPr>
                  </w:pPr>
                  <w:r>
                    <w:rPr>
                      <w:rFonts w:eastAsiaTheme="minorEastAsia"/>
                      <w:color w:val="auto"/>
                      <w:szCs w:val="21"/>
                    </w:rPr>
                    <w:t>□车间或车间处理设施排放口</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废水间接排放口基本情况表</w:t>
            </w:r>
          </w:p>
          <w:tbl>
            <w:tblPr>
              <w:tblStyle w:val="45"/>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10"/>
              <w:gridCol w:w="529"/>
              <w:gridCol w:w="870"/>
              <w:gridCol w:w="780"/>
              <w:gridCol w:w="855"/>
              <w:gridCol w:w="720"/>
              <w:gridCol w:w="1425"/>
              <w:gridCol w:w="581"/>
              <w:gridCol w:w="825"/>
              <w:gridCol w:w="799"/>
              <w:gridCol w:w="1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410"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序号</w:t>
                  </w:r>
                </w:p>
              </w:tc>
              <w:tc>
                <w:tcPr>
                  <w:tcW w:w="529"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排放口</w:t>
                  </w:r>
                </w:p>
                <w:p>
                  <w:pPr>
                    <w:spacing w:line="276" w:lineRule="auto"/>
                    <w:jc w:val="center"/>
                    <w:rPr>
                      <w:rFonts w:eastAsiaTheme="minorEastAsia"/>
                      <w:snapToGrid w:val="0"/>
                      <w:color w:val="auto"/>
                      <w:szCs w:val="21"/>
                    </w:rPr>
                  </w:pPr>
                  <w:r>
                    <w:rPr>
                      <w:rFonts w:eastAsiaTheme="minorEastAsia"/>
                      <w:snapToGrid w:val="0"/>
                      <w:color w:val="auto"/>
                      <w:szCs w:val="21"/>
                    </w:rPr>
                    <w:t>编号</w:t>
                  </w:r>
                </w:p>
              </w:tc>
              <w:tc>
                <w:tcPr>
                  <w:tcW w:w="1650" w:type="dxa"/>
                  <w:gridSpan w:val="2"/>
                  <w:vAlign w:val="center"/>
                </w:tcPr>
                <w:p>
                  <w:pPr>
                    <w:spacing w:line="276" w:lineRule="auto"/>
                    <w:jc w:val="center"/>
                    <w:rPr>
                      <w:rFonts w:eastAsiaTheme="minorEastAsia"/>
                      <w:snapToGrid w:val="0"/>
                      <w:color w:val="auto"/>
                      <w:szCs w:val="21"/>
                    </w:rPr>
                  </w:pPr>
                  <w:r>
                    <w:rPr>
                      <w:rFonts w:eastAsiaTheme="minorEastAsia"/>
                      <w:snapToGrid w:val="0"/>
                      <w:color w:val="auto"/>
                      <w:szCs w:val="21"/>
                    </w:rPr>
                    <w:t>排放口地理坐标</w:t>
                  </w:r>
                </w:p>
              </w:tc>
              <w:tc>
                <w:tcPr>
                  <w:tcW w:w="855"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废水</w:t>
                  </w:r>
                </w:p>
                <w:p>
                  <w:pPr>
                    <w:spacing w:line="276" w:lineRule="auto"/>
                    <w:jc w:val="center"/>
                    <w:rPr>
                      <w:rFonts w:eastAsiaTheme="minorEastAsia"/>
                      <w:snapToGrid w:val="0"/>
                      <w:color w:val="auto"/>
                      <w:szCs w:val="21"/>
                    </w:rPr>
                  </w:pPr>
                  <w:r>
                    <w:rPr>
                      <w:rFonts w:eastAsiaTheme="minorEastAsia"/>
                      <w:snapToGrid w:val="0"/>
                      <w:color w:val="auto"/>
                      <w:szCs w:val="21"/>
                    </w:rPr>
                    <w:t>排放量</w:t>
                  </w:r>
                </w:p>
                <w:p>
                  <w:pPr>
                    <w:spacing w:line="276" w:lineRule="auto"/>
                    <w:jc w:val="center"/>
                    <w:rPr>
                      <w:rFonts w:eastAsiaTheme="minorEastAsia"/>
                      <w:snapToGrid w:val="0"/>
                      <w:color w:val="auto"/>
                      <w:szCs w:val="21"/>
                    </w:rPr>
                  </w:pPr>
                  <w:r>
                    <w:rPr>
                      <w:rFonts w:eastAsiaTheme="minorEastAsia"/>
                      <w:snapToGrid w:val="0"/>
                      <w:color w:val="auto"/>
                      <w:szCs w:val="21"/>
                    </w:rPr>
                    <w:t>（万t/a）</w:t>
                  </w:r>
                </w:p>
              </w:tc>
              <w:tc>
                <w:tcPr>
                  <w:tcW w:w="720"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排放</w:t>
                  </w:r>
                </w:p>
                <w:p>
                  <w:pPr>
                    <w:spacing w:line="276" w:lineRule="auto"/>
                    <w:jc w:val="center"/>
                    <w:rPr>
                      <w:rFonts w:eastAsiaTheme="minorEastAsia"/>
                      <w:snapToGrid w:val="0"/>
                      <w:color w:val="auto"/>
                      <w:szCs w:val="21"/>
                    </w:rPr>
                  </w:pPr>
                  <w:r>
                    <w:rPr>
                      <w:rFonts w:eastAsiaTheme="minorEastAsia"/>
                      <w:snapToGrid w:val="0"/>
                      <w:color w:val="auto"/>
                      <w:szCs w:val="21"/>
                    </w:rPr>
                    <w:t>去向</w:t>
                  </w:r>
                </w:p>
              </w:tc>
              <w:tc>
                <w:tcPr>
                  <w:tcW w:w="1425"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排放</w:t>
                  </w:r>
                </w:p>
                <w:p>
                  <w:pPr>
                    <w:spacing w:line="276" w:lineRule="auto"/>
                    <w:jc w:val="center"/>
                    <w:rPr>
                      <w:rFonts w:eastAsiaTheme="minorEastAsia"/>
                      <w:snapToGrid w:val="0"/>
                      <w:color w:val="auto"/>
                      <w:szCs w:val="21"/>
                    </w:rPr>
                  </w:pPr>
                  <w:r>
                    <w:rPr>
                      <w:rFonts w:eastAsiaTheme="minorEastAsia"/>
                      <w:snapToGrid w:val="0"/>
                      <w:color w:val="auto"/>
                      <w:szCs w:val="21"/>
                    </w:rPr>
                    <w:t>规律</w:t>
                  </w:r>
                </w:p>
              </w:tc>
              <w:tc>
                <w:tcPr>
                  <w:tcW w:w="581"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间歇</w:t>
                  </w:r>
                </w:p>
                <w:p>
                  <w:pPr>
                    <w:spacing w:line="276" w:lineRule="auto"/>
                    <w:jc w:val="center"/>
                    <w:rPr>
                      <w:rFonts w:eastAsiaTheme="minorEastAsia"/>
                      <w:snapToGrid w:val="0"/>
                      <w:color w:val="auto"/>
                      <w:szCs w:val="21"/>
                    </w:rPr>
                  </w:pPr>
                  <w:r>
                    <w:rPr>
                      <w:rFonts w:eastAsiaTheme="minorEastAsia"/>
                      <w:snapToGrid w:val="0"/>
                      <w:color w:val="auto"/>
                      <w:szCs w:val="21"/>
                    </w:rPr>
                    <w:t>排放</w:t>
                  </w:r>
                </w:p>
                <w:p>
                  <w:pPr>
                    <w:spacing w:line="276" w:lineRule="auto"/>
                    <w:jc w:val="center"/>
                    <w:rPr>
                      <w:rFonts w:eastAsiaTheme="minorEastAsia"/>
                      <w:snapToGrid w:val="0"/>
                      <w:color w:val="auto"/>
                      <w:szCs w:val="21"/>
                    </w:rPr>
                  </w:pPr>
                  <w:r>
                    <w:rPr>
                      <w:rFonts w:eastAsiaTheme="minorEastAsia"/>
                      <w:snapToGrid w:val="0"/>
                      <w:color w:val="auto"/>
                      <w:szCs w:val="21"/>
                    </w:rPr>
                    <w:t>时段</w:t>
                  </w:r>
                </w:p>
              </w:tc>
              <w:tc>
                <w:tcPr>
                  <w:tcW w:w="2846" w:type="dxa"/>
                  <w:gridSpan w:val="3"/>
                  <w:vMerge w:val="restart"/>
                  <w:vAlign w:val="center"/>
                </w:tcPr>
                <w:p>
                  <w:pPr>
                    <w:jc w:val="center"/>
                    <w:rPr>
                      <w:rFonts w:eastAsiaTheme="minorEastAsia"/>
                      <w:snapToGrid w:val="0"/>
                      <w:color w:val="auto"/>
                      <w:szCs w:val="21"/>
                    </w:rPr>
                  </w:pPr>
                  <w:r>
                    <w:rPr>
                      <w:rFonts w:eastAsiaTheme="minorEastAsia"/>
                      <w:color w:val="auto"/>
                      <w:szCs w:val="21"/>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10" w:type="dxa"/>
                  <w:vMerge w:val="continue"/>
                  <w:vAlign w:val="center"/>
                </w:tcPr>
                <w:p>
                  <w:pPr>
                    <w:spacing w:line="276" w:lineRule="auto"/>
                    <w:jc w:val="center"/>
                    <w:rPr>
                      <w:rFonts w:eastAsiaTheme="minorEastAsia"/>
                      <w:snapToGrid w:val="0"/>
                      <w:color w:val="auto"/>
                      <w:szCs w:val="21"/>
                    </w:rPr>
                  </w:pPr>
                </w:p>
              </w:tc>
              <w:tc>
                <w:tcPr>
                  <w:tcW w:w="529" w:type="dxa"/>
                  <w:vMerge w:val="continue"/>
                  <w:vAlign w:val="center"/>
                </w:tcPr>
                <w:p>
                  <w:pPr>
                    <w:spacing w:line="276" w:lineRule="auto"/>
                    <w:jc w:val="center"/>
                    <w:rPr>
                      <w:rFonts w:eastAsiaTheme="minorEastAsia"/>
                      <w:snapToGrid w:val="0"/>
                      <w:color w:val="auto"/>
                      <w:szCs w:val="21"/>
                    </w:rPr>
                  </w:pPr>
                </w:p>
              </w:tc>
              <w:tc>
                <w:tcPr>
                  <w:tcW w:w="870"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经度</w:t>
                  </w:r>
                  <w:r>
                    <w:rPr>
                      <w:b/>
                      <w:color w:val="auto"/>
                      <w:szCs w:val="21"/>
                    </w:rPr>
                    <w:t>/</w:t>
                  </w:r>
                  <w:r>
                    <w:rPr>
                      <w:rFonts w:eastAsiaTheme="minorEastAsia"/>
                      <w:color w:val="auto"/>
                      <w:szCs w:val="21"/>
                    </w:rPr>
                    <w:t>°</w:t>
                  </w:r>
                </w:p>
              </w:tc>
              <w:tc>
                <w:tcPr>
                  <w:tcW w:w="780"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纬度</w:t>
                  </w:r>
                  <w:r>
                    <w:rPr>
                      <w:b/>
                      <w:color w:val="auto"/>
                      <w:szCs w:val="21"/>
                    </w:rPr>
                    <w:t>/</w:t>
                  </w:r>
                  <w:r>
                    <w:rPr>
                      <w:rFonts w:eastAsiaTheme="minorEastAsia"/>
                      <w:color w:val="auto"/>
                      <w:szCs w:val="21"/>
                    </w:rPr>
                    <w:t>°</w:t>
                  </w:r>
                </w:p>
              </w:tc>
              <w:tc>
                <w:tcPr>
                  <w:tcW w:w="855" w:type="dxa"/>
                  <w:vMerge w:val="continue"/>
                  <w:vAlign w:val="center"/>
                </w:tcPr>
                <w:p>
                  <w:pPr>
                    <w:spacing w:line="276" w:lineRule="auto"/>
                    <w:jc w:val="center"/>
                    <w:rPr>
                      <w:rFonts w:eastAsiaTheme="minorEastAsia"/>
                      <w:snapToGrid w:val="0"/>
                      <w:color w:val="auto"/>
                      <w:szCs w:val="21"/>
                    </w:rPr>
                  </w:pPr>
                </w:p>
              </w:tc>
              <w:tc>
                <w:tcPr>
                  <w:tcW w:w="720" w:type="dxa"/>
                  <w:vMerge w:val="continue"/>
                  <w:vAlign w:val="center"/>
                </w:tcPr>
                <w:p>
                  <w:pPr>
                    <w:spacing w:line="276" w:lineRule="auto"/>
                    <w:jc w:val="center"/>
                    <w:rPr>
                      <w:rFonts w:eastAsiaTheme="minorEastAsia"/>
                      <w:snapToGrid w:val="0"/>
                      <w:color w:val="auto"/>
                      <w:szCs w:val="21"/>
                    </w:rPr>
                  </w:pPr>
                </w:p>
              </w:tc>
              <w:tc>
                <w:tcPr>
                  <w:tcW w:w="1425" w:type="dxa"/>
                  <w:vMerge w:val="continue"/>
                  <w:vAlign w:val="center"/>
                </w:tcPr>
                <w:p>
                  <w:pPr>
                    <w:spacing w:line="276" w:lineRule="auto"/>
                    <w:jc w:val="center"/>
                    <w:rPr>
                      <w:rFonts w:eastAsiaTheme="minorEastAsia"/>
                      <w:snapToGrid w:val="0"/>
                      <w:color w:val="auto"/>
                      <w:szCs w:val="21"/>
                    </w:rPr>
                  </w:pPr>
                </w:p>
              </w:tc>
              <w:tc>
                <w:tcPr>
                  <w:tcW w:w="581" w:type="dxa"/>
                  <w:vMerge w:val="continue"/>
                  <w:vAlign w:val="center"/>
                </w:tcPr>
                <w:p>
                  <w:pPr>
                    <w:spacing w:line="276" w:lineRule="auto"/>
                    <w:jc w:val="center"/>
                    <w:rPr>
                      <w:rFonts w:eastAsiaTheme="minorEastAsia"/>
                      <w:snapToGrid w:val="0"/>
                      <w:color w:val="auto"/>
                      <w:szCs w:val="21"/>
                    </w:rPr>
                  </w:pPr>
                </w:p>
              </w:tc>
              <w:tc>
                <w:tcPr>
                  <w:tcW w:w="2846" w:type="dxa"/>
                  <w:gridSpan w:val="3"/>
                  <w:vMerge w:val="continue"/>
                  <w:vAlign w:val="center"/>
                </w:tcPr>
                <w:p>
                  <w:pPr>
                    <w:jc w:val="center"/>
                    <w:rPr>
                      <w:rFonts w:eastAsiaTheme="minorEastAsia"/>
                      <w:snapToGrid w:val="0"/>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0" w:hRule="atLeast"/>
                <w:jc w:val="center"/>
              </w:trPr>
              <w:tc>
                <w:tcPr>
                  <w:tcW w:w="410" w:type="dxa"/>
                  <w:vMerge w:val="continue"/>
                  <w:vAlign w:val="center"/>
                </w:tcPr>
                <w:p>
                  <w:pPr>
                    <w:spacing w:line="276" w:lineRule="auto"/>
                    <w:jc w:val="center"/>
                    <w:rPr>
                      <w:rFonts w:eastAsiaTheme="minorEastAsia"/>
                      <w:snapToGrid w:val="0"/>
                      <w:color w:val="auto"/>
                      <w:szCs w:val="21"/>
                    </w:rPr>
                  </w:pPr>
                </w:p>
              </w:tc>
              <w:tc>
                <w:tcPr>
                  <w:tcW w:w="529" w:type="dxa"/>
                  <w:vMerge w:val="continue"/>
                  <w:vAlign w:val="center"/>
                </w:tcPr>
                <w:p>
                  <w:pPr>
                    <w:spacing w:line="276" w:lineRule="auto"/>
                    <w:jc w:val="center"/>
                    <w:rPr>
                      <w:rFonts w:eastAsiaTheme="minorEastAsia"/>
                      <w:snapToGrid w:val="0"/>
                      <w:color w:val="auto"/>
                      <w:szCs w:val="21"/>
                    </w:rPr>
                  </w:pPr>
                </w:p>
              </w:tc>
              <w:tc>
                <w:tcPr>
                  <w:tcW w:w="870" w:type="dxa"/>
                  <w:vMerge w:val="continue"/>
                  <w:vAlign w:val="center"/>
                </w:tcPr>
                <w:p>
                  <w:pPr>
                    <w:spacing w:line="276" w:lineRule="auto"/>
                    <w:jc w:val="center"/>
                    <w:rPr>
                      <w:rFonts w:eastAsiaTheme="minorEastAsia"/>
                      <w:snapToGrid w:val="0"/>
                      <w:color w:val="auto"/>
                      <w:szCs w:val="21"/>
                    </w:rPr>
                  </w:pPr>
                </w:p>
              </w:tc>
              <w:tc>
                <w:tcPr>
                  <w:tcW w:w="780" w:type="dxa"/>
                  <w:vMerge w:val="continue"/>
                  <w:vAlign w:val="center"/>
                </w:tcPr>
                <w:p>
                  <w:pPr>
                    <w:spacing w:line="276" w:lineRule="auto"/>
                    <w:jc w:val="center"/>
                    <w:rPr>
                      <w:rFonts w:eastAsiaTheme="minorEastAsia"/>
                      <w:snapToGrid w:val="0"/>
                      <w:color w:val="auto"/>
                      <w:szCs w:val="21"/>
                    </w:rPr>
                  </w:pPr>
                </w:p>
              </w:tc>
              <w:tc>
                <w:tcPr>
                  <w:tcW w:w="855" w:type="dxa"/>
                  <w:vMerge w:val="continue"/>
                  <w:vAlign w:val="center"/>
                </w:tcPr>
                <w:p>
                  <w:pPr>
                    <w:spacing w:line="276" w:lineRule="auto"/>
                    <w:jc w:val="center"/>
                    <w:rPr>
                      <w:rFonts w:eastAsiaTheme="minorEastAsia"/>
                      <w:snapToGrid w:val="0"/>
                      <w:color w:val="auto"/>
                      <w:szCs w:val="21"/>
                    </w:rPr>
                  </w:pPr>
                </w:p>
              </w:tc>
              <w:tc>
                <w:tcPr>
                  <w:tcW w:w="720" w:type="dxa"/>
                  <w:vMerge w:val="continue"/>
                  <w:vAlign w:val="center"/>
                </w:tcPr>
                <w:p>
                  <w:pPr>
                    <w:spacing w:line="276" w:lineRule="auto"/>
                    <w:jc w:val="center"/>
                    <w:rPr>
                      <w:rFonts w:eastAsiaTheme="minorEastAsia"/>
                      <w:snapToGrid w:val="0"/>
                      <w:color w:val="auto"/>
                      <w:szCs w:val="21"/>
                    </w:rPr>
                  </w:pPr>
                </w:p>
              </w:tc>
              <w:tc>
                <w:tcPr>
                  <w:tcW w:w="1425" w:type="dxa"/>
                  <w:vMerge w:val="continue"/>
                  <w:vAlign w:val="center"/>
                </w:tcPr>
                <w:p>
                  <w:pPr>
                    <w:spacing w:line="276" w:lineRule="auto"/>
                    <w:jc w:val="center"/>
                    <w:rPr>
                      <w:rFonts w:eastAsiaTheme="minorEastAsia"/>
                      <w:snapToGrid w:val="0"/>
                      <w:color w:val="auto"/>
                      <w:szCs w:val="21"/>
                    </w:rPr>
                  </w:pPr>
                </w:p>
              </w:tc>
              <w:tc>
                <w:tcPr>
                  <w:tcW w:w="581" w:type="dxa"/>
                  <w:vMerge w:val="continue"/>
                  <w:vAlign w:val="center"/>
                </w:tcPr>
                <w:p>
                  <w:pPr>
                    <w:spacing w:line="276" w:lineRule="auto"/>
                    <w:jc w:val="center"/>
                    <w:rPr>
                      <w:rFonts w:eastAsiaTheme="minorEastAsia"/>
                      <w:snapToGrid w:val="0"/>
                      <w:color w:val="auto"/>
                      <w:szCs w:val="21"/>
                    </w:rPr>
                  </w:pPr>
                </w:p>
              </w:tc>
              <w:tc>
                <w:tcPr>
                  <w:tcW w:w="825" w:type="dxa"/>
                  <w:vAlign w:val="center"/>
                </w:tcPr>
                <w:p>
                  <w:pPr>
                    <w:jc w:val="center"/>
                    <w:rPr>
                      <w:rFonts w:eastAsiaTheme="minorEastAsia"/>
                      <w:snapToGrid w:val="0"/>
                      <w:color w:val="auto"/>
                      <w:szCs w:val="21"/>
                    </w:rPr>
                  </w:pPr>
                  <w:r>
                    <w:rPr>
                      <w:rFonts w:eastAsiaTheme="minorEastAsia"/>
                      <w:snapToGrid w:val="0"/>
                      <w:color w:val="auto"/>
                      <w:szCs w:val="21"/>
                    </w:rPr>
                    <w:t>名称</w:t>
                  </w:r>
                </w:p>
              </w:tc>
              <w:tc>
                <w:tcPr>
                  <w:tcW w:w="799" w:type="dxa"/>
                  <w:vAlign w:val="center"/>
                </w:tcPr>
                <w:p>
                  <w:pPr>
                    <w:jc w:val="center"/>
                    <w:rPr>
                      <w:rFonts w:eastAsiaTheme="minorEastAsia"/>
                      <w:snapToGrid w:val="0"/>
                      <w:color w:val="auto"/>
                      <w:szCs w:val="21"/>
                    </w:rPr>
                  </w:pPr>
                  <w:r>
                    <w:rPr>
                      <w:rFonts w:eastAsiaTheme="minorEastAsia"/>
                      <w:snapToGrid w:val="0"/>
                      <w:color w:val="auto"/>
                      <w:szCs w:val="21"/>
                    </w:rPr>
                    <w:t>污染物种类</w:t>
                  </w:r>
                </w:p>
              </w:tc>
              <w:tc>
                <w:tcPr>
                  <w:tcW w:w="1222" w:type="dxa"/>
                  <w:vAlign w:val="center"/>
                </w:tcPr>
                <w:p>
                  <w:pPr>
                    <w:rPr>
                      <w:rFonts w:eastAsiaTheme="minorEastAsia"/>
                      <w:snapToGrid w:val="0"/>
                      <w:color w:val="auto"/>
                      <w:szCs w:val="21"/>
                    </w:rPr>
                  </w:pPr>
                  <w:r>
                    <w:rPr>
                      <w:rFonts w:eastAsiaTheme="minorEastAsia"/>
                      <w:snapToGrid w:val="0"/>
                      <w:color w:val="auto"/>
                      <w:szCs w:val="21"/>
                    </w:rPr>
                    <w:t>国家或地方污染物排放标准浓度限值（mg/L）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410"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1</w:t>
                  </w:r>
                </w:p>
              </w:tc>
              <w:tc>
                <w:tcPr>
                  <w:tcW w:w="529"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WS-01</w:t>
                  </w:r>
                </w:p>
              </w:tc>
              <w:tc>
                <w:tcPr>
                  <w:tcW w:w="870"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112.7800</w:t>
                  </w:r>
                </w:p>
              </w:tc>
              <w:tc>
                <w:tcPr>
                  <w:tcW w:w="780"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22.445</w:t>
                  </w:r>
                  <w:r>
                    <w:rPr>
                      <w:rFonts w:hint="eastAsia" w:eastAsiaTheme="minorEastAsia"/>
                      <w:snapToGrid w:val="0"/>
                      <w:color w:val="auto"/>
                      <w:szCs w:val="21"/>
                    </w:rPr>
                    <w:t>6</w:t>
                  </w:r>
                </w:p>
              </w:tc>
              <w:tc>
                <w:tcPr>
                  <w:tcW w:w="855" w:type="dxa"/>
                  <w:vMerge w:val="restart"/>
                  <w:vAlign w:val="center"/>
                </w:tcPr>
                <w:p>
                  <w:pPr>
                    <w:spacing w:line="276" w:lineRule="auto"/>
                    <w:jc w:val="center"/>
                    <w:rPr>
                      <w:rFonts w:hint="default" w:eastAsiaTheme="minorEastAsia"/>
                      <w:snapToGrid w:val="0"/>
                      <w:color w:val="auto"/>
                      <w:szCs w:val="21"/>
                      <w:lang w:val="en-US" w:eastAsia="zh-CN"/>
                    </w:rPr>
                  </w:pPr>
                  <w:r>
                    <w:rPr>
                      <w:rFonts w:hint="eastAsia" w:eastAsiaTheme="minorEastAsia"/>
                      <w:snapToGrid w:val="0"/>
                      <w:color w:val="auto"/>
                      <w:szCs w:val="21"/>
                    </w:rPr>
                    <w:t>0.01</w:t>
                  </w:r>
                  <w:r>
                    <w:rPr>
                      <w:rFonts w:hint="eastAsia" w:eastAsiaTheme="minorEastAsia"/>
                      <w:snapToGrid w:val="0"/>
                      <w:color w:val="auto"/>
                      <w:szCs w:val="21"/>
                      <w:lang w:val="en-US" w:eastAsia="zh-CN"/>
                    </w:rPr>
                    <w:t>70</w:t>
                  </w:r>
                </w:p>
              </w:tc>
              <w:tc>
                <w:tcPr>
                  <w:tcW w:w="720"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进入</w:t>
                  </w:r>
                </w:p>
                <w:p>
                  <w:pPr>
                    <w:spacing w:line="276" w:lineRule="auto"/>
                    <w:jc w:val="center"/>
                    <w:rPr>
                      <w:rFonts w:eastAsiaTheme="minorEastAsia"/>
                      <w:snapToGrid w:val="0"/>
                      <w:color w:val="auto"/>
                      <w:szCs w:val="21"/>
                    </w:rPr>
                  </w:pPr>
                  <w:r>
                    <w:rPr>
                      <w:rFonts w:eastAsiaTheme="minorEastAsia"/>
                      <w:snapToGrid w:val="0"/>
                      <w:color w:val="auto"/>
                      <w:szCs w:val="21"/>
                    </w:rPr>
                    <w:t>城市</w:t>
                  </w:r>
                </w:p>
                <w:p>
                  <w:pPr>
                    <w:spacing w:line="276" w:lineRule="auto"/>
                    <w:jc w:val="center"/>
                    <w:rPr>
                      <w:rFonts w:eastAsiaTheme="minorEastAsia"/>
                      <w:snapToGrid w:val="0"/>
                      <w:color w:val="auto"/>
                      <w:szCs w:val="21"/>
                    </w:rPr>
                  </w:pPr>
                  <w:r>
                    <w:rPr>
                      <w:rFonts w:eastAsiaTheme="minorEastAsia"/>
                      <w:snapToGrid w:val="0"/>
                      <w:color w:val="auto"/>
                      <w:szCs w:val="21"/>
                    </w:rPr>
                    <w:t>污水</w:t>
                  </w:r>
                </w:p>
                <w:p>
                  <w:pPr>
                    <w:spacing w:line="276" w:lineRule="auto"/>
                    <w:jc w:val="center"/>
                    <w:rPr>
                      <w:rFonts w:eastAsiaTheme="minorEastAsia"/>
                      <w:snapToGrid w:val="0"/>
                      <w:color w:val="auto"/>
                      <w:szCs w:val="21"/>
                    </w:rPr>
                  </w:pPr>
                  <w:r>
                    <w:rPr>
                      <w:rFonts w:eastAsiaTheme="minorEastAsia"/>
                      <w:snapToGrid w:val="0"/>
                      <w:color w:val="auto"/>
                      <w:szCs w:val="21"/>
                    </w:rPr>
                    <w:t>处理厂</w:t>
                  </w:r>
                </w:p>
              </w:tc>
              <w:tc>
                <w:tcPr>
                  <w:tcW w:w="1425"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间断排放，排放期间流量不稳定且无规律，但不属于冲击型排放</w:t>
                  </w:r>
                </w:p>
              </w:tc>
              <w:tc>
                <w:tcPr>
                  <w:tcW w:w="581" w:type="dxa"/>
                  <w:vMerge w:val="restart"/>
                  <w:vAlign w:val="center"/>
                </w:tcPr>
                <w:p>
                  <w:pPr>
                    <w:spacing w:line="276" w:lineRule="auto"/>
                    <w:jc w:val="center"/>
                    <w:rPr>
                      <w:rFonts w:eastAsiaTheme="minorEastAsia"/>
                      <w:snapToGrid w:val="0"/>
                      <w:color w:val="auto"/>
                      <w:szCs w:val="21"/>
                    </w:rPr>
                  </w:pPr>
                  <w:r>
                    <w:rPr>
                      <w:rFonts w:eastAsiaTheme="minorEastAsia"/>
                      <w:snapToGrid w:val="0"/>
                      <w:color w:val="auto"/>
                      <w:szCs w:val="21"/>
                    </w:rPr>
                    <w:t>/</w:t>
                  </w:r>
                </w:p>
              </w:tc>
              <w:tc>
                <w:tcPr>
                  <w:tcW w:w="825" w:type="dxa"/>
                  <w:vMerge w:val="restart"/>
                  <w:vAlign w:val="center"/>
                </w:tcPr>
                <w:p>
                  <w:pPr>
                    <w:spacing w:line="276" w:lineRule="auto"/>
                    <w:jc w:val="center"/>
                    <w:rPr>
                      <w:rFonts w:hint="eastAsia" w:eastAsiaTheme="minorEastAsia"/>
                      <w:snapToGrid w:val="0"/>
                      <w:color w:val="auto"/>
                      <w:szCs w:val="21"/>
                      <w:lang w:eastAsia="zh-CN"/>
                    </w:rPr>
                  </w:pPr>
                  <w:r>
                    <w:rPr>
                      <w:rFonts w:hint="eastAsia" w:eastAsiaTheme="minorEastAsia"/>
                      <w:snapToGrid w:val="0"/>
                      <w:color w:val="auto"/>
                      <w:szCs w:val="21"/>
                      <w:lang w:eastAsia="zh-CN"/>
                    </w:rPr>
                    <w:t>开平市水口污水处理厂</w:t>
                  </w:r>
                </w:p>
              </w:tc>
              <w:tc>
                <w:tcPr>
                  <w:tcW w:w="799" w:type="dxa"/>
                  <w:vAlign w:val="center"/>
                </w:tcPr>
                <w:p>
                  <w:pPr>
                    <w:spacing w:line="276" w:lineRule="auto"/>
                    <w:jc w:val="center"/>
                    <w:rPr>
                      <w:rFonts w:eastAsiaTheme="minorEastAsia"/>
                      <w:snapToGrid w:val="0"/>
                      <w:color w:val="auto"/>
                      <w:szCs w:val="21"/>
                    </w:rPr>
                  </w:pPr>
                  <w:r>
                    <w:rPr>
                      <w:rFonts w:eastAsiaTheme="minorEastAsia"/>
                      <w:snapToGrid w:val="0"/>
                      <w:color w:val="auto"/>
                      <w:szCs w:val="21"/>
                    </w:rPr>
                    <w:t>pH</w:t>
                  </w:r>
                </w:p>
              </w:tc>
              <w:tc>
                <w:tcPr>
                  <w:tcW w:w="1222" w:type="dxa"/>
                  <w:vAlign w:val="center"/>
                </w:tcPr>
                <w:p>
                  <w:pPr>
                    <w:spacing w:line="276" w:lineRule="auto"/>
                    <w:jc w:val="center"/>
                    <w:rPr>
                      <w:rFonts w:eastAsiaTheme="minorEastAsia"/>
                      <w:snapToGrid w:val="0"/>
                      <w:color w:val="auto"/>
                      <w:szCs w:val="21"/>
                    </w:rPr>
                  </w:pPr>
                  <w:r>
                    <w:rPr>
                      <w:rFonts w:eastAsiaTheme="minorEastAsia"/>
                      <w:snapToGrid w:val="0"/>
                      <w:color w:val="auto"/>
                      <w:szCs w:val="21"/>
                    </w:rPr>
                    <w:t>6.0~9.0</w:t>
                  </w:r>
                </w:p>
                <w:p>
                  <w:pPr>
                    <w:spacing w:line="276" w:lineRule="auto"/>
                    <w:jc w:val="center"/>
                    <w:rPr>
                      <w:rFonts w:eastAsiaTheme="minorEastAsia"/>
                      <w:snapToGrid w:val="0"/>
                      <w:color w:val="auto"/>
                      <w:szCs w:val="21"/>
                    </w:rPr>
                  </w:pPr>
                  <w:r>
                    <w:rPr>
                      <w:rFonts w:eastAsiaTheme="minorEastAsia"/>
                      <w:snapToGrid w:val="0"/>
                      <w:color w:val="auto"/>
                      <w:szCs w:val="21"/>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410" w:type="dxa"/>
                  <w:vMerge w:val="continue"/>
                  <w:vAlign w:val="center"/>
                </w:tcPr>
                <w:p>
                  <w:pPr>
                    <w:spacing w:line="276" w:lineRule="auto"/>
                    <w:jc w:val="center"/>
                    <w:rPr>
                      <w:rFonts w:eastAsiaTheme="minorEastAsia"/>
                      <w:snapToGrid w:val="0"/>
                      <w:color w:val="auto"/>
                      <w:szCs w:val="21"/>
                    </w:rPr>
                  </w:pPr>
                </w:p>
              </w:tc>
              <w:tc>
                <w:tcPr>
                  <w:tcW w:w="529" w:type="dxa"/>
                  <w:vMerge w:val="continue"/>
                  <w:vAlign w:val="center"/>
                </w:tcPr>
                <w:p>
                  <w:pPr>
                    <w:spacing w:line="276" w:lineRule="auto"/>
                    <w:jc w:val="center"/>
                    <w:rPr>
                      <w:rFonts w:eastAsiaTheme="minorEastAsia"/>
                      <w:snapToGrid w:val="0"/>
                      <w:color w:val="auto"/>
                      <w:szCs w:val="21"/>
                    </w:rPr>
                  </w:pPr>
                </w:p>
              </w:tc>
              <w:tc>
                <w:tcPr>
                  <w:tcW w:w="870" w:type="dxa"/>
                  <w:vMerge w:val="continue"/>
                  <w:vAlign w:val="center"/>
                </w:tcPr>
                <w:p>
                  <w:pPr>
                    <w:spacing w:line="276" w:lineRule="auto"/>
                    <w:jc w:val="center"/>
                    <w:rPr>
                      <w:rFonts w:eastAsiaTheme="minorEastAsia"/>
                      <w:snapToGrid w:val="0"/>
                      <w:color w:val="auto"/>
                      <w:szCs w:val="21"/>
                    </w:rPr>
                  </w:pPr>
                </w:p>
              </w:tc>
              <w:tc>
                <w:tcPr>
                  <w:tcW w:w="780" w:type="dxa"/>
                  <w:vMerge w:val="continue"/>
                  <w:vAlign w:val="center"/>
                </w:tcPr>
                <w:p>
                  <w:pPr>
                    <w:spacing w:line="276" w:lineRule="auto"/>
                    <w:jc w:val="center"/>
                    <w:rPr>
                      <w:rFonts w:eastAsiaTheme="minorEastAsia"/>
                      <w:snapToGrid w:val="0"/>
                      <w:color w:val="auto"/>
                      <w:szCs w:val="21"/>
                    </w:rPr>
                  </w:pPr>
                </w:p>
              </w:tc>
              <w:tc>
                <w:tcPr>
                  <w:tcW w:w="855" w:type="dxa"/>
                  <w:vMerge w:val="continue"/>
                  <w:vAlign w:val="center"/>
                </w:tcPr>
                <w:p>
                  <w:pPr>
                    <w:spacing w:line="276" w:lineRule="auto"/>
                    <w:jc w:val="center"/>
                    <w:rPr>
                      <w:rFonts w:eastAsiaTheme="minorEastAsia"/>
                      <w:snapToGrid w:val="0"/>
                      <w:color w:val="auto"/>
                      <w:szCs w:val="21"/>
                    </w:rPr>
                  </w:pPr>
                </w:p>
              </w:tc>
              <w:tc>
                <w:tcPr>
                  <w:tcW w:w="720" w:type="dxa"/>
                  <w:vMerge w:val="continue"/>
                  <w:vAlign w:val="center"/>
                </w:tcPr>
                <w:p>
                  <w:pPr>
                    <w:spacing w:line="276" w:lineRule="auto"/>
                    <w:jc w:val="center"/>
                    <w:rPr>
                      <w:rFonts w:eastAsiaTheme="minorEastAsia"/>
                      <w:snapToGrid w:val="0"/>
                      <w:color w:val="auto"/>
                      <w:szCs w:val="21"/>
                    </w:rPr>
                  </w:pPr>
                </w:p>
              </w:tc>
              <w:tc>
                <w:tcPr>
                  <w:tcW w:w="1425" w:type="dxa"/>
                  <w:vMerge w:val="continue"/>
                  <w:vAlign w:val="center"/>
                </w:tcPr>
                <w:p>
                  <w:pPr>
                    <w:spacing w:line="276" w:lineRule="auto"/>
                    <w:jc w:val="center"/>
                    <w:rPr>
                      <w:rFonts w:eastAsiaTheme="minorEastAsia"/>
                      <w:snapToGrid w:val="0"/>
                      <w:color w:val="auto"/>
                      <w:szCs w:val="21"/>
                    </w:rPr>
                  </w:pPr>
                </w:p>
              </w:tc>
              <w:tc>
                <w:tcPr>
                  <w:tcW w:w="581" w:type="dxa"/>
                  <w:vMerge w:val="continue"/>
                  <w:vAlign w:val="center"/>
                </w:tcPr>
                <w:p>
                  <w:pPr>
                    <w:spacing w:line="276" w:lineRule="auto"/>
                    <w:jc w:val="center"/>
                    <w:rPr>
                      <w:rFonts w:eastAsiaTheme="minorEastAsia"/>
                      <w:snapToGrid w:val="0"/>
                      <w:color w:val="auto"/>
                      <w:szCs w:val="21"/>
                    </w:rPr>
                  </w:pPr>
                </w:p>
              </w:tc>
              <w:tc>
                <w:tcPr>
                  <w:tcW w:w="825" w:type="dxa"/>
                  <w:vMerge w:val="continue"/>
                  <w:vAlign w:val="center"/>
                </w:tcPr>
                <w:p>
                  <w:pPr>
                    <w:spacing w:line="276" w:lineRule="auto"/>
                    <w:jc w:val="center"/>
                    <w:rPr>
                      <w:rFonts w:eastAsiaTheme="minorEastAsia"/>
                      <w:snapToGrid w:val="0"/>
                      <w:color w:val="auto"/>
                      <w:szCs w:val="21"/>
                    </w:rPr>
                  </w:pPr>
                </w:p>
              </w:tc>
              <w:tc>
                <w:tcPr>
                  <w:tcW w:w="799" w:type="dxa"/>
                  <w:vAlign w:val="center"/>
                </w:tcPr>
                <w:p>
                  <w:pPr>
                    <w:spacing w:line="276" w:lineRule="auto"/>
                    <w:jc w:val="center"/>
                    <w:rPr>
                      <w:rFonts w:eastAsiaTheme="minorEastAsia"/>
                      <w:snapToGrid w:val="0"/>
                      <w:color w:val="auto"/>
                      <w:szCs w:val="21"/>
                    </w:rPr>
                  </w:pPr>
                  <w:r>
                    <w:rPr>
                      <w:rFonts w:eastAsiaTheme="minorEastAsia"/>
                      <w:snapToGrid w:val="0"/>
                      <w:color w:val="auto"/>
                      <w:szCs w:val="21"/>
                    </w:rPr>
                    <w:t>COD</w:t>
                  </w:r>
                  <w:r>
                    <w:rPr>
                      <w:rFonts w:eastAsiaTheme="minorEastAsia"/>
                      <w:snapToGrid w:val="0"/>
                      <w:color w:val="auto"/>
                      <w:szCs w:val="21"/>
                      <w:vertAlign w:val="subscript"/>
                    </w:rPr>
                    <w:t>Cr</w:t>
                  </w:r>
                </w:p>
              </w:tc>
              <w:tc>
                <w:tcPr>
                  <w:tcW w:w="1222" w:type="dxa"/>
                  <w:vAlign w:val="center"/>
                </w:tcPr>
                <w:p>
                  <w:pPr>
                    <w:spacing w:line="276" w:lineRule="auto"/>
                    <w:jc w:val="center"/>
                    <w:rPr>
                      <w:rFonts w:eastAsiaTheme="minorEastAsia"/>
                      <w:snapToGrid w:val="0"/>
                      <w:color w:val="auto"/>
                      <w:szCs w:val="21"/>
                    </w:rPr>
                  </w:pPr>
                  <w:r>
                    <w:rPr>
                      <w:rFonts w:eastAsiaTheme="minorEastAsia"/>
                      <w:snapToGrid w:val="0"/>
                      <w:color w:val="auto"/>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410" w:type="dxa"/>
                  <w:vMerge w:val="continue"/>
                  <w:vAlign w:val="center"/>
                </w:tcPr>
                <w:p>
                  <w:pPr>
                    <w:spacing w:line="276" w:lineRule="auto"/>
                    <w:jc w:val="center"/>
                    <w:rPr>
                      <w:rFonts w:eastAsiaTheme="minorEastAsia"/>
                      <w:snapToGrid w:val="0"/>
                      <w:color w:val="auto"/>
                      <w:szCs w:val="21"/>
                    </w:rPr>
                  </w:pPr>
                </w:p>
              </w:tc>
              <w:tc>
                <w:tcPr>
                  <w:tcW w:w="529" w:type="dxa"/>
                  <w:vMerge w:val="continue"/>
                  <w:vAlign w:val="center"/>
                </w:tcPr>
                <w:p>
                  <w:pPr>
                    <w:spacing w:line="276" w:lineRule="auto"/>
                    <w:jc w:val="center"/>
                    <w:rPr>
                      <w:rFonts w:eastAsiaTheme="minorEastAsia"/>
                      <w:snapToGrid w:val="0"/>
                      <w:color w:val="auto"/>
                      <w:szCs w:val="21"/>
                    </w:rPr>
                  </w:pPr>
                </w:p>
              </w:tc>
              <w:tc>
                <w:tcPr>
                  <w:tcW w:w="870" w:type="dxa"/>
                  <w:vMerge w:val="continue"/>
                  <w:vAlign w:val="center"/>
                </w:tcPr>
                <w:p>
                  <w:pPr>
                    <w:spacing w:line="276" w:lineRule="auto"/>
                    <w:jc w:val="center"/>
                    <w:rPr>
                      <w:rFonts w:eastAsiaTheme="minorEastAsia"/>
                      <w:snapToGrid w:val="0"/>
                      <w:color w:val="auto"/>
                      <w:szCs w:val="21"/>
                    </w:rPr>
                  </w:pPr>
                </w:p>
              </w:tc>
              <w:tc>
                <w:tcPr>
                  <w:tcW w:w="780" w:type="dxa"/>
                  <w:vMerge w:val="continue"/>
                  <w:vAlign w:val="center"/>
                </w:tcPr>
                <w:p>
                  <w:pPr>
                    <w:spacing w:line="276" w:lineRule="auto"/>
                    <w:jc w:val="center"/>
                    <w:rPr>
                      <w:rFonts w:eastAsiaTheme="minorEastAsia"/>
                      <w:snapToGrid w:val="0"/>
                      <w:color w:val="auto"/>
                      <w:szCs w:val="21"/>
                    </w:rPr>
                  </w:pPr>
                </w:p>
              </w:tc>
              <w:tc>
                <w:tcPr>
                  <w:tcW w:w="855" w:type="dxa"/>
                  <w:vMerge w:val="continue"/>
                  <w:vAlign w:val="center"/>
                </w:tcPr>
                <w:p>
                  <w:pPr>
                    <w:spacing w:line="276" w:lineRule="auto"/>
                    <w:jc w:val="center"/>
                    <w:rPr>
                      <w:rFonts w:eastAsiaTheme="minorEastAsia"/>
                      <w:snapToGrid w:val="0"/>
                      <w:color w:val="auto"/>
                      <w:szCs w:val="21"/>
                    </w:rPr>
                  </w:pPr>
                </w:p>
              </w:tc>
              <w:tc>
                <w:tcPr>
                  <w:tcW w:w="720" w:type="dxa"/>
                  <w:vMerge w:val="continue"/>
                  <w:vAlign w:val="center"/>
                </w:tcPr>
                <w:p>
                  <w:pPr>
                    <w:spacing w:line="276" w:lineRule="auto"/>
                    <w:jc w:val="center"/>
                    <w:rPr>
                      <w:rFonts w:eastAsiaTheme="minorEastAsia"/>
                      <w:snapToGrid w:val="0"/>
                      <w:color w:val="auto"/>
                      <w:szCs w:val="21"/>
                    </w:rPr>
                  </w:pPr>
                </w:p>
              </w:tc>
              <w:tc>
                <w:tcPr>
                  <w:tcW w:w="1425" w:type="dxa"/>
                  <w:vMerge w:val="continue"/>
                  <w:vAlign w:val="center"/>
                </w:tcPr>
                <w:p>
                  <w:pPr>
                    <w:spacing w:line="276" w:lineRule="auto"/>
                    <w:jc w:val="center"/>
                    <w:rPr>
                      <w:rFonts w:eastAsiaTheme="minorEastAsia"/>
                      <w:snapToGrid w:val="0"/>
                      <w:color w:val="auto"/>
                      <w:szCs w:val="21"/>
                    </w:rPr>
                  </w:pPr>
                </w:p>
              </w:tc>
              <w:tc>
                <w:tcPr>
                  <w:tcW w:w="581" w:type="dxa"/>
                  <w:vMerge w:val="continue"/>
                  <w:vAlign w:val="center"/>
                </w:tcPr>
                <w:p>
                  <w:pPr>
                    <w:spacing w:line="276" w:lineRule="auto"/>
                    <w:jc w:val="center"/>
                    <w:rPr>
                      <w:rFonts w:eastAsiaTheme="minorEastAsia"/>
                      <w:snapToGrid w:val="0"/>
                      <w:color w:val="auto"/>
                      <w:szCs w:val="21"/>
                    </w:rPr>
                  </w:pPr>
                </w:p>
              </w:tc>
              <w:tc>
                <w:tcPr>
                  <w:tcW w:w="825" w:type="dxa"/>
                  <w:vMerge w:val="continue"/>
                  <w:vAlign w:val="center"/>
                </w:tcPr>
                <w:p>
                  <w:pPr>
                    <w:spacing w:line="276" w:lineRule="auto"/>
                    <w:jc w:val="center"/>
                    <w:rPr>
                      <w:rFonts w:eastAsiaTheme="minorEastAsia"/>
                      <w:snapToGrid w:val="0"/>
                      <w:color w:val="auto"/>
                      <w:szCs w:val="21"/>
                    </w:rPr>
                  </w:pPr>
                </w:p>
              </w:tc>
              <w:tc>
                <w:tcPr>
                  <w:tcW w:w="799" w:type="dxa"/>
                  <w:vAlign w:val="center"/>
                </w:tcPr>
                <w:p>
                  <w:pPr>
                    <w:spacing w:line="276" w:lineRule="auto"/>
                    <w:jc w:val="center"/>
                    <w:rPr>
                      <w:rFonts w:eastAsiaTheme="minorEastAsia"/>
                      <w:snapToGrid w:val="0"/>
                      <w:color w:val="auto"/>
                      <w:szCs w:val="21"/>
                    </w:rPr>
                  </w:pPr>
                  <w:r>
                    <w:rPr>
                      <w:rFonts w:eastAsiaTheme="minorEastAsia"/>
                      <w:snapToGrid w:val="0"/>
                      <w:color w:val="auto"/>
                      <w:szCs w:val="21"/>
                    </w:rPr>
                    <w:t>BOD</w:t>
                  </w:r>
                  <w:r>
                    <w:rPr>
                      <w:rFonts w:eastAsiaTheme="minorEastAsia"/>
                      <w:snapToGrid w:val="0"/>
                      <w:color w:val="auto"/>
                      <w:szCs w:val="21"/>
                      <w:vertAlign w:val="subscript"/>
                    </w:rPr>
                    <w:t>5</w:t>
                  </w:r>
                </w:p>
              </w:tc>
              <w:tc>
                <w:tcPr>
                  <w:tcW w:w="1222" w:type="dxa"/>
                  <w:vAlign w:val="center"/>
                </w:tcPr>
                <w:p>
                  <w:pPr>
                    <w:spacing w:line="276" w:lineRule="auto"/>
                    <w:jc w:val="center"/>
                    <w:rPr>
                      <w:rFonts w:eastAsiaTheme="minorEastAsia"/>
                      <w:snapToGrid w:val="0"/>
                      <w:color w:val="auto"/>
                      <w:szCs w:val="21"/>
                    </w:rPr>
                  </w:pPr>
                  <w:r>
                    <w:rPr>
                      <w:rFonts w:hint="eastAsia" w:eastAsiaTheme="minorEastAsia"/>
                      <w:snapToGrid w:val="0"/>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410" w:type="dxa"/>
                  <w:vMerge w:val="continue"/>
                  <w:vAlign w:val="center"/>
                </w:tcPr>
                <w:p>
                  <w:pPr>
                    <w:spacing w:line="276" w:lineRule="auto"/>
                    <w:jc w:val="center"/>
                    <w:rPr>
                      <w:rFonts w:eastAsiaTheme="minorEastAsia"/>
                      <w:snapToGrid w:val="0"/>
                      <w:color w:val="auto"/>
                      <w:szCs w:val="21"/>
                    </w:rPr>
                  </w:pPr>
                </w:p>
              </w:tc>
              <w:tc>
                <w:tcPr>
                  <w:tcW w:w="529" w:type="dxa"/>
                  <w:vMerge w:val="continue"/>
                  <w:vAlign w:val="center"/>
                </w:tcPr>
                <w:p>
                  <w:pPr>
                    <w:spacing w:line="276" w:lineRule="auto"/>
                    <w:jc w:val="center"/>
                    <w:rPr>
                      <w:rFonts w:eastAsiaTheme="minorEastAsia"/>
                      <w:snapToGrid w:val="0"/>
                      <w:color w:val="auto"/>
                      <w:szCs w:val="21"/>
                    </w:rPr>
                  </w:pPr>
                </w:p>
              </w:tc>
              <w:tc>
                <w:tcPr>
                  <w:tcW w:w="870" w:type="dxa"/>
                  <w:vMerge w:val="continue"/>
                  <w:vAlign w:val="center"/>
                </w:tcPr>
                <w:p>
                  <w:pPr>
                    <w:spacing w:line="276" w:lineRule="auto"/>
                    <w:jc w:val="center"/>
                    <w:rPr>
                      <w:rFonts w:eastAsiaTheme="minorEastAsia"/>
                      <w:snapToGrid w:val="0"/>
                      <w:color w:val="auto"/>
                      <w:szCs w:val="21"/>
                    </w:rPr>
                  </w:pPr>
                </w:p>
              </w:tc>
              <w:tc>
                <w:tcPr>
                  <w:tcW w:w="780" w:type="dxa"/>
                  <w:vMerge w:val="continue"/>
                  <w:vAlign w:val="center"/>
                </w:tcPr>
                <w:p>
                  <w:pPr>
                    <w:spacing w:line="276" w:lineRule="auto"/>
                    <w:jc w:val="center"/>
                    <w:rPr>
                      <w:rFonts w:eastAsiaTheme="minorEastAsia"/>
                      <w:snapToGrid w:val="0"/>
                      <w:color w:val="auto"/>
                      <w:szCs w:val="21"/>
                    </w:rPr>
                  </w:pPr>
                </w:p>
              </w:tc>
              <w:tc>
                <w:tcPr>
                  <w:tcW w:w="855" w:type="dxa"/>
                  <w:vMerge w:val="continue"/>
                  <w:vAlign w:val="center"/>
                </w:tcPr>
                <w:p>
                  <w:pPr>
                    <w:spacing w:line="276" w:lineRule="auto"/>
                    <w:jc w:val="center"/>
                    <w:rPr>
                      <w:rFonts w:eastAsiaTheme="minorEastAsia"/>
                      <w:snapToGrid w:val="0"/>
                      <w:color w:val="auto"/>
                      <w:szCs w:val="21"/>
                    </w:rPr>
                  </w:pPr>
                </w:p>
              </w:tc>
              <w:tc>
                <w:tcPr>
                  <w:tcW w:w="720" w:type="dxa"/>
                  <w:vMerge w:val="continue"/>
                  <w:vAlign w:val="center"/>
                </w:tcPr>
                <w:p>
                  <w:pPr>
                    <w:spacing w:line="276" w:lineRule="auto"/>
                    <w:jc w:val="center"/>
                    <w:rPr>
                      <w:rFonts w:eastAsiaTheme="minorEastAsia"/>
                      <w:snapToGrid w:val="0"/>
                      <w:color w:val="auto"/>
                      <w:szCs w:val="21"/>
                    </w:rPr>
                  </w:pPr>
                </w:p>
              </w:tc>
              <w:tc>
                <w:tcPr>
                  <w:tcW w:w="1425" w:type="dxa"/>
                  <w:vMerge w:val="continue"/>
                  <w:vAlign w:val="center"/>
                </w:tcPr>
                <w:p>
                  <w:pPr>
                    <w:spacing w:line="276" w:lineRule="auto"/>
                    <w:jc w:val="center"/>
                    <w:rPr>
                      <w:rFonts w:eastAsiaTheme="minorEastAsia"/>
                      <w:snapToGrid w:val="0"/>
                      <w:color w:val="auto"/>
                      <w:szCs w:val="21"/>
                    </w:rPr>
                  </w:pPr>
                </w:p>
              </w:tc>
              <w:tc>
                <w:tcPr>
                  <w:tcW w:w="581" w:type="dxa"/>
                  <w:vMerge w:val="continue"/>
                  <w:vAlign w:val="center"/>
                </w:tcPr>
                <w:p>
                  <w:pPr>
                    <w:spacing w:line="276" w:lineRule="auto"/>
                    <w:jc w:val="center"/>
                    <w:rPr>
                      <w:rFonts w:eastAsiaTheme="minorEastAsia"/>
                      <w:snapToGrid w:val="0"/>
                      <w:color w:val="auto"/>
                      <w:szCs w:val="21"/>
                    </w:rPr>
                  </w:pPr>
                </w:p>
              </w:tc>
              <w:tc>
                <w:tcPr>
                  <w:tcW w:w="825" w:type="dxa"/>
                  <w:vMerge w:val="continue"/>
                  <w:vAlign w:val="center"/>
                </w:tcPr>
                <w:p>
                  <w:pPr>
                    <w:spacing w:line="276" w:lineRule="auto"/>
                    <w:jc w:val="center"/>
                    <w:rPr>
                      <w:rFonts w:eastAsiaTheme="minorEastAsia"/>
                      <w:snapToGrid w:val="0"/>
                      <w:color w:val="auto"/>
                      <w:szCs w:val="21"/>
                    </w:rPr>
                  </w:pPr>
                </w:p>
              </w:tc>
              <w:tc>
                <w:tcPr>
                  <w:tcW w:w="799" w:type="dxa"/>
                  <w:vAlign w:val="center"/>
                </w:tcPr>
                <w:p>
                  <w:pPr>
                    <w:spacing w:line="276" w:lineRule="auto"/>
                    <w:jc w:val="center"/>
                    <w:rPr>
                      <w:rFonts w:eastAsiaTheme="minorEastAsia"/>
                      <w:snapToGrid w:val="0"/>
                      <w:color w:val="auto"/>
                      <w:szCs w:val="21"/>
                    </w:rPr>
                  </w:pPr>
                  <w:r>
                    <w:rPr>
                      <w:rFonts w:eastAsiaTheme="minorEastAsia"/>
                      <w:snapToGrid w:val="0"/>
                      <w:color w:val="auto"/>
                      <w:szCs w:val="21"/>
                    </w:rPr>
                    <w:t>SS</w:t>
                  </w:r>
                </w:p>
              </w:tc>
              <w:tc>
                <w:tcPr>
                  <w:tcW w:w="1222" w:type="dxa"/>
                  <w:vAlign w:val="center"/>
                </w:tcPr>
                <w:p>
                  <w:pPr>
                    <w:spacing w:line="276" w:lineRule="auto"/>
                    <w:jc w:val="center"/>
                    <w:rPr>
                      <w:rFonts w:eastAsiaTheme="minorEastAsia"/>
                      <w:snapToGrid w:val="0"/>
                      <w:color w:val="auto"/>
                      <w:szCs w:val="21"/>
                    </w:rPr>
                  </w:pPr>
                  <w:r>
                    <w:rPr>
                      <w:rFonts w:hint="eastAsia" w:eastAsiaTheme="minorEastAsia"/>
                      <w:snapToGrid w:val="0"/>
                      <w:color w:val="auto"/>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410" w:type="dxa"/>
                  <w:vMerge w:val="continue"/>
                  <w:vAlign w:val="center"/>
                </w:tcPr>
                <w:p>
                  <w:pPr>
                    <w:spacing w:line="276" w:lineRule="auto"/>
                    <w:jc w:val="center"/>
                    <w:rPr>
                      <w:rFonts w:eastAsiaTheme="minorEastAsia"/>
                      <w:snapToGrid w:val="0"/>
                      <w:color w:val="auto"/>
                      <w:szCs w:val="21"/>
                    </w:rPr>
                  </w:pPr>
                </w:p>
              </w:tc>
              <w:tc>
                <w:tcPr>
                  <w:tcW w:w="529" w:type="dxa"/>
                  <w:vMerge w:val="continue"/>
                  <w:vAlign w:val="center"/>
                </w:tcPr>
                <w:p>
                  <w:pPr>
                    <w:spacing w:line="276" w:lineRule="auto"/>
                    <w:jc w:val="center"/>
                    <w:rPr>
                      <w:rFonts w:eastAsiaTheme="minorEastAsia"/>
                      <w:snapToGrid w:val="0"/>
                      <w:color w:val="auto"/>
                      <w:szCs w:val="21"/>
                    </w:rPr>
                  </w:pPr>
                </w:p>
              </w:tc>
              <w:tc>
                <w:tcPr>
                  <w:tcW w:w="870" w:type="dxa"/>
                  <w:vMerge w:val="continue"/>
                  <w:vAlign w:val="center"/>
                </w:tcPr>
                <w:p>
                  <w:pPr>
                    <w:spacing w:line="276" w:lineRule="auto"/>
                    <w:jc w:val="center"/>
                    <w:rPr>
                      <w:rFonts w:eastAsiaTheme="minorEastAsia"/>
                      <w:snapToGrid w:val="0"/>
                      <w:color w:val="auto"/>
                      <w:szCs w:val="21"/>
                    </w:rPr>
                  </w:pPr>
                </w:p>
              </w:tc>
              <w:tc>
                <w:tcPr>
                  <w:tcW w:w="780" w:type="dxa"/>
                  <w:vMerge w:val="continue"/>
                  <w:vAlign w:val="center"/>
                </w:tcPr>
                <w:p>
                  <w:pPr>
                    <w:spacing w:line="276" w:lineRule="auto"/>
                    <w:jc w:val="center"/>
                    <w:rPr>
                      <w:rFonts w:eastAsiaTheme="minorEastAsia"/>
                      <w:snapToGrid w:val="0"/>
                      <w:color w:val="auto"/>
                      <w:szCs w:val="21"/>
                    </w:rPr>
                  </w:pPr>
                </w:p>
              </w:tc>
              <w:tc>
                <w:tcPr>
                  <w:tcW w:w="855" w:type="dxa"/>
                  <w:vMerge w:val="continue"/>
                  <w:vAlign w:val="center"/>
                </w:tcPr>
                <w:p>
                  <w:pPr>
                    <w:spacing w:line="276" w:lineRule="auto"/>
                    <w:jc w:val="center"/>
                    <w:rPr>
                      <w:rFonts w:eastAsiaTheme="minorEastAsia"/>
                      <w:snapToGrid w:val="0"/>
                      <w:color w:val="auto"/>
                      <w:szCs w:val="21"/>
                    </w:rPr>
                  </w:pPr>
                </w:p>
              </w:tc>
              <w:tc>
                <w:tcPr>
                  <w:tcW w:w="720" w:type="dxa"/>
                  <w:vMerge w:val="continue"/>
                  <w:vAlign w:val="center"/>
                </w:tcPr>
                <w:p>
                  <w:pPr>
                    <w:spacing w:line="276" w:lineRule="auto"/>
                    <w:jc w:val="center"/>
                    <w:rPr>
                      <w:rFonts w:eastAsiaTheme="minorEastAsia"/>
                      <w:snapToGrid w:val="0"/>
                      <w:color w:val="auto"/>
                      <w:szCs w:val="21"/>
                    </w:rPr>
                  </w:pPr>
                </w:p>
              </w:tc>
              <w:tc>
                <w:tcPr>
                  <w:tcW w:w="1425" w:type="dxa"/>
                  <w:vMerge w:val="continue"/>
                  <w:vAlign w:val="center"/>
                </w:tcPr>
                <w:p>
                  <w:pPr>
                    <w:spacing w:line="276" w:lineRule="auto"/>
                    <w:jc w:val="center"/>
                    <w:rPr>
                      <w:rFonts w:eastAsiaTheme="minorEastAsia"/>
                      <w:snapToGrid w:val="0"/>
                      <w:color w:val="auto"/>
                      <w:szCs w:val="21"/>
                    </w:rPr>
                  </w:pPr>
                </w:p>
              </w:tc>
              <w:tc>
                <w:tcPr>
                  <w:tcW w:w="581" w:type="dxa"/>
                  <w:vMerge w:val="continue"/>
                  <w:vAlign w:val="center"/>
                </w:tcPr>
                <w:p>
                  <w:pPr>
                    <w:spacing w:line="276" w:lineRule="auto"/>
                    <w:jc w:val="center"/>
                    <w:rPr>
                      <w:rFonts w:eastAsiaTheme="minorEastAsia"/>
                      <w:snapToGrid w:val="0"/>
                      <w:color w:val="auto"/>
                      <w:szCs w:val="21"/>
                    </w:rPr>
                  </w:pPr>
                </w:p>
              </w:tc>
              <w:tc>
                <w:tcPr>
                  <w:tcW w:w="825" w:type="dxa"/>
                  <w:vMerge w:val="continue"/>
                  <w:vAlign w:val="center"/>
                </w:tcPr>
                <w:p>
                  <w:pPr>
                    <w:spacing w:line="276" w:lineRule="auto"/>
                    <w:jc w:val="center"/>
                    <w:rPr>
                      <w:rFonts w:eastAsiaTheme="minorEastAsia"/>
                      <w:snapToGrid w:val="0"/>
                      <w:color w:val="auto"/>
                      <w:szCs w:val="21"/>
                    </w:rPr>
                  </w:pPr>
                </w:p>
              </w:tc>
              <w:tc>
                <w:tcPr>
                  <w:tcW w:w="799" w:type="dxa"/>
                  <w:vAlign w:val="center"/>
                </w:tcPr>
                <w:p>
                  <w:pPr>
                    <w:spacing w:line="276" w:lineRule="auto"/>
                    <w:jc w:val="center"/>
                    <w:rPr>
                      <w:rFonts w:eastAsiaTheme="minorEastAsia"/>
                      <w:snapToGrid w:val="0"/>
                      <w:color w:val="auto"/>
                      <w:szCs w:val="21"/>
                    </w:rPr>
                  </w:pPr>
                  <w:r>
                    <w:rPr>
                      <w:rFonts w:eastAsiaTheme="minorEastAsia"/>
                      <w:snapToGrid w:val="0"/>
                      <w:color w:val="auto"/>
                      <w:szCs w:val="21"/>
                    </w:rPr>
                    <w:t>NH</w:t>
                  </w:r>
                  <w:r>
                    <w:rPr>
                      <w:rFonts w:eastAsiaTheme="minorEastAsia"/>
                      <w:snapToGrid w:val="0"/>
                      <w:color w:val="auto"/>
                      <w:szCs w:val="21"/>
                      <w:vertAlign w:val="subscript"/>
                    </w:rPr>
                    <w:t>3</w:t>
                  </w:r>
                  <w:r>
                    <w:rPr>
                      <w:rFonts w:eastAsiaTheme="minorEastAsia"/>
                      <w:snapToGrid w:val="0"/>
                      <w:color w:val="auto"/>
                      <w:szCs w:val="21"/>
                    </w:rPr>
                    <w:t>-N</w:t>
                  </w:r>
                </w:p>
              </w:tc>
              <w:tc>
                <w:tcPr>
                  <w:tcW w:w="1222" w:type="dxa"/>
                  <w:vAlign w:val="center"/>
                </w:tcPr>
                <w:p>
                  <w:pPr>
                    <w:spacing w:line="276" w:lineRule="auto"/>
                    <w:jc w:val="center"/>
                    <w:rPr>
                      <w:rFonts w:eastAsiaTheme="minorEastAsia"/>
                      <w:snapToGrid w:val="0"/>
                      <w:color w:val="auto"/>
                      <w:szCs w:val="21"/>
                    </w:rPr>
                  </w:pPr>
                  <w:r>
                    <w:rPr>
                      <w:rFonts w:hint="eastAsia" w:eastAsiaTheme="minorEastAsia"/>
                      <w:snapToGrid w:val="0"/>
                      <w:color w:val="auto"/>
                      <w:szCs w:val="21"/>
                    </w:rPr>
                    <w:t>5</w:t>
                  </w:r>
                </w:p>
              </w:tc>
            </w:tr>
          </w:tbl>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废水污染物排放执行标准表</w:t>
            </w:r>
          </w:p>
          <w:tbl>
            <w:tblPr>
              <w:tblStyle w:val="45"/>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52"/>
              <w:gridCol w:w="1446"/>
              <w:gridCol w:w="1284"/>
              <w:gridCol w:w="3651"/>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4" w:hRule="atLeast"/>
                <w:jc w:val="center"/>
              </w:trPr>
              <w:tc>
                <w:tcPr>
                  <w:tcW w:w="552" w:type="dxa"/>
                  <w:vMerge w:val="restart"/>
                  <w:vAlign w:val="center"/>
                </w:tcPr>
                <w:p>
                  <w:pPr>
                    <w:spacing w:line="276" w:lineRule="auto"/>
                    <w:jc w:val="center"/>
                    <w:rPr>
                      <w:rFonts w:eastAsiaTheme="minorEastAsia"/>
                      <w:color w:val="auto"/>
                      <w:szCs w:val="21"/>
                    </w:rPr>
                  </w:pPr>
                  <w:r>
                    <w:rPr>
                      <w:rFonts w:eastAsiaTheme="minorEastAsia"/>
                      <w:color w:val="auto"/>
                      <w:szCs w:val="21"/>
                    </w:rPr>
                    <w:t>序号</w:t>
                  </w:r>
                </w:p>
              </w:tc>
              <w:tc>
                <w:tcPr>
                  <w:tcW w:w="1446" w:type="dxa"/>
                  <w:vMerge w:val="restart"/>
                  <w:vAlign w:val="center"/>
                </w:tcPr>
                <w:p>
                  <w:pPr>
                    <w:spacing w:line="276" w:lineRule="auto"/>
                    <w:jc w:val="center"/>
                    <w:rPr>
                      <w:rFonts w:eastAsiaTheme="minorEastAsia"/>
                      <w:color w:val="auto"/>
                      <w:szCs w:val="21"/>
                    </w:rPr>
                  </w:pPr>
                  <w:r>
                    <w:rPr>
                      <w:rFonts w:eastAsiaTheme="minorEastAsia"/>
                      <w:color w:val="auto"/>
                      <w:szCs w:val="21"/>
                    </w:rPr>
                    <w:t>排放口</w:t>
                  </w:r>
                </w:p>
                <w:p>
                  <w:pPr>
                    <w:spacing w:line="276" w:lineRule="auto"/>
                    <w:jc w:val="center"/>
                    <w:rPr>
                      <w:rFonts w:eastAsiaTheme="minorEastAsia"/>
                      <w:color w:val="auto"/>
                      <w:szCs w:val="21"/>
                    </w:rPr>
                  </w:pPr>
                  <w:r>
                    <w:rPr>
                      <w:rFonts w:eastAsiaTheme="minorEastAsia"/>
                      <w:color w:val="auto"/>
                      <w:szCs w:val="21"/>
                    </w:rPr>
                    <w:t>编号</w:t>
                  </w:r>
                </w:p>
              </w:tc>
              <w:tc>
                <w:tcPr>
                  <w:tcW w:w="1284" w:type="dxa"/>
                  <w:vMerge w:val="restart"/>
                  <w:vAlign w:val="center"/>
                </w:tcPr>
                <w:p>
                  <w:pPr>
                    <w:spacing w:line="276" w:lineRule="auto"/>
                    <w:jc w:val="center"/>
                    <w:rPr>
                      <w:rFonts w:eastAsiaTheme="minorEastAsia"/>
                      <w:color w:val="auto"/>
                      <w:szCs w:val="21"/>
                    </w:rPr>
                  </w:pPr>
                  <w:r>
                    <w:rPr>
                      <w:rFonts w:eastAsiaTheme="minorEastAsia"/>
                      <w:color w:val="auto"/>
                      <w:szCs w:val="21"/>
                    </w:rPr>
                    <w:t>污染物种类</w:t>
                  </w:r>
                </w:p>
              </w:tc>
              <w:tc>
                <w:tcPr>
                  <w:tcW w:w="5734" w:type="dxa"/>
                  <w:gridSpan w:val="2"/>
                  <w:vMerge w:val="restart"/>
                  <w:vAlign w:val="center"/>
                </w:tcPr>
                <w:p>
                  <w:pPr>
                    <w:spacing w:line="276" w:lineRule="auto"/>
                    <w:jc w:val="center"/>
                    <w:rPr>
                      <w:rFonts w:eastAsiaTheme="minorEastAsia"/>
                      <w:color w:val="auto"/>
                      <w:szCs w:val="21"/>
                    </w:rPr>
                  </w:pPr>
                  <w:r>
                    <w:rPr>
                      <w:rFonts w:eastAsiaTheme="minorEastAsia"/>
                      <w:color w:val="auto"/>
                      <w:szCs w:val="21"/>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spacing w:line="276" w:lineRule="auto"/>
                    <w:jc w:val="center"/>
                    <w:rPr>
                      <w:rFonts w:eastAsiaTheme="minorEastAsia"/>
                      <w:color w:val="auto"/>
                      <w:szCs w:val="21"/>
                    </w:rPr>
                  </w:pPr>
                </w:p>
              </w:tc>
              <w:tc>
                <w:tcPr>
                  <w:tcW w:w="1446" w:type="dxa"/>
                  <w:vMerge w:val="continue"/>
                  <w:vAlign w:val="center"/>
                </w:tcPr>
                <w:p>
                  <w:pPr>
                    <w:spacing w:line="276" w:lineRule="auto"/>
                    <w:jc w:val="center"/>
                    <w:rPr>
                      <w:rFonts w:eastAsiaTheme="minorEastAsia"/>
                      <w:color w:val="auto"/>
                      <w:szCs w:val="21"/>
                    </w:rPr>
                  </w:pPr>
                </w:p>
              </w:tc>
              <w:tc>
                <w:tcPr>
                  <w:tcW w:w="1284" w:type="dxa"/>
                  <w:vMerge w:val="continue"/>
                  <w:vAlign w:val="center"/>
                </w:tcPr>
                <w:p>
                  <w:pPr>
                    <w:spacing w:line="276" w:lineRule="auto"/>
                    <w:jc w:val="center"/>
                    <w:rPr>
                      <w:rFonts w:eastAsiaTheme="minorEastAsia"/>
                      <w:color w:val="auto"/>
                      <w:szCs w:val="21"/>
                    </w:rPr>
                  </w:pPr>
                </w:p>
              </w:tc>
              <w:tc>
                <w:tcPr>
                  <w:tcW w:w="5734" w:type="dxa"/>
                  <w:gridSpan w:val="2"/>
                  <w:vMerge w:val="continue"/>
                  <w:vAlign w:val="center"/>
                </w:tcPr>
                <w:p>
                  <w:pPr>
                    <w:spacing w:line="276" w:lineRule="auto"/>
                    <w:jc w:val="center"/>
                    <w:rPr>
                      <w:rFonts w:eastAsiaTheme="minorEastAsia"/>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552" w:type="dxa"/>
                  <w:vMerge w:val="continue"/>
                  <w:vAlign w:val="center"/>
                </w:tcPr>
                <w:p>
                  <w:pPr>
                    <w:spacing w:line="276" w:lineRule="auto"/>
                    <w:jc w:val="center"/>
                    <w:rPr>
                      <w:rFonts w:eastAsiaTheme="minorEastAsia"/>
                      <w:color w:val="auto"/>
                      <w:szCs w:val="21"/>
                    </w:rPr>
                  </w:pPr>
                </w:p>
              </w:tc>
              <w:tc>
                <w:tcPr>
                  <w:tcW w:w="1446" w:type="dxa"/>
                  <w:vMerge w:val="continue"/>
                  <w:vAlign w:val="center"/>
                </w:tcPr>
                <w:p>
                  <w:pPr>
                    <w:spacing w:line="276" w:lineRule="auto"/>
                    <w:jc w:val="center"/>
                    <w:rPr>
                      <w:rFonts w:eastAsiaTheme="minorEastAsia"/>
                      <w:color w:val="auto"/>
                      <w:szCs w:val="21"/>
                    </w:rPr>
                  </w:pPr>
                </w:p>
              </w:tc>
              <w:tc>
                <w:tcPr>
                  <w:tcW w:w="1284" w:type="dxa"/>
                  <w:vMerge w:val="continue"/>
                  <w:vAlign w:val="center"/>
                </w:tcPr>
                <w:p>
                  <w:pPr>
                    <w:spacing w:line="276" w:lineRule="auto"/>
                    <w:jc w:val="center"/>
                    <w:rPr>
                      <w:rFonts w:eastAsiaTheme="minorEastAsia"/>
                      <w:color w:val="auto"/>
                      <w:szCs w:val="21"/>
                    </w:rPr>
                  </w:pPr>
                </w:p>
              </w:tc>
              <w:tc>
                <w:tcPr>
                  <w:tcW w:w="3651" w:type="dxa"/>
                  <w:vAlign w:val="center"/>
                </w:tcPr>
                <w:p>
                  <w:pPr>
                    <w:spacing w:line="276" w:lineRule="auto"/>
                    <w:jc w:val="center"/>
                    <w:rPr>
                      <w:rFonts w:eastAsiaTheme="minorEastAsia"/>
                      <w:color w:val="auto"/>
                      <w:szCs w:val="21"/>
                    </w:rPr>
                  </w:pPr>
                  <w:r>
                    <w:rPr>
                      <w:rFonts w:eastAsiaTheme="minorEastAsia"/>
                      <w:color w:val="auto"/>
                      <w:szCs w:val="21"/>
                    </w:rPr>
                    <w:t>名称</w:t>
                  </w:r>
                </w:p>
              </w:tc>
              <w:tc>
                <w:tcPr>
                  <w:tcW w:w="2083" w:type="dxa"/>
                  <w:vAlign w:val="center"/>
                </w:tcPr>
                <w:p>
                  <w:pPr>
                    <w:spacing w:line="276" w:lineRule="auto"/>
                    <w:jc w:val="center"/>
                    <w:rPr>
                      <w:rFonts w:eastAsiaTheme="minorEastAsia"/>
                      <w:color w:val="auto"/>
                      <w:szCs w:val="21"/>
                    </w:rPr>
                  </w:pPr>
                  <w:r>
                    <w:rPr>
                      <w:rFonts w:eastAsiaTheme="minorEastAsia"/>
                      <w:color w:val="auto"/>
                      <w:szCs w:val="21"/>
                    </w:rPr>
                    <w:t>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0" w:hRule="atLeast"/>
                <w:jc w:val="center"/>
              </w:trPr>
              <w:tc>
                <w:tcPr>
                  <w:tcW w:w="552" w:type="dxa"/>
                  <w:vMerge w:val="restart"/>
                  <w:vAlign w:val="center"/>
                </w:tcPr>
                <w:p>
                  <w:pPr>
                    <w:spacing w:line="276" w:lineRule="auto"/>
                    <w:jc w:val="center"/>
                    <w:rPr>
                      <w:rFonts w:eastAsiaTheme="minorEastAsia"/>
                      <w:color w:val="auto"/>
                      <w:szCs w:val="21"/>
                    </w:rPr>
                  </w:pPr>
                  <w:r>
                    <w:rPr>
                      <w:rFonts w:eastAsiaTheme="minorEastAsia"/>
                      <w:color w:val="auto"/>
                      <w:szCs w:val="21"/>
                    </w:rPr>
                    <w:t>1</w:t>
                  </w:r>
                </w:p>
              </w:tc>
              <w:tc>
                <w:tcPr>
                  <w:tcW w:w="1446" w:type="dxa"/>
                  <w:vMerge w:val="restart"/>
                  <w:vAlign w:val="center"/>
                </w:tcPr>
                <w:p>
                  <w:pPr>
                    <w:spacing w:line="276" w:lineRule="auto"/>
                    <w:jc w:val="center"/>
                    <w:rPr>
                      <w:rFonts w:eastAsiaTheme="minorEastAsia"/>
                      <w:color w:val="auto"/>
                      <w:szCs w:val="21"/>
                    </w:rPr>
                  </w:pPr>
                  <w:r>
                    <w:rPr>
                      <w:rFonts w:eastAsiaTheme="minorEastAsia"/>
                      <w:color w:val="auto"/>
                      <w:szCs w:val="21"/>
                    </w:rPr>
                    <w:t>WS-01</w:t>
                  </w:r>
                </w:p>
              </w:tc>
              <w:tc>
                <w:tcPr>
                  <w:tcW w:w="1284" w:type="dxa"/>
                  <w:vAlign w:val="center"/>
                </w:tcPr>
                <w:p>
                  <w:pPr>
                    <w:spacing w:line="276" w:lineRule="auto"/>
                    <w:jc w:val="center"/>
                    <w:rPr>
                      <w:rFonts w:eastAsiaTheme="minorEastAsia"/>
                      <w:color w:val="auto"/>
                      <w:szCs w:val="21"/>
                    </w:rPr>
                  </w:pPr>
                  <w:r>
                    <w:rPr>
                      <w:rFonts w:eastAsiaTheme="minorEastAsia"/>
                      <w:color w:val="auto"/>
                      <w:szCs w:val="21"/>
                    </w:rPr>
                    <w:t>pH</w:t>
                  </w:r>
                </w:p>
              </w:tc>
              <w:tc>
                <w:tcPr>
                  <w:tcW w:w="3651" w:type="dxa"/>
                  <w:vMerge w:val="restart"/>
                  <w:vAlign w:val="center"/>
                </w:tcPr>
                <w:p>
                  <w:pPr>
                    <w:spacing w:line="276" w:lineRule="auto"/>
                    <w:jc w:val="center"/>
                    <w:rPr>
                      <w:rFonts w:eastAsiaTheme="minorEastAsia"/>
                      <w:color w:val="auto"/>
                      <w:szCs w:val="21"/>
                    </w:rPr>
                  </w:pPr>
                  <w:r>
                    <w:rPr>
                      <w:rStyle w:val="50"/>
                      <w:color w:val="auto"/>
                    </w:rPr>
                    <w:t>广东省地方标准《水污染物排放限值》（DB44/26-2001）第二时段三级标准和《污水排入城镇下水道水质标准》（CJ343-2010）较严者</w:t>
                  </w:r>
                </w:p>
              </w:tc>
              <w:tc>
                <w:tcPr>
                  <w:tcW w:w="2083" w:type="dxa"/>
                  <w:vAlign w:val="center"/>
                </w:tcPr>
                <w:p>
                  <w:pPr>
                    <w:spacing w:line="276" w:lineRule="auto"/>
                    <w:jc w:val="center"/>
                    <w:rPr>
                      <w:rFonts w:eastAsiaTheme="minorEastAsia"/>
                      <w:color w:val="auto"/>
                      <w:szCs w:val="21"/>
                    </w:rPr>
                  </w:pPr>
                  <w:r>
                    <w:rPr>
                      <w:rFonts w:eastAsiaTheme="minorEastAsia"/>
                      <w:color w:val="auto"/>
                      <w:szCs w:val="21"/>
                    </w:rPr>
                    <w:t>6.0~9.0</w:t>
                  </w:r>
                </w:p>
                <w:p>
                  <w:pPr>
                    <w:spacing w:line="276" w:lineRule="auto"/>
                    <w:jc w:val="center"/>
                    <w:rPr>
                      <w:rFonts w:eastAsiaTheme="minorEastAsia"/>
                      <w:color w:val="auto"/>
                      <w:szCs w:val="21"/>
                    </w:rPr>
                  </w:pPr>
                  <w:r>
                    <w:rPr>
                      <w:rFonts w:eastAsiaTheme="minorEastAsia"/>
                      <w:color w:val="auto"/>
                      <w:szCs w:val="21"/>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7" w:hRule="atLeast"/>
                <w:jc w:val="center"/>
              </w:trPr>
              <w:tc>
                <w:tcPr>
                  <w:tcW w:w="552" w:type="dxa"/>
                  <w:vMerge w:val="continue"/>
                  <w:vAlign w:val="center"/>
                </w:tcPr>
                <w:p>
                  <w:pPr>
                    <w:spacing w:line="276" w:lineRule="auto"/>
                    <w:jc w:val="center"/>
                    <w:rPr>
                      <w:rFonts w:eastAsiaTheme="minorEastAsia"/>
                      <w:color w:val="auto"/>
                      <w:szCs w:val="21"/>
                    </w:rPr>
                  </w:pPr>
                </w:p>
              </w:tc>
              <w:tc>
                <w:tcPr>
                  <w:tcW w:w="1446" w:type="dxa"/>
                  <w:vMerge w:val="continue"/>
                  <w:vAlign w:val="center"/>
                </w:tcPr>
                <w:p>
                  <w:pPr>
                    <w:spacing w:line="276" w:lineRule="auto"/>
                    <w:jc w:val="center"/>
                    <w:rPr>
                      <w:rFonts w:eastAsiaTheme="minorEastAsia"/>
                      <w:color w:val="auto"/>
                      <w:szCs w:val="21"/>
                    </w:rPr>
                  </w:pPr>
                </w:p>
              </w:tc>
              <w:tc>
                <w:tcPr>
                  <w:tcW w:w="1284" w:type="dxa"/>
                  <w:vAlign w:val="center"/>
                </w:tcPr>
                <w:p>
                  <w:pPr>
                    <w:spacing w:line="276" w:lineRule="auto"/>
                    <w:jc w:val="center"/>
                    <w:rPr>
                      <w:rFonts w:eastAsiaTheme="minorEastAsia"/>
                      <w:color w:val="auto"/>
                      <w:szCs w:val="21"/>
                    </w:rPr>
                  </w:pPr>
                  <w:r>
                    <w:rPr>
                      <w:rFonts w:eastAsiaTheme="minorEastAsia"/>
                      <w:color w:val="auto"/>
                      <w:szCs w:val="21"/>
                    </w:rPr>
                    <w:t>COD</w:t>
                  </w:r>
                  <w:r>
                    <w:rPr>
                      <w:rFonts w:eastAsiaTheme="minorEastAsia"/>
                      <w:color w:val="auto"/>
                      <w:szCs w:val="21"/>
                      <w:vertAlign w:val="subscript"/>
                    </w:rPr>
                    <w:t>Cr</w:t>
                  </w:r>
                </w:p>
              </w:tc>
              <w:tc>
                <w:tcPr>
                  <w:tcW w:w="3651" w:type="dxa"/>
                  <w:vMerge w:val="continue"/>
                  <w:vAlign w:val="center"/>
                </w:tcPr>
                <w:p>
                  <w:pPr>
                    <w:spacing w:line="276" w:lineRule="auto"/>
                    <w:jc w:val="center"/>
                    <w:rPr>
                      <w:rFonts w:eastAsiaTheme="minorEastAsia"/>
                      <w:color w:val="auto"/>
                      <w:szCs w:val="21"/>
                    </w:rPr>
                  </w:pPr>
                </w:p>
              </w:tc>
              <w:tc>
                <w:tcPr>
                  <w:tcW w:w="2083" w:type="dxa"/>
                  <w:vAlign w:val="center"/>
                </w:tcPr>
                <w:p>
                  <w:pPr>
                    <w:spacing w:line="276" w:lineRule="auto"/>
                    <w:jc w:val="center"/>
                    <w:rPr>
                      <w:rFonts w:eastAsiaTheme="minorEastAsia"/>
                      <w:color w:val="auto"/>
                      <w:szCs w:val="21"/>
                    </w:rPr>
                  </w:pPr>
                  <w:r>
                    <w:rPr>
                      <w:rFonts w:eastAsiaTheme="minorEastAsia"/>
                      <w:color w:val="auto"/>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spacing w:line="276" w:lineRule="auto"/>
                    <w:jc w:val="center"/>
                    <w:rPr>
                      <w:rFonts w:eastAsiaTheme="minorEastAsia"/>
                      <w:color w:val="auto"/>
                      <w:szCs w:val="21"/>
                    </w:rPr>
                  </w:pPr>
                </w:p>
              </w:tc>
              <w:tc>
                <w:tcPr>
                  <w:tcW w:w="1446" w:type="dxa"/>
                  <w:vMerge w:val="continue"/>
                  <w:vAlign w:val="center"/>
                </w:tcPr>
                <w:p>
                  <w:pPr>
                    <w:spacing w:line="276" w:lineRule="auto"/>
                    <w:jc w:val="center"/>
                    <w:rPr>
                      <w:rFonts w:eastAsiaTheme="minorEastAsia"/>
                      <w:color w:val="auto"/>
                      <w:szCs w:val="21"/>
                    </w:rPr>
                  </w:pPr>
                </w:p>
              </w:tc>
              <w:tc>
                <w:tcPr>
                  <w:tcW w:w="1284" w:type="dxa"/>
                  <w:vAlign w:val="center"/>
                </w:tcPr>
                <w:p>
                  <w:pPr>
                    <w:spacing w:line="276" w:lineRule="auto"/>
                    <w:jc w:val="center"/>
                    <w:rPr>
                      <w:rFonts w:eastAsiaTheme="minorEastAsia"/>
                      <w:color w:val="auto"/>
                      <w:szCs w:val="21"/>
                    </w:rPr>
                  </w:pPr>
                  <w:r>
                    <w:rPr>
                      <w:rFonts w:eastAsiaTheme="minorEastAsia"/>
                      <w:color w:val="auto"/>
                      <w:szCs w:val="21"/>
                    </w:rPr>
                    <w:t>BOD</w:t>
                  </w:r>
                  <w:r>
                    <w:rPr>
                      <w:rFonts w:eastAsiaTheme="minorEastAsia"/>
                      <w:color w:val="auto"/>
                      <w:szCs w:val="21"/>
                      <w:vertAlign w:val="subscript"/>
                    </w:rPr>
                    <w:t>5</w:t>
                  </w:r>
                </w:p>
              </w:tc>
              <w:tc>
                <w:tcPr>
                  <w:tcW w:w="3651" w:type="dxa"/>
                  <w:vMerge w:val="continue"/>
                  <w:vAlign w:val="center"/>
                </w:tcPr>
                <w:p>
                  <w:pPr>
                    <w:spacing w:line="276" w:lineRule="auto"/>
                    <w:jc w:val="center"/>
                    <w:rPr>
                      <w:rFonts w:eastAsiaTheme="minorEastAsia"/>
                      <w:color w:val="auto"/>
                      <w:szCs w:val="21"/>
                    </w:rPr>
                  </w:pPr>
                </w:p>
              </w:tc>
              <w:tc>
                <w:tcPr>
                  <w:tcW w:w="2083" w:type="dxa"/>
                  <w:vAlign w:val="center"/>
                </w:tcPr>
                <w:p>
                  <w:pPr>
                    <w:spacing w:line="276" w:lineRule="auto"/>
                    <w:jc w:val="center"/>
                    <w:rPr>
                      <w:rFonts w:eastAsiaTheme="minorEastAsia"/>
                      <w:color w:val="auto"/>
                      <w:szCs w:val="21"/>
                    </w:rPr>
                  </w:pPr>
                  <w:r>
                    <w:rPr>
                      <w:rFonts w:eastAsiaTheme="minorEastAsia"/>
                      <w:color w:val="auto"/>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spacing w:line="276" w:lineRule="auto"/>
                    <w:jc w:val="center"/>
                    <w:rPr>
                      <w:rFonts w:eastAsiaTheme="minorEastAsia"/>
                      <w:color w:val="auto"/>
                      <w:szCs w:val="21"/>
                    </w:rPr>
                  </w:pPr>
                </w:p>
              </w:tc>
              <w:tc>
                <w:tcPr>
                  <w:tcW w:w="1446" w:type="dxa"/>
                  <w:vMerge w:val="continue"/>
                  <w:vAlign w:val="center"/>
                </w:tcPr>
                <w:p>
                  <w:pPr>
                    <w:spacing w:line="276" w:lineRule="auto"/>
                    <w:jc w:val="center"/>
                    <w:rPr>
                      <w:rFonts w:eastAsiaTheme="minorEastAsia"/>
                      <w:color w:val="auto"/>
                      <w:szCs w:val="21"/>
                    </w:rPr>
                  </w:pPr>
                </w:p>
              </w:tc>
              <w:tc>
                <w:tcPr>
                  <w:tcW w:w="1284" w:type="dxa"/>
                  <w:vAlign w:val="center"/>
                </w:tcPr>
                <w:p>
                  <w:pPr>
                    <w:spacing w:line="276" w:lineRule="auto"/>
                    <w:jc w:val="center"/>
                    <w:rPr>
                      <w:rFonts w:eastAsiaTheme="minorEastAsia"/>
                      <w:color w:val="auto"/>
                      <w:szCs w:val="21"/>
                    </w:rPr>
                  </w:pPr>
                  <w:r>
                    <w:rPr>
                      <w:rFonts w:eastAsiaTheme="minorEastAsia"/>
                      <w:color w:val="auto"/>
                      <w:szCs w:val="21"/>
                    </w:rPr>
                    <w:t>SS</w:t>
                  </w:r>
                </w:p>
              </w:tc>
              <w:tc>
                <w:tcPr>
                  <w:tcW w:w="3651" w:type="dxa"/>
                  <w:vMerge w:val="continue"/>
                  <w:vAlign w:val="center"/>
                </w:tcPr>
                <w:p>
                  <w:pPr>
                    <w:spacing w:line="276" w:lineRule="auto"/>
                    <w:jc w:val="center"/>
                    <w:rPr>
                      <w:rFonts w:eastAsiaTheme="minorEastAsia"/>
                      <w:color w:val="auto"/>
                      <w:szCs w:val="21"/>
                    </w:rPr>
                  </w:pPr>
                </w:p>
              </w:tc>
              <w:tc>
                <w:tcPr>
                  <w:tcW w:w="2083" w:type="dxa"/>
                  <w:vAlign w:val="center"/>
                </w:tcPr>
                <w:p>
                  <w:pPr>
                    <w:spacing w:line="276" w:lineRule="auto"/>
                    <w:jc w:val="center"/>
                    <w:rPr>
                      <w:rFonts w:eastAsiaTheme="minorEastAsia"/>
                      <w:color w:val="auto"/>
                      <w:szCs w:val="21"/>
                    </w:rPr>
                  </w:pPr>
                  <w:r>
                    <w:rPr>
                      <w:rFonts w:eastAsiaTheme="minorEastAsia"/>
                      <w:color w:val="auto"/>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7" w:hRule="atLeast"/>
                <w:jc w:val="center"/>
              </w:trPr>
              <w:tc>
                <w:tcPr>
                  <w:tcW w:w="552" w:type="dxa"/>
                  <w:vMerge w:val="continue"/>
                  <w:vAlign w:val="center"/>
                </w:tcPr>
                <w:p>
                  <w:pPr>
                    <w:spacing w:line="276" w:lineRule="auto"/>
                    <w:jc w:val="center"/>
                    <w:rPr>
                      <w:rFonts w:eastAsiaTheme="minorEastAsia"/>
                      <w:color w:val="auto"/>
                      <w:szCs w:val="21"/>
                    </w:rPr>
                  </w:pPr>
                </w:p>
              </w:tc>
              <w:tc>
                <w:tcPr>
                  <w:tcW w:w="1446" w:type="dxa"/>
                  <w:vMerge w:val="continue"/>
                  <w:vAlign w:val="center"/>
                </w:tcPr>
                <w:p>
                  <w:pPr>
                    <w:spacing w:line="276" w:lineRule="auto"/>
                    <w:jc w:val="center"/>
                    <w:rPr>
                      <w:rFonts w:eastAsiaTheme="minorEastAsia"/>
                      <w:color w:val="auto"/>
                      <w:szCs w:val="21"/>
                    </w:rPr>
                  </w:pPr>
                </w:p>
              </w:tc>
              <w:tc>
                <w:tcPr>
                  <w:tcW w:w="1284" w:type="dxa"/>
                  <w:vAlign w:val="center"/>
                </w:tcPr>
                <w:p>
                  <w:pPr>
                    <w:spacing w:line="276" w:lineRule="auto"/>
                    <w:jc w:val="center"/>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r>
                    <w:rPr>
                      <w:rFonts w:eastAsiaTheme="minorEastAsia"/>
                      <w:color w:val="auto"/>
                      <w:szCs w:val="21"/>
                    </w:rPr>
                    <w:t>-N</w:t>
                  </w:r>
                </w:p>
              </w:tc>
              <w:tc>
                <w:tcPr>
                  <w:tcW w:w="3651" w:type="dxa"/>
                  <w:vMerge w:val="continue"/>
                  <w:vAlign w:val="center"/>
                </w:tcPr>
                <w:p>
                  <w:pPr>
                    <w:spacing w:line="276" w:lineRule="auto"/>
                    <w:jc w:val="center"/>
                    <w:rPr>
                      <w:rFonts w:eastAsiaTheme="minorEastAsia"/>
                      <w:color w:val="auto"/>
                      <w:szCs w:val="21"/>
                    </w:rPr>
                  </w:pPr>
                </w:p>
              </w:tc>
              <w:tc>
                <w:tcPr>
                  <w:tcW w:w="2083" w:type="dxa"/>
                  <w:vAlign w:val="center"/>
                </w:tcPr>
                <w:p>
                  <w:pPr>
                    <w:spacing w:line="276" w:lineRule="auto"/>
                    <w:jc w:val="center"/>
                    <w:rPr>
                      <w:rFonts w:eastAsiaTheme="minorEastAsia"/>
                      <w:color w:val="auto"/>
                      <w:szCs w:val="21"/>
                    </w:rPr>
                  </w:pPr>
                  <w:r>
                    <w:rPr>
                      <w:rFonts w:eastAsiaTheme="minorEastAsia"/>
                      <w:color w:val="auto"/>
                      <w:szCs w:val="21"/>
                    </w:rPr>
                    <w:t>45</w:t>
                  </w:r>
                </w:p>
              </w:tc>
            </w:tr>
          </w:tbl>
          <w:p>
            <w:pPr>
              <w:pStyle w:val="138"/>
              <w:numPr>
                <w:ilvl w:val="0"/>
                <w:numId w:val="5"/>
              </w:numPr>
              <w:tabs>
                <w:tab w:val="left" w:pos="420"/>
              </w:tabs>
              <w:spacing w:line="360" w:lineRule="auto"/>
              <w:ind w:left="0" w:firstLine="471"/>
              <w:rPr>
                <w:rFonts w:eastAsia="宋体" w:cs="Times New Roman"/>
                <w:b/>
                <w:color w:val="auto"/>
                <w:sz w:val="21"/>
                <w:szCs w:val="21"/>
                <w:lang w:val="en-GB" w:eastAsia="zh-TW"/>
              </w:rPr>
            </w:pPr>
            <w:r>
              <w:rPr>
                <w:rFonts w:cs="Times New Roman" w:eastAsiaTheme="minorEastAsia"/>
                <w:color w:val="auto"/>
                <w:szCs w:val="24"/>
              </w:rPr>
              <w:t xml:space="preserve"> </w:t>
            </w:r>
            <w:r>
              <w:rPr>
                <w:rFonts w:eastAsia="宋体" w:cs="Times New Roman"/>
                <w:b/>
                <w:color w:val="auto"/>
                <w:sz w:val="21"/>
                <w:szCs w:val="21"/>
                <w:lang w:val="en-GB" w:eastAsia="zh-TW"/>
              </w:rPr>
              <w:t>废水污染物排放信息表</w:t>
            </w:r>
          </w:p>
          <w:tbl>
            <w:tblPr>
              <w:tblStyle w:val="45"/>
              <w:tblW w:w="90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9"/>
              <w:gridCol w:w="1769"/>
              <w:gridCol w:w="1769"/>
              <w:gridCol w:w="1554"/>
              <w:gridCol w:w="1560"/>
              <w:gridCol w:w="14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9" w:type="dxa"/>
                  <w:vAlign w:val="center"/>
                </w:tcPr>
                <w:p>
                  <w:pPr>
                    <w:spacing w:line="276" w:lineRule="auto"/>
                    <w:jc w:val="center"/>
                    <w:rPr>
                      <w:rFonts w:eastAsiaTheme="minorEastAsia"/>
                      <w:color w:val="auto"/>
                      <w:szCs w:val="21"/>
                    </w:rPr>
                  </w:pPr>
                  <w:r>
                    <w:rPr>
                      <w:rFonts w:eastAsiaTheme="minorEastAsia"/>
                      <w:color w:val="auto"/>
                      <w:szCs w:val="21"/>
                    </w:rPr>
                    <w:t>序号</w:t>
                  </w:r>
                </w:p>
              </w:tc>
              <w:tc>
                <w:tcPr>
                  <w:tcW w:w="1769" w:type="dxa"/>
                  <w:vAlign w:val="center"/>
                </w:tcPr>
                <w:p>
                  <w:pPr>
                    <w:spacing w:line="276" w:lineRule="auto"/>
                    <w:jc w:val="center"/>
                    <w:rPr>
                      <w:rFonts w:eastAsiaTheme="minorEastAsia"/>
                      <w:color w:val="auto"/>
                      <w:szCs w:val="21"/>
                    </w:rPr>
                  </w:pPr>
                  <w:r>
                    <w:rPr>
                      <w:rFonts w:eastAsiaTheme="minorEastAsia"/>
                      <w:color w:val="auto"/>
                      <w:szCs w:val="21"/>
                    </w:rPr>
                    <w:t>排放口编号</w:t>
                  </w:r>
                </w:p>
              </w:tc>
              <w:tc>
                <w:tcPr>
                  <w:tcW w:w="1769" w:type="dxa"/>
                  <w:vAlign w:val="center"/>
                </w:tcPr>
                <w:p>
                  <w:pPr>
                    <w:spacing w:line="276" w:lineRule="auto"/>
                    <w:jc w:val="center"/>
                    <w:rPr>
                      <w:rFonts w:eastAsiaTheme="minorEastAsia"/>
                      <w:color w:val="auto"/>
                      <w:szCs w:val="21"/>
                    </w:rPr>
                  </w:pPr>
                  <w:r>
                    <w:rPr>
                      <w:rFonts w:eastAsiaTheme="minorEastAsia"/>
                      <w:color w:val="auto"/>
                      <w:szCs w:val="21"/>
                    </w:rPr>
                    <w:t>污染物种类</w:t>
                  </w:r>
                </w:p>
              </w:tc>
              <w:tc>
                <w:tcPr>
                  <w:tcW w:w="1554" w:type="dxa"/>
                  <w:vAlign w:val="center"/>
                </w:tcPr>
                <w:p>
                  <w:pPr>
                    <w:spacing w:line="276" w:lineRule="auto"/>
                    <w:jc w:val="center"/>
                    <w:rPr>
                      <w:rFonts w:eastAsiaTheme="minorEastAsia"/>
                      <w:color w:val="auto"/>
                      <w:szCs w:val="21"/>
                    </w:rPr>
                  </w:pPr>
                  <w:r>
                    <w:rPr>
                      <w:rFonts w:eastAsiaTheme="minorEastAsia"/>
                      <w:color w:val="auto"/>
                      <w:szCs w:val="21"/>
                    </w:rPr>
                    <w:t>排放浓度</w:t>
                  </w:r>
                </w:p>
                <w:p>
                  <w:pPr>
                    <w:spacing w:line="276" w:lineRule="auto"/>
                    <w:jc w:val="center"/>
                    <w:rPr>
                      <w:rFonts w:eastAsiaTheme="minorEastAsia"/>
                      <w:color w:val="auto"/>
                      <w:szCs w:val="21"/>
                    </w:rPr>
                  </w:pPr>
                  <w:r>
                    <w:rPr>
                      <w:rFonts w:eastAsiaTheme="minorEastAsia"/>
                      <w:color w:val="auto"/>
                      <w:szCs w:val="21"/>
                    </w:rPr>
                    <w:t>（mg/L）</w:t>
                  </w:r>
                </w:p>
              </w:tc>
              <w:tc>
                <w:tcPr>
                  <w:tcW w:w="1560" w:type="dxa"/>
                  <w:vAlign w:val="center"/>
                </w:tcPr>
                <w:p>
                  <w:pPr>
                    <w:spacing w:line="276" w:lineRule="auto"/>
                    <w:jc w:val="center"/>
                    <w:rPr>
                      <w:rFonts w:eastAsiaTheme="minorEastAsia"/>
                      <w:color w:val="auto"/>
                      <w:szCs w:val="21"/>
                    </w:rPr>
                  </w:pPr>
                  <w:r>
                    <w:rPr>
                      <w:rFonts w:eastAsiaTheme="minorEastAsia"/>
                      <w:color w:val="auto"/>
                      <w:szCs w:val="21"/>
                    </w:rPr>
                    <w:t>日排放量</w:t>
                  </w:r>
                </w:p>
                <w:p>
                  <w:pPr>
                    <w:spacing w:line="276" w:lineRule="auto"/>
                    <w:jc w:val="center"/>
                    <w:rPr>
                      <w:rFonts w:eastAsiaTheme="minorEastAsia"/>
                      <w:color w:val="auto"/>
                      <w:szCs w:val="21"/>
                    </w:rPr>
                  </w:pPr>
                  <w:r>
                    <w:rPr>
                      <w:rFonts w:eastAsiaTheme="minorEastAsia"/>
                      <w:color w:val="auto"/>
                      <w:szCs w:val="21"/>
                    </w:rPr>
                    <w:t>（t/d）</w:t>
                  </w:r>
                </w:p>
              </w:tc>
              <w:tc>
                <w:tcPr>
                  <w:tcW w:w="1475" w:type="dxa"/>
                  <w:vAlign w:val="center"/>
                </w:tcPr>
                <w:p>
                  <w:pPr>
                    <w:spacing w:line="276" w:lineRule="auto"/>
                    <w:jc w:val="center"/>
                    <w:rPr>
                      <w:rFonts w:eastAsiaTheme="minorEastAsia"/>
                      <w:color w:val="auto"/>
                      <w:szCs w:val="21"/>
                    </w:rPr>
                  </w:pPr>
                  <w:r>
                    <w:rPr>
                      <w:rFonts w:eastAsiaTheme="minorEastAsia"/>
                      <w:color w:val="auto"/>
                      <w:szCs w:val="21"/>
                    </w:rPr>
                    <w:t>年排放量</w:t>
                  </w:r>
                </w:p>
                <w:p>
                  <w:pPr>
                    <w:spacing w:line="276" w:lineRule="auto"/>
                    <w:jc w:val="center"/>
                    <w:rPr>
                      <w:rFonts w:eastAsiaTheme="minorEastAsia"/>
                      <w:color w:val="auto"/>
                      <w:szCs w:val="21"/>
                    </w:rPr>
                  </w:pPr>
                  <w:r>
                    <w:rPr>
                      <w:rFonts w:eastAsiaTheme="minorEastAsia"/>
                      <w:color w:val="auto"/>
                      <w:szCs w:val="21"/>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7" w:hRule="atLeast"/>
                <w:jc w:val="center"/>
              </w:trPr>
              <w:tc>
                <w:tcPr>
                  <w:tcW w:w="889" w:type="dxa"/>
                  <w:vMerge w:val="restart"/>
                  <w:vAlign w:val="center"/>
                </w:tcPr>
                <w:p>
                  <w:pPr>
                    <w:spacing w:line="276" w:lineRule="auto"/>
                    <w:jc w:val="center"/>
                    <w:rPr>
                      <w:rFonts w:eastAsiaTheme="minorEastAsia"/>
                      <w:color w:val="auto"/>
                      <w:szCs w:val="21"/>
                    </w:rPr>
                  </w:pPr>
                  <w:r>
                    <w:rPr>
                      <w:rFonts w:eastAsiaTheme="minorEastAsia"/>
                      <w:color w:val="auto"/>
                      <w:szCs w:val="21"/>
                    </w:rPr>
                    <w:t>1</w:t>
                  </w:r>
                </w:p>
              </w:tc>
              <w:tc>
                <w:tcPr>
                  <w:tcW w:w="1769" w:type="dxa"/>
                  <w:vMerge w:val="restart"/>
                  <w:vAlign w:val="center"/>
                </w:tcPr>
                <w:p>
                  <w:pPr>
                    <w:spacing w:line="276" w:lineRule="auto"/>
                    <w:jc w:val="center"/>
                    <w:rPr>
                      <w:rFonts w:eastAsiaTheme="minorEastAsia"/>
                      <w:color w:val="auto"/>
                      <w:szCs w:val="21"/>
                    </w:rPr>
                  </w:pPr>
                  <w:r>
                    <w:rPr>
                      <w:rFonts w:eastAsiaTheme="minorEastAsia"/>
                      <w:color w:val="auto"/>
                      <w:szCs w:val="21"/>
                    </w:rPr>
                    <w:t>WS-01</w:t>
                  </w:r>
                </w:p>
              </w:tc>
              <w:tc>
                <w:tcPr>
                  <w:tcW w:w="1769" w:type="dxa"/>
                  <w:vAlign w:val="center"/>
                </w:tcPr>
                <w:p>
                  <w:pPr>
                    <w:spacing w:line="276" w:lineRule="auto"/>
                    <w:jc w:val="center"/>
                    <w:rPr>
                      <w:rFonts w:eastAsiaTheme="minorEastAsia"/>
                      <w:color w:val="auto"/>
                      <w:szCs w:val="21"/>
                    </w:rPr>
                  </w:pPr>
                  <w:r>
                    <w:rPr>
                      <w:rFonts w:eastAsiaTheme="minorEastAsia"/>
                      <w:color w:val="auto"/>
                      <w:szCs w:val="21"/>
                    </w:rPr>
                    <w:t>CODcr</w:t>
                  </w:r>
                </w:p>
              </w:tc>
              <w:tc>
                <w:tcPr>
                  <w:tcW w:w="1554" w:type="dxa"/>
                  <w:vAlign w:val="center"/>
                </w:tcPr>
                <w:p>
                  <w:pPr>
                    <w:spacing w:line="276" w:lineRule="auto"/>
                    <w:jc w:val="center"/>
                    <w:rPr>
                      <w:rFonts w:eastAsiaTheme="minorEastAsia"/>
                      <w:color w:val="auto"/>
                      <w:szCs w:val="21"/>
                    </w:rPr>
                  </w:pPr>
                  <w:r>
                    <w:rPr>
                      <w:rFonts w:hint="eastAsia" w:eastAsiaTheme="minorEastAsia"/>
                      <w:color w:val="auto"/>
                      <w:szCs w:val="21"/>
                    </w:rPr>
                    <w:t>200</w:t>
                  </w:r>
                </w:p>
              </w:tc>
              <w:tc>
                <w:tcPr>
                  <w:tcW w:w="1560" w:type="dxa"/>
                  <w:vAlign w:val="bottom"/>
                </w:tcPr>
                <w:p>
                  <w:pPr>
                    <w:keepNext w:val="0"/>
                    <w:keepLines w:val="0"/>
                    <w:widowControl/>
                    <w:suppressLineNumbers w:val="0"/>
                    <w:jc w:val="center"/>
                    <w:textAlignment w:val="bottom"/>
                    <w:rPr>
                      <w:rFonts w:eastAsiaTheme="minorEastAsia"/>
                      <w:color w:val="auto"/>
                      <w:sz w:val="21"/>
                      <w:szCs w:val="21"/>
                    </w:rPr>
                  </w:pPr>
                  <w:r>
                    <w:rPr>
                      <w:rFonts w:hint="default" w:ascii="Times New Roman" w:hAnsi="Times New Roman" w:eastAsia="宋体" w:cs="Times New Roman"/>
                      <w:i w:val="0"/>
                      <w:color w:val="auto"/>
                      <w:kern w:val="0"/>
                      <w:sz w:val="21"/>
                      <w:szCs w:val="21"/>
                      <w:u w:val="none"/>
                      <w:lang w:val="en-US" w:eastAsia="zh-CN" w:bidi="ar"/>
                    </w:rPr>
                    <w:t>0.000113</w:t>
                  </w:r>
                </w:p>
              </w:tc>
              <w:tc>
                <w:tcPr>
                  <w:tcW w:w="1475" w:type="dxa"/>
                  <w:vAlign w:val="center"/>
                </w:tcPr>
                <w:p>
                  <w:pPr>
                    <w:keepNext w:val="0"/>
                    <w:keepLines w:val="0"/>
                    <w:widowControl/>
                    <w:suppressLineNumbers w:val="0"/>
                    <w:jc w:val="center"/>
                    <w:textAlignment w:val="center"/>
                    <w:rPr>
                      <w:rFonts w:eastAsiaTheme="minorEastAsia"/>
                      <w:color w:val="auto"/>
                      <w:szCs w:val="21"/>
                    </w:rPr>
                  </w:pPr>
                  <w:r>
                    <w:rPr>
                      <w:rFonts w:hint="default" w:ascii="Times New Roman" w:hAnsi="Times New Roman" w:eastAsia="宋体" w:cs="Times New Roman"/>
                      <w:i w:val="0"/>
                      <w:color w:val="auto"/>
                      <w:kern w:val="0"/>
                      <w:sz w:val="21"/>
                      <w:szCs w:val="21"/>
                      <w:u w:val="none"/>
                      <w:lang w:val="en-US" w:eastAsia="zh-CN" w:bidi="ar"/>
                    </w:rPr>
                    <w:t>0.034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889" w:type="dxa"/>
                  <w:vMerge w:val="continue"/>
                  <w:vAlign w:val="center"/>
                </w:tcPr>
                <w:p>
                  <w:pPr>
                    <w:spacing w:line="276" w:lineRule="auto"/>
                    <w:jc w:val="center"/>
                    <w:rPr>
                      <w:rFonts w:eastAsiaTheme="minorEastAsia"/>
                      <w:color w:val="auto"/>
                      <w:szCs w:val="21"/>
                    </w:rPr>
                  </w:pPr>
                </w:p>
              </w:tc>
              <w:tc>
                <w:tcPr>
                  <w:tcW w:w="1769" w:type="dxa"/>
                  <w:vMerge w:val="continue"/>
                  <w:vAlign w:val="center"/>
                </w:tcPr>
                <w:p>
                  <w:pPr>
                    <w:spacing w:line="276" w:lineRule="auto"/>
                    <w:jc w:val="center"/>
                    <w:rPr>
                      <w:rFonts w:eastAsiaTheme="minorEastAsia"/>
                      <w:color w:val="auto"/>
                      <w:szCs w:val="21"/>
                    </w:rPr>
                  </w:pPr>
                </w:p>
              </w:tc>
              <w:tc>
                <w:tcPr>
                  <w:tcW w:w="1769" w:type="dxa"/>
                  <w:vAlign w:val="center"/>
                </w:tcPr>
                <w:p>
                  <w:pPr>
                    <w:spacing w:line="276" w:lineRule="auto"/>
                    <w:jc w:val="center"/>
                    <w:rPr>
                      <w:rFonts w:eastAsiaTheme="minorEastAsia"/>
                      <w:color w:val="auto"/>
                      <w:szCs w:val="21"/>
                    </w:rPr>
                  </w:pPr>
                  <w:r>
                    <w:rPr>
                      <w:rFonts w:eastAsiaTheme="minorEastAsia"/>
                      <w:color w:val="auto"/>
                      <w:szCs w:val="21"/>
                    </w:rPr>
                    <w:t>BOD</w:t>
                  </w:r>
                  <w:r>
                    <w:rPr>
                      <w:rFonts w:eastAsiaTheme="minorEastAsia"/>
                      <w:color w:val="auto"/>
                      <w:szCs w:val="21"/>
                      <w:vertAlign w:val="subscript"/>
                    </w:rPr>
                    <w:t>5</w:t>
                  </w:r>
                </w:p>
              </w:tc>
              <w:tc>
                <w:tcPr>
                  <w:tcW w:w="1554" w:type="dxa"/>
                  <w:vAlign w:val="center"/>
                </w:tcPr>
                <w:p>
                  <w:pPr>
                    <w:spacing w:line="276" w:lineRule="auto"/>
                    <w:jc w:val="center"/>
                    <w:rPr>
                      <w:rFonts w:eastAsiaTheme="minorEastAsia"/>
                      <w:color w:val="auto"/>
                      <w:szCs w:val="21"/>
                    </w:rPr>
                  </w:pPr>
                  <w:r>
                    <w:rPr>
                      <w:rFonts w:hint="eastAsia" w:eastAsiaTheme="minorEastAsia"/>
                      <w:color w:val="auto"/>
                      <w:szCs w:val="21"/>
                    </w:rPr>
                    <w:t>120</w:t>
                  </w:r>
                </w:p>
              </w:tc>
              <w:tc>
                <w:tcPr>
                  <w:tcW w:w="1560" w:type="dxa"/>
                  <w:vAlign w:val="bottom"/>
                </w:tcPr>
                <w:p>
                  <w:pPr>
                    <w:keepNext w:val="0"/>
                    <w:keepLines w:val="0"/>
                    <w:widowControl/>
                    <w:suppressLineNumbers w:val="0"/>
                    <w:jc w:val="center"/>
                    <w:textAlignment w:val="bottom"/>
                    <w:rPr>
                      <w:rFonts w:eastAsiaTheme="minorEastAsia"/>
                      <w:color w:val="auto"/>
                      <w:sz w:val="21"/>
                      <w:szCs w:val="21"/>
                    </w:rPr>
                  </w:pPr>
                  <w:r>
                    <w:rPr>
                      <w:rFonts w:hint="default" w:ascii="Times New Roman" w:hAnsi="Times New Roman" w:eastAsia="宋体" w:cs="Times New Roman"/>
                      <w:i w:val="0"/>
                      <w:color w:val="auto"/>
                      <w:kern w:val="0"/>
                      <w:sz w:val="21"/>
                      <w:szCs w:val="21"/>
                      <w:u w:val="none"/>
                      <w:lang w:val="en-US" w:eastAsia="zh-CN" w:bidi="ar"/>
                    </w:rPr>
                    <w:t>0.000067</w:t>
                  </w:r>
                </w:p>
              </w:tc>
              <w:tc>
                <w:tcPr>
                  <w:tcW w:w="1475" w:type="dxa"/>
                  <w:vAlign w:val="center"/>
                </w:tcPr>
                <w:p>
                  <w:pPr>
                    <w:keepNext w:val="0"/>
                    <w:keepLines w:val="0"/>
                    <w:widowControl/>
                    <w:suppressLineNumbers w:val="0"/>
                    <w:jc w:val="center"/>
                    <w:textAlignment w:val="center"/>
                    <w:rPr>
                      <w:rFonts w:eastAsiaTheme="minorEastAsia"/>
                      <w:color w:val="auto"/>
                      <w:szCs w:val="21"/>
                    </w:rPr>
                  </w:pPr>
                  <w:r>
                    <w:rPr>
                      <w:rFonts w:hint="default" w:ascii="Times New Roman" w:hAnsi="Times New Roman" w:eastAsia="宋体" w:cs="Times New Roman"/>
                      <w:i w:val="0"/>
                      <w:color w:val="auto"/>
                      <w:kern w:val="0"/>
                      <w:sz w:val="21"/>
                      <w:szCs w:val="21"/>
                      <w:u w:val="none"/>
                      <w:lang w:val="en-US" w:eastAsia="zh-CN" w:bidi="ar"/>
                    </w:rPr>
                    <w:t>0.020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889" w:type="dxa"/>
                  <w:vMerge w:val="continue"/>
                  <w:vAlign w:val="center"/>
                </w:tcPr>
                <w:p>
                  <w:pPr>
                    <w:spacing w:line="276" w:lineRule="auto"/>
                    <w:jc w:val="center"/>
                    <w:rPr>
                      <w:rFonts w:eastAsiaTheme="minorEastAsia"/>
                      <w:color w:val="auto"/>
                      <w:szCs w:val="21"/>
                    </w:rPr>
                  </w:pPr>
                </w:p>
              </w:tc>
              <w:tc>
                <w:tcPr>
                  <w:tcW w:w="1769" w:type="dxa"/>
                  <w:vMerge w:val="continue"/>
                  <w:vAlign w:val="center"/>
                </w:tcPr>
                <w:p>
                  <w:pPr>
                    <w:spacing w:line="276" w:lineRule="auto"/>
                    <w:jc w:val="center"/>
                    <w:rPr>
                      <w:rFonts w:eastAsiaTheme="minorEastAsia"/>
                      <w:color w:val="auto"/>
                      <w:szCs w:val="21"/>
                    </w:rPr>
                  </w:pPr>
                </w:p>
              </w:tc>
              <w:tc>
                <w:tcPr>
                  <w:tcW w:w="1769" w:type="dxa"/>
                  <w:vAlign w:val="center"/>
                </w:tcPr>
                <w:p>
                  <w:pPr>
                    <w:spacing w:line="276" w:lineRule="auto"/>
                    <w:jc w:val="center"/>
                    <w:rPr>
                      <w:rFonts w:eastAsiaTheme="minorEastAsia"/>
                      <w:color w:val="auto"/>
                      <w:szCs w:val="21"/>
                    </w:rPr>
                  </w:pPr>
                  <w:r>
                    <w:rPr>
                      <w:rFonts w:eastAsiaTheme="minorEastAsia"/>
                      <w:color w:val="auto"/>
                      <w:szCs w:val="21"/>
                    </w:rPr>
                    <w:t>SS</w:t>
                  </w:r>
                </w:p>
              </w:tc>
              <w:tc>
                <w:tcPr>
                  <w:tcW w:w="1554" w:type="dxa"/>
                  <w:vAlign w:val="center"/>
                </w:tcPr>
                <w:p>
                  <w:pPr>
                    <w:spacing w:line="276" w:lineRule="auto"/>
                    <w:jc w:val="center"/>
                    <w:rPr>
                      <w:rFonts w:eastAsiaTheme="minorEastAsia"/>
                      <w:color w:val="auto"/>
                      <w:szCs w:val="21"/>
                    </w:rPr>
                  </w:pPr>
                  <w:r>
                    <w:rPr>
                      <w:rFonts w:hint="eastAsia" w:eastAsiaTheme="minorEastAsia"/>
                      <w:color w:val="auto"/>
                      <w:szCs w:val="21"/>
                    </w:rPr>
                    <w:t>120</w:t>
                  </w:r>
                </w:p>
              </w:tc>
              <w:tc>
                <w:tcPr>
                  <w:tcW w:w="1560" w:type="dxa"/>
                  <w:vAlign w:val="bottom"/>
                </w:tcPr>
                <w:p>
                  <w:pPr>
                    <w:keepNext w:val="0"/>
                    <w:keepLines w:val="0"/>
                    <w:widowControl/>
                    <w:suppressLineNumbers w:val="0"/>
                    <w:jc w:val="center"/>
                    <w:textAlignment w:val="bottom"/>
                    <w:rPr>
                      <w:rFonts w:eastAsiaTheme="minorEastAsia"/>
                      <w:color w:val="auto"/>
                      <w:sz w:val="21"/>
                      <w:szCs w:val="21"/>
                    </w:rPr>
                  </w:pPr>
                  <w:r>
                    <w:rPr>
                      <w:rFonts w:hint="default" w:ascii="Times New Roman" w:hAnsi="Times New Roman" w:eastAsia="宋体" w:cs="Times New Roman"/>
                      <w:i w:val="0"/>
                      <w:color w:val="auto"/>
                      <w:kern w:val="0"/>
                      <w:sz w:val="21"/>
                      <w:szCs w:val="21"/>
                      <w:u w:val="none"/>
                      <w:lang w:val="en-US" w:eastAsia="zh-CN" w:bidi="ar"/>
                    </w:rPr>
                    <w:t>0.000067</w:t>
                  </w:r>
                </w:p>
              </w:tc>
              <w:tc>
                <w:tcPr>
                  <w:tcW w:w="1475" w:type="dxa"/>
                  <w:vAlign w:val="center"/>
                </w:tcPr>
                <w:p>
                  <w:pPr>
                    <w:keepNext w:val="0"/>
                    <w:keepLines w:val="0"/>
                    <w:widowControl/>
                    <w:suppressLineNumbers w:val="0"/>
                    <w:jc w:val="center"/>
                    <w:textAlignment w:val="center"/>
                    <w:rPr>
                      <w:rFonts w:eastAsiaTheme="minorEastAsia"/>
                      <w:color w:val="auto"/>
                      <w:szCs w:val="21"/>
                    </w:rPr>
                  </w:pPr>
                  <w:r>
                    <w:rPr>
                      <w:rFonts w:hint="default" w:ascii="Times New Roman" w:hAnsi="Times New Roman" w:eastAsia="宋体" w:cs="Times New Roman"/>
                      <w:i w:val="0"/>
                      <w:color w:val="auto"/>
                      <w:kern w:val="0"/>
                      <w:sz w:val="21"/>
                      <w:szCs w:val="21"/>
                      <w:u w:val="none"/>
                      <w:lang w:val="en-US" w:eastAsia="zh-CN" w:bidi="ar"/>
                    </w:rPr>
                    <w:t>0.020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9" w:type="dxa"/>
                  <w:vMerge w:val="continue"/>
                  <w:vAlign w:val="center"/>
                </w:tcPr>
                <w:p>
                  <w:pPr>
                    <w:spacing w:line="276" w:lineRule="auto"/>
                    <w:jc w:val="center"/>
                    <w:rPr>
                      <w:rFonts w:eastAsiaTheme="minorEastAsia"/>
                      <w:color w:val="auto"/>
                      <w:szCs w:val="21"/>
                    </w:rPr>
                  </w:pPr>
                </w:p>
              </w:tc>
              <w:tc>
                <w:tcPr>
                  <w:tcW w:w="1769" w:type="dxa"/>
                  <w:vMerge w:val="continue"/>
                  <w:vAlign w:val="center"/>
                </w:tcPr>
                <w:p>
                  <w:pPr>
                    <w:spacing w:line="276" w:lineRule="auto"/>
                    <w:jc w:val="center"/>
                    <w:rPr>
                      <w:rFonts w:eastAsiaTheme="minorEastAsia"/>
                      <w:color w:val="auto"/>
                      <w:szCs w:val="21"/>
                    </w:rPr>
                  </w:pPr>
                </w:p>
              </w:tc>
              <w:tc>
                <w:tcPr>
                  <w:tcW w:w="1769" w:type="dxa"/>
                  <w:vAlign w:val="center"/>
                </w:tcPr>
                <w:p>
                  <w:pPr>
                    <w:spacing w:line="276" w:lineRule="auto"/>
                    <w:jc w:val="center"/>
                    <w:rPr>
                      <w:rFonts w:eastAsiaTheme="minorEastAsia"/>
                      <w:color w:val="auto"/>
                      <w:szCs w:val="21"/>
                    </w:rPr>
                  </w:pPr>
                  <w:r>
                    <w:rPr>
                      <w:rFonts w:eastAsiaTheme="minorEastAsia"/>
                      <w:color w:val="auto"/>
                      <w:szCs w:val="21"/>
                    </w:rPr>
                    <w:t>氨氮</w:t>
                  </w:r>
                </w:p>
              </w:tc>
              <w:tc>
                <w:tcPr>
                  <w:tcW w:w="1554" w:type="dxa"/>
                  <w:vAlign w:val="center"/>
                </w:tcPr>
                <w:p>
                  <w:pPr>
                    <w:spacing w:line="276" w:lineRule="auto"/>
                    <w:jc w:val="center"/>
                    <w:rPr>
                      <w:rFonts w:eastAsiaTheme="minorEastAsia"/>
                      <w:color w:val="auto"/>
                      <w:szCs w:val="21"/>
                    </w:rPr>
                  </w:pPr>
                  <w:r>
                    <w:rPr>
                      <w:rFonts w:hint="eastAsia" w:eastAsiaTheme="minorEastAsia"/>
                      <w:color w:val="auto"/>
                      <w:szCs w:val="21"/>
                    </w:rPr>
                    <w:t>20</w:t>
                  </w:r>
                </w:p>
              </w:tc>
              <w:tc>
                <w:tcPr>
                  <w:tcW w:w="1560" w:type="dxa"/>
                  <w:vAlign w:val="bottom"/>
                </w:tcPr>
                <w:p>
                  <w:pPr>
                    <w:keepNext w:val="0"/>
                    <w:keepLines w:val="0"/>
                    <w:widowControl/>
                    <w:suppressLineNumbers w:val="0"/>
                    <w:jc w:val="center"/>
                    <w:textAlignment w:val="bottom"/>
                    <w:rPr>
                      <w:rFonts w:eastAsiaTheme="minorEastAsia"/>
                      <w:color w:val="auto"/>
                      <w:sz w:val="21"/>
                      <w:szCs w:val="21"/>
                    </w:rPr>
                  </w:pPr>
                  <w:r>
                    <w:rPr>
                      <w:rFonts w:hint="default" w:ascii="Times New Roman" w:hAnsi="Times New Roman" w:eastAsia="宋体" w:cs="Times New Roman"/>
                      <w:i w:val="0"/>
                      <w:color w:val="auto"/>
                      <w:kern w:val="0"/>
                      <w:sz w:val="21"/>
                      <w:szCs w:val="21"/>
                      <w:u w:val="none"/>
                      <w:lang w:val="en-US" w:eastAsia="zh-CN" w:bidi="ar"/>
                    </w:rPr>
                    <w:t>0.000010</w:t>
                  </w:r>
                </w:p>
              </w:tc>
              <w:tc>
                <w:tcPr>
                  <w:tcW w:w="1475" w:type="dxa"/>
                  <w:vAlign w:val="center"/>
                </w:tcPr>
                <w:p>
                  <w:pPr>
                    <w:keepNext w:val="0"/>
                    <w:keepLines w:val="0"/>
                    <w:widowControl/>
                    <w:suppressLineNumbers w:val="0"/>
                    <w:jc w:val="center"/>
                    <w:textAlignment w:val="center"/>
                    <w:rPr>
                      <w:rFonts w:eastAsiaTheme="minorEastAsia"/>
                      <w:color w:val="auto"/>
                      <w:szCs w:val="21"/>
                    </w:rPr>
                  </w:pPr>
                  <w:r>
                    <w:rPr>
                      <w:rFonts w:hint="default" w:ascii="Times New Roman" w:hAnsi="Times New Roman" w:eastAsia="宋体" w:cs="Times New Roman"/>
                      <w:i w:val="0"/>
                      <w:color w:val="auto"/>
                      <w:kern w:val="0"/>
                      <w:sz w:val="21"/>
                      <w:szCs w:val="21"/>
                      <w:u w:val="none"/>
                      <w:lang w:val="en-US" w:eastAsia="zh-CN" w:bidi="ar"/>
                    </w:rPr>
                    <w:t>0.003</w:t>
                  </w:r>
                </w:p>
              </w:tc>
            </w:tr>
          </w:tbl>
          <w:p>
            <w:pPr>
              <w:pStyle w:val="34"/>
              <w:spacing w:line="336" w:lineRule="auto"/>
              <w:ind w:firstLine="472" w:firstLineChars="196"/>
              <w:rPr>
                <w:b/>
                <w:color w:val="auto"/>
                <w:kern w:val="2"/>
              </w:rPr>
            </w:pPr>
            <w:r>
              <w:rPr>
                <w:rFonts w:hint="eastAsia"/>
                <w:b/>
                <w:color w:val="auto"/>
                <w:kern w:val="2"/>
              </w:rPr>
              <w:t>三、噪声影响分析</w:t>
            </w:r>
            <w:bookmarkEnd w:id="26"/>
            <w:bookmarkEnd w:id="27"/>
          </w:p>
          <w:p>
            <w:pPr>
              <w:spacing w:line="360" w:lineRule="auto"/>
              <w:ind w:firstLine="480" w:firstLineChars="200"/>
              <w:rPr>
                <w:rFonts w:hint="default"/>
                <w:color w:val="auto"/>
                <w:sz w:val="24"/>
                <w:lang w:val="en-US" w:eastAsia="zh-CN"/>
              </w:rPr>
            </w:pPr>
            <w:r>
              <w:rPr>
                <w:rFonts w:hint="eastAsia"/>
                <w:color w:val="auto"/>
                <w:sz w:val="24"/>
              </w:rPr>
              <w:t>根据《声环境质量标准》（GB3096-2008）、《声环境功能区划分技术规范》（GB/T159190-2014）</w:t>
            </w:r>
            <w:r>
              <w:rPr>
                <w:rFonts w:hint="eastAsia"/>
                <w:color w:val="auto"/>
                <w:sz w:val="24"/>
                <w:lang w:eastAsia="zh-CN"/>
              </w:rPr>
              <w:t>以及《环境影响评价技术导则 声环境》（HJ 2.4-2009）</w:t>
            </w:r>
            <w:r>
              <w:rPr>
                <w:rFonts w:hint="eastAsia"/>
                <w:color w:val="auto"/>
                <w:sz w:val="24"/>
              </w:rPr>
              <w:t>，</w:t>
            </w:r>
            <w:r>
              <w:rPr>
                <w:rFonts w:hint="eastAsia"/>
                <w:color w:val="auto"/>
                <w:sz w:val="24"/>
                <w:lang w:eastAsia="zh-CN"/>
              </w:rPr>
              <w:t>项目东南面、西南面和东北面</w:t>
            </w:r>
            <w:r>
              <w:rPr>
                <w:rFonts w:hint="eastAsia"/>
                <w:color w:val="auto"/>
                <w:sz w:val="24"/>
              </w:rPr>
              <w:t>属2类</w:t>
            </w:r>
            <w:r>
              <w:rPr>
                <w:rFonts w:hint="eastAsia"/>
                <w:color w:val="auto"/>
                <w:sz w:val="24"/>
                <w:lang w:eastAsia="zh-CN"/>
              </w:rPr>
              <w:t>声功能区</w:t>
            </w:r>
            <w:r>
              <w:rPr>
                <w:rFonts w:hint="eastAsia"/>
                <w:color w:val="auto"/>
                <w:sz w:val="24"/>
              </w:rPr>
              <w:t>，</w:t>
            </w:r>
            <w:r>
              <w:rPr>
                <w:rFonts w:hint="eastAsia"/>
                <w:color w:val="auto"/>
                <w:sz w:val="24"/>
                <w:lang w:eastAsia="zh-CN"/>
              </w:rPr>
              <w:t>北面约</w:t>
            </w:r>
            <w:r>
              <w:rPr>
                <w:rFonts w:hint="eastAsia"/>
                <w:color w:val="auto"/>
                <w:sz w:val="24"/>
                <w:lang w:val="en-US" w:eastAsia="zh-CN"/>
              </w:rPr>
              <w:t>8m为城市主干路，</w:t>
            </w:r>
            <w:r>
              <w:rPr>
                <w:rFonts w:hint="eastAsia"/>
                <w:color w:val="auto"/>
                <w:sz w:val="24"/>
                <w:lang w:eastAsia="zh-CN"/>
              </w:rPr>
              <w:t>属4a类声功能区，因此本项目噪声评价等级为二级。</w:t>
            </w:r>
          </w:p>
          <w:p>
            <w:pPr>
              <w:spacing w:line="360" w:lineRule="auto"/>
              <w:ind w:firstLine="480" w:firstLineChars="200"/>
              <w:rPr>
                <w:color w:val="auto"/>
                <w:sz w:val="24"/>
              </w:rPr>
            </w:pPr>
            <w:r>
              <w:rPr>
                <w:rFonts w:hint="eastAsia"/>
                <w:color w:val="auto"/>
                <w:sz w:val="24"/>
              </w:rPr>
              <w:t>项目的主要噪声为车间机械加工时设备运行噪声，噪声值约为70~80dB（A），空压机、冷却塔的运行噪声80～90dB（A）；</w:t>
            </w:r>
            <w:r>
              <w:rPr>
                <w:color w:val="auto"/>
                <w:sz w:val="24"/>
              </w:rPr>
              <w:t>机械通风所用通风机</w:t>
            </w:r>
            <w:r>
              <w:rPr>
                <w:rFonts w:hint="eastAsia"/>
                <w:color w:val="auto"/>
                <w:sz w:val="24"/>
              </w:rPr>
              <w:t>运行时产生的噪声，其噪声级为70~75dB（A）。</w:t>
            </w:r>
          </w:p>
          <w:p>
            <w:pPr>
              <w:adjustRightInd w:val="0"/>
              <w:snapToGrid w:val="0"/>
              <w:spacing w:line="360" w:lineRule="auto"/>
              <w:ind w:firstLine="480" w:firstLineChars="200"/>
              <w:rPr>
                <w:color w:val="auto"/>
                <w:sz w:val="24"/>
              </w:rPr>
            </w:pPr>
            <w:r>
              <w:rPr>
                <w:color w:val="auto"/>
                <w:sz w:val="24"/>
              </w:rPr>
              <w:t>为评价项目产生的噪声对周围声环境和敏感点的影响情况，本环评对所有生产设备进行预测评估，具体预测结果如下：</w:t>
            </w:r>
          </w:p>
          <w:p>
            <w:pPr>
              <w:adjustRightInd w:val="0"/>
              <w:snapToGrid w:val="0"/>
              <w:spacing w:line="360" w:lineRule="auto"/>
              <w:ind w:firstLine="480" w:firstLineChars="200"/>
              <w:rPr>
                <w:color w:val="auto"/>
                <w:sz w:val="24"/>
              </w:rPr>
            </w:pPr>
            <w:r>
              <w:rPr>
                <w:color w:val="auto"/>
                <w:sz w:val="24"/>
              </w:rPr>
              <w:t>根据以下公式：</w:t>
            </w:r>
          </w:p>
          <w:p>
            <w:pPr>
              <w:adjustRightInd w:val="0"/>
              <w:snapToGrid w:val="0"/>
              <w:spacing w:line="360" w:lineRule="auto"/>
              <w:ind w:firstLine="480" w:firstLineChars="200"/>
              <w:rPr>
                <w:color w:val="auto"/>
                <w:sz w:val="24"/>
              </w:rPr>
            </w:pPr>
            <w:r>
              <w:rPr>
                <w:color w:val="auto"/>
                <w:sz w:val="24"/>
              </w:rPr>
              <w:fldChar w:fldCharType="begin"/>
            </w:r>
            <w:r>
              <w:rPr>
                <w:color w:val="auto"/>
                <w:sz w:val="24"/>
              </w:rPr>
              <w:instrText xml:space="preserve"> = 1 \* GB3 </w:instrText>
            </w:r>
            <w:r>
              <w:rPr>
                <w:color w:val="auto"/>
                <w:sz w:val="24"/>
              </w:rPr>
              <w:fldChar w:fldCharType="separate"/>
            </w:r>
            <w:r>
              <w:rPr>
                <w:color w:val="auto"/>
                <w:sz w:val="24"/>
              </w:rPr>
              <w:t>①</w:t>
            </w:r>
            <w:r>
              <w:rPr>
                <w:color w:val="auto"/>
                <w:sz w:val="24"/>
              </w:rPr>
              <w:fldChar w:fldCharType="end"/>
            </w:r>
            <w:r>
              <w:rPr>
                <w:color w:val="auto"/>
                <w:sz w:val="24"/>
              </w:rPr>
              <w:t>噪声叠加模式：L</w:t>
            </w:r>
            <w:r>
              <w:rPr>
                <w:color w:val="auto"/>
                <w:sz w:val="24"/>
                <w:vertAlign w:val="subscript"/>
              </w:rPr>
              <w:t>总</w:t>
            </w:r>
            <w:r>
              <w:rPr>
                <w:color w:val="auto"/>
                <w:sz w:val="24"/>
              </w:rPr>
              <w:t>= 10lg(</w:t>
            </w:r>
            <w:r>
              <w:rPr>
                <w:color w:val="auto"/>
                <w:position w:val="-28"/>
                <w:sz w:val="24"/>
              </w:rPr>
              <w:object>
                <v:shape id="_x0000_i1026" o:spt="75" type="#_x0000_t75" style="height:32.65pt;width:49.4pt;" o:ole="t" filled="f" o:preferrelative="t" stroked="f" coordsize="21600,21600">
                  <v:path/>
                  <v:fill on="f" focussize="0,0"/>
                  <v:stroke on="f"/>
                  <v:imagedata r:id="rId46" o:title=""/>
                  <o:lock v:ext="edit" aspectratio="t"/>
                  <w10:wrap type="none"/>
                  <w10:anchorlock/>
                </v:shape>
                <o:OLEObject Type="Embed" ProgID="Equation.3" ShapeID="_x0000_i1026" DrawAspect="Content" ObjectID="_1468075726" r:id="rId45">
                  <o:LockedField>false</o:LockedField>
                </o:OLEObject>
              </w:object>
            </w:r>
            <w:r>
              <w:rPr>
                <w:color w:val="auto"/>
                <w:sz w:val="24"/>
              </w:rPr>
              <w:t>)；</w:t>
            </w:r>
          </w:p>
          <w:p>
            <w:pPr>
              <w:spacing w:line="360" w:lineRule="auto"/>
              <w:ind w:firstLine="480" w:firstLineChars="200"/>
              <w:rPr>
                <w:color w:val="auto"/>
                <w:sz w:val="24"/>
              </w:rPr>
            </w:pPr>
            <w:r>
              <w:rPr>
                <w:color w:val="auto"/>
                <w:sz w:val="24"/>
              </w:rPr>
              <w:fldChar w:fldCharType="begin"/>
            </w:r>
            <w:r>
              <w:rPr>
                <w:color w:val="auto"/>
                <w:sz w:val="24"/>
              </w:rPr>
              <w:instrText xml:space="preserve"> = 2 \* GB3 </w:instrText>
            </w:r>
            <w:r>
              <w:rPr>
                <w:color w:val="auto"/>
                <w:sz w:val="24"/>
              </w:rPr>
              <w:fldChar w:fldCharType="separate"/>
            </w:r>
            <w:r>
              <w:rPr>
                <w:color w:val="auto"/>
                <w:sz w:val="24"/>
              </w:rPr>
              <w:t>②</w:t>
            </w:r>
            <w:r>
              <w:rPr>
                <w:color w:val="auto"/>
                <w:sz w:val="24"/>
              </w:rPr>
              <w:fldChar w:fldCharType="end"/>
            </w:r>
            <w:r>
              <w:rPr>
                <w:color w:val="auto"/>
                <w:sz w:val="24"/>
              </w:rPr>
              <w:t>噪声衰减模式：L（r）= L（r0）－</w:t>
            </w:r>
            <w:r>
              <w:rPr>
                <w:color w:val="auto"/>
                <w:sz w:val="24"/>
                <w:vertAlign w:val="subscript"/>
              </w:rPr>
              <w:t>△</w:t>
            </w:r>
            <w:r>
              <w:rPr>
                <w:color w:val="auto"/>
                <w:sz w:val="24"/>
              </w:rPr>
              <w:t>L－A= L（r</w:t>
            </w:r>
            <w:r>
              <w:rPr>
                <w:color w:val="auto"/>
                <w:sz w:val="24"/>
                <w:vertAlign w:val="subscript"/>
              </w:rPr>
              <w:t>0</w:t>
            </w:r>
            <w:r>
              <w:rPr>
                <w:color w:val="auto"/>
                <w:sz w:val="24"/>
              </w:rPr>
              <w:t>）－20 lg r/ r</w:t>
            </w:r>
            <w:r>
              <w:rPr>
                <w:color w:val="auto"/>
                <w:sz w:val="24"/>
                <w:vertAlign w:val="subscript"/>
              </w:rPr>
              <w:t>0</w:t>
            </w:r>
            <w:r>
              <w:rPr>
                <w:color w:val="auto"/>
                <w:sz w:val="24"/>
              </w:rPr>
              <w:t>－A；式中：</w:t>
            </w:r>
          </w:p>
          <w:p>
            <w:pPr>
              <w:spacing w:line="360" w:lineRule="auto"/>
              <w:ind w:firstLine="480" w:firstLineChars="200"/>
              <w:rPr>
                <w:color w:val="auto"/>
                <w:sz w:val="24"/>
              </w:rPr>
            </w:pPr>
            <w:r>
              <w:rPr>
                <w:color w:val="auto"/>
                <w:sz w:val="24"/>
              </w:rPr>
              <w:t>L总——几个声压级相加后的总声压级，dB；</w:t>
            </w:r>
          </w:p>
          <w:p>
            <w:pPr>
              <w:spacing w:line="360" w:lineRule="auto"/>
              <w:ind w:firstLine="480" w:firstLineChars="200"/>
              <w:rPr>
                <w:color w:val="auto"/>
                <w:sz w:val="24"/>
              </w:rPr>
            </w:pPr>
            <w:r>
              <w:rPr>
                <w:color w:val="auto"/>
                <w:sz w:val="24"/>
              </w:rPr>
              <w:t>Li——某一个声压级，dB；</w:t>
            </w:r>
          </w:p>
          <w:p>
            <w:pPr>
              <w:spacing w:line="360" w:lineRule="auto"/>
              <w:ind w:firstLine="480" w:firstLineChars="200"/>
              <w:rPr>
                <w:color w:val="auto"/>
                <w:sz w:val="24"/>
              </w:rPr>
            </w:pPr>
            <w:r>
              <w:rPr>
                <w:color w:val="auto"/>
                <w:sz w:val="24"/>
              </w:rPr>
              <w:t>r、r</w:t>
            </w:r>
            <w:r>
              <w:rPr>
                <w:color w:val="auto"/>
                <w:sz w:val="24"/>
                <w:vertAlign w:val="subscript"/>
              </w:rPr>
              <w:t>0</w:t>
            </w:r>
            <w:r>
              <w:rPr>
                <w:color w:val="auto"/>
                <w:sz w:val="24"/>
              </w:rPr>
              <w:t>——点声源至受声点的距离（m）；</w:t>
            </w:r>
          </w:p>
          <w:p>
            <w:pPr>
              <w:spacing w:line="360" w:lineRule="auto"/>
              <w:ind w:firstLine="480" w:firstLineChars="200"/>
              <w:rPr>
                <w:color w:val="auto"/>
                <w:sz w:val="24"/>
              </w:rPr>
            </w:pPr>
            <w:r>
              <w:rPr>
                <w:color w:val="auto"/>
                <w:sz w:val="24"/>
              </w:rPr>
              <w:t>L（r）——距点声源r处的噪声值（dB）；</w:t>
            </w:r>
          </w:p>
          <w:p>
            <w:pPr>
              <w:spacing w:line="360" w:lineRule="auto"/>
              <w:ind w:firstLine="480" w:firstLineChars="200"/>
              <w:rPr>
                <w:color w:val="auto"/>
                <w:sz w:val="24"/>
              </w:rPr>
            </w:pPr>
            <w:r>
              <w:rPr>
                <w:color w:val="auto"/>
                <w:sz w:val="24"/>
              </w:rPr>
              <w:t>L（r</w:t>
            </w:r>
            <w:r>
              <w:rPr>
                <w:color w:val="auto"/>
                <w:sz w:val="24"/>
                <w:vertAlign w:val="subscript"/>
              </w:rPr>
              <w:t>0</w:t>
            </w:r>
            <w:r>
              <w:rPr>
                <w:color w:val="auto"/>
                <w:sz w:val="24"/>
              </w:rPr>
              <w:t>）——距点声源r</w:t>
            </w:r>
            <w:r>
              <w:rPr>
                <w:color w:val="auto"/>
                <w:sz w:val="24"/>
                <w:vertAlign w:val="subscript"/>
              </w:rPr>
              <w:t>0</w:t>
            </w:r>
            <w:r>
              <w:rPr>
                <w:color w:val="auto"/>
                <w:sz w:val="24"/>
              </w:rPr>
              <w:t>处的噪声值（dB）；</w:t>
            </w:r>
          </w:p>
          <w:p>
            <w:pPr>
              <w:spacing w:line="360" w:lineRule="auto"/>
              <w:ind w:firstLine="480" w:firstLineChars="200"/>
              <w:rPr>
                <w:color w:val="auto"/>
                <w:sz w:val="24"/>
              </w:rPr>
            </w:pPr>
            <w:r>
              <w:rPr>
                <w:color w:val="auto"/>
                <w:sz w:val="24"/>
                <w:vertAlign w:val="subscript"/>
              </w:rPr>
              <w:t>△</w:t>
            </w:r>
            <w:r>
              <w:rPr>
                <w:color w:val="auto"/>
                <w:sz w:val="24"/>
              </w:rPr>
              <w:t>L——距离增加产生的噪声衰减值；</w:t>
            </w:r>
          </w:p>
          <w:p>
            <w:pPr>
              <w:spacing w:line="360" w:lineRule="auto"/>
              <w:ind w:firstLine="480" w:firstLineChars="200"/>
              <w:rPr>
                <w:color w:val="auto"/>
                <w:sz w:val="24"/>
              </w:rPr>
            </w:pPr>
            <w:r>
              <w:rPr>
                <w:color w:val="auto"/>
                <w:sz w:val="24"/>
              </w:rPr>
              <w:t>A—— 代表厂房墙体、门窗隔声量，一般为23 dB(A)。</w:t>
            </w:r>
          </w:p>
          <w:p>
            <w:pPr>
              <w:adjustRightInd w:val="0"/>
              <w:snapToGrid w:val="0"/>
              <w:spacing w:line="360" w:lineRule="auto"/>
              <w:ind w:firstLine="480" w:firstLineChars="200"/>
              <w:rPr>
                <w:color w:val="auto"/>
                <w:sz w:val="24"/>
              </w:rPr>
            </w:pPr>
            <w:r>
              <w:rPr>
                <w:color w:val="auto"/>
                <w:sz w:val="24"/>
              </w:rPr>
              <w:t>根据项目最大量情况下同时投入运作的设备数量及各设备的声压级，计算出项目在同一区域内总声压级为90.5 dB(A)。</w:t>
            </w:r>
          </w:p>
          <w:p>
            <w:pPr>
              <w:adjustRightInd w:val="0"/>
              <w:snapToGrid w:val="0"/>
              <w:spacing w:line="360" w:lineRule="auto"/>
              <w:ind w:firstLine="480" w:firstLineChars="200"/>
              <w:rPr>
                <w:color w:val="auto"/>
                <w:sz w:val="24"/>
              </w:rPr>
            </w:pPr>
            <w:r>
              <w:rPr>
                <w:color w:val="auto"/>
                <w:sz w:val="24"/>
              </w:rPr>
              <w:t>根据项目噪声源，利用预测模式计算项目厂界的噪声值和经过距离衰减到敏感点的贡献值，见下表。</w:t>
            </w:r>
          </w:p>
          <w:p>
            <w:pPr>
              <w:pStyle w:val="2"/>
              <w:rPr>
                <w:color w:val="auto"/>
              </w:rPr>
            </w:pP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项目采取措施前</w:t>
            </w:r>
            <w:r>
              <w:rPr>
                <w:rFonts w:eastAsia="宋体" w:cs="Times New Roman"/>
                <w:b/>
                <w:color w:val="auto"/>
                <w:sz w:val="21"/>
                <w:szCs w:val="21"/>
              </w:rPr>
              <w:t>噪声预测结果（单位：Leq dB(A)）</w:t>
            </w:r>
          </w:p>
          <w:tbl>
            <w:tblPr>
              <w:tblStyle w:val="44"/>
              <w:tblW w:w="8715"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785"/>
              <w:gridCol w:w="2945"/>
              <w:gridCol w:w="298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车间噪声叠加值</w:t>
                  </w:r>
                </w:p>
              </w:tc>
              <w:tc>
                <w:tcPr>
                  <w:tcW w:w="5930" w:type="dxa"/>
                  <w:gridSpan w:val="2"/>
                  <w:vAlign w:val="center"/>
                </w:tcPr>
                <w:p>
                  <w:pPr>
                    <w:adjustRightInd w:val="0"/>
                    <w:snapToGrid w:val="0"/>
                    <w:jc w:val="center"/>
                    <w:rPr>
                      <w:color w:val="auto"/>
                      <w:szCs w:val="21"/>
                    </w:rPr>
                  </w:pPr>
                  <w:r>
                    <w:rPr>
                      <w:color w:val="auto"/>
                      <w:szCs w:val="21"/>
                    </w:rPr>
                    <w:t>90.5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噪声衰减量</w:t>
                  </w:r>
                </w:p>
              </w:tc>
              <w:tc>
                <w:tcPr>
                  <w:tcW w:w="5930" w:type="dxa"/>
                  <w:gridSpan w:val="2"/>
                  <w:vAlign w:val="center"/>
                </w:tcPr>
                <w:p>
                  <w:pPr>
                    <w:adjustRightInd w:val="0"/>
                    <w:snapToGrid w:val="0"/>
                    <w:jc w:val="center"/>
                    <w:rPr>
                      <w:color w:val="auto"/>
                      <w:szCs w:val="21"/>
                    </w:rPr>
                  </w:pPr>
                  <w:r>
                    <w:rPr>
                      <w:color w:val="auto"/>
                      <w:szCs w:val="21"/>
                    </w:rPr>
                    <w:t>23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噪声预测值（厂界外1米处）</w:t>
                  </w:r>
                </w:p>
              </w:tc>
              <w:tc>
                <w:tcPr>
                  <w:tcW w:w="5930" w:type="dxa"/>
                  <w:gridSpan w:val="2"/>
                  <w:vAlign w:val="center"/>
                </w:tcPr>
                <w:p>
                  <w:pPr>
                    <w:adjustRightInd w:val="0"/>
                    <w:snapToGrid w:val="0"/>
                    <w:jc w:val="center"/>
                    <w:rPr>
                      <w:color w:val="auto"/>
                      <w:szCs w:val="21"/>
                    </w:rPr>
                  </w:pPr>
                  <w:r>
                    <w:rPr>
                      <w:color w:val="auto"/>
                      <w:szCs w:val="21"/>
                    </w:rPr>
                    <w:t>67.5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b/>
                      <w:color w:val="auto"/>
                      <w:szCs w:val="21"/>
                    </w:rPr>
                  </w:pPr>
                  <w:r>
                    <w:rPr>
                      <w:b/>
                      <w:color w:val="auto"/>
                      <w:szCs w:val="21"/>
                    </w:rPr>
                    <w:t>敏感点位置</w:t>
                  </w:r>
                  <w:r>
                    <w:rPr>
                      <w:rFonts w:hint="eastAsia"/>
                      <w:b/>
                      <w:color w:val="auto"/>
                      <w:szCs w:val="21"/>
                    </w:rPr>
                    <w:t>（200m内）</w:t>
                  </w:r>
                </w:p>
              </w:tc>
              <w:tc>
                <w:tcPr>
                  <w:tcW w:w="2945" w:type="dxa"/>
                  <w:tcBorders>
                    <w:right w:val="single" w:color="auto" w:sz="4" w:space="0"/>
                  </w:tcBorders>
                  <w:vAlign w:val="center"/>
                </w:tcPr>
                <w:p>
                  <w:pPr>
                    <w:adjustRightInd w:val="0"/>
                    <w:snapToGrid w:val="0"/>
                    <w:jc w:val="center"/>
                    <w:rPr>
                      <w:b/>
                      <w:color w:val="auto"/>
                      <w:szCs w:val="21"/>
                    </w:rPr>
                  </w:pPr>
                  <w:r>
                    <w:rPr>
                      <w:rFonts w:hint="eastAsia"/>
                      <w:b/>
                      <w:color w:val="auto"/>
                      <w:szCs w:val="21"/>
                    </w:rPr>
                    <w:t>东面泮南村</w:t>
                  </w:r>
                </w:p>
              </w:tc>
              <w:tc>
                <w:tcPr>
                  <w:tcW w:w="2985" w:type="dxa"/>
                  <w:tcBorders>
                    <w:left w:val="single" w:color="auto" w:sz="4" w:space="0"/>
                  </w:tcBorders>
                  <w:vAlign w:val="center"/>
                </w:tcPr>
                <w:p>
                  <w:pPr>
                    <w:adjustRightInd w:val="0"/>
                    <w:snapToGrid w:val="0"/>
                    <w:jc w:val="center"/>
                    <w:rPr>
                      <w:b/>
                      <w:color w:val="auto"/>
                      <w:szCs w:val="21"/>
                    </w:rPr>
                  </w:pPr>
                  <w:r>
                    <w:rPr>
                      <w:rFonts w:hint="eastAsia"/>
                      <w:b/>
                      <w:color w:val="auto"/>
                      <w:szCs w:val="21"/>
                    </w:rPr>
                    <w:t>西面新市社区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90" w:hRule="atLeast"/>
                <w:jc w:val="center"/>
              </w:trPr>
              <w:tc>
                <w:tcPr>
                  <w:tcW w:w="2785" w:type="dxa"/>
                  <w:vAlign w:val="center"/>
                </w:tcPr>
                <w:p>
                  <w:pPr>
                    <w:adjustRightInd w:val="0"/>
                    <w:snapToGrid w:val="0"/>
                    <w:jc w:val="center"/>
                    <w:rPr>
                      <w:color w:val="auto"/>
                      <w:szCs w:val="21"/>
                    </w:rPr>
                  </w:pPr>
                  <w:r>
                    <w:rPr>
                      <w:color w:val="auto"/>
                      <w:szCs w:val="21"/>
                    </w:rPr>
                    <w:t>衰减距离</w:t>
                  </w:r>
                </w:p>
              </w:tc>
              <w:tc>
                <w:tcPr>
                  <w:tcW w:w="2945" w:type="dxa"/>
                  <w:tcBorders>
                    <w:right w:val="single" w:color="auto" w:sz="4" w:space="0"/>
                  </w:tcBorders>
                  <w:vAlign w:val="center"/>
                </w:tcPr>
                <w:p>
                  <w:pPr>
                    <w:adjustRightInd w:val="0"/>
                    <w:snapToGrid w:val="0"/>
                    <w:jc w:val="center"/>
                    <w:rPr>
                      <w:bCs/>
                      <w:color w:val="auto"/>
                      <w:szCs w:val="21"/>
                    </w:rPr>
                  </w:pPr>
                  <w:r>
                    <w:rPr>
                      <w:rFonts w:hint="eastAsia"/>
                      <w:bCs/>
                      <w:color w:val="auto"/>
                      <w:szCs w:val="21"/>
                    </w:rPr>
                    <w:t>58</w:t>
                  </w:r>
                  <w:r>
                    <w:rPr>
                      <w:bCs/>
                      <w:color w:val="auto"/>
                      <w:szCs w:val="21"/>
                    </w:rPr>
                    <w:t>m</w:t>
                  </w:r>
                </w:p>
              </w:tc>
              <w:tc>
                <w:tcPr>
                  <w:tcW w:w="2985" w:type="dxa"/>
                  <w:tcBorders>
                    <w:left w:val="single" w:color="auto" w:sz="4" w:space="0"/>
                  </w:tcBorders>
                  <w:vAlign w:val="center"/>
                </w:tcPr>
                <w:p>
                  <w:pPr>
                    <w:adjustRightInd w:val="0"/>
                    <w:snapToGrid w:val="0"/>
                    <w:jc w:val="center"/>
                    <w:rPr>
                      <w:bCs/>
                      <w:color w:val="auto"/>
                      <w:szCs w:val="21"/>
                    </w:rPr>
                  </w:pPr>
                  <w:r>
                    <w:rPr>
                      <w:rFonts w:hint="eastAsia"/>
                      <w:bCs/>
                      <w:color w:val="auto"/>
                      <w:szCs w:val="21"/>
                    </w:rPr>
                    <w:t>66</w:t>
                  </w:r>
                  <w:r>
                    <w:rPr>
                      <w:bCs/>
                      <w:color w:val="auto"/>
                      <w:szCs w:val="21"/>
                    </w:rPr>
                    <w:t>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贡献值</w:t>
                  </w:r>
                </w:p>
              </w:tc>
              <w:tc>
                <w:tcPr>
                  <w:tcW w:w="2945" w:type="dxa"/>
                  <w:tcBorders>
                    <w:right w:val="single" w:color="auto" w:sz="4" w:space="0"/>
                  </w:tcBorders>
                  <w:vAlign w:val="center"/>
                </w:tcPr>
                <w:p>
                  <w:pPr>
                    <w:adjustRightInd w:val="0"/>
                    <w:snapToGrid w:val="0"/>
                    <w:jc w:val="center"/>
                    <w:rPr>
                      <w:bCs/>
                      <w:color w:val="auto"/>
                      <w:szCs w:val="21"/>
                    </w:rPr>
                  </w:pPr>
                  <w:r>
                    <w:rPr>
                      <w:rFonts w:hint="eastAsia"/>
                      <w:bCs/>
                      <w:color w:val="auto"/>
                      <w:szCs w:val="21"/>
                    </w:rPr>
                    <w:t>32.2</w:t>
                  </w:r>
                </w:p>
              </w:tc>
              <w:tc>
                <w:tcPr>
                  <w:tcW w:w="2985" w:type="dxa"/>
                  <w:tcBorders>
                    <w:left w:val="single" w:color="auto" w:sz="4" w:space="0"/>
                  </w:tcBorders>
                  <w:vAlign w:val="center"/>
                </w:tcPr>
                <w:p>
                  <w:pPr>
                    <w:adjustRightInd w:val="0"/>
                    <w:snapToGrid w:val="0"/>
                    <w:jc w:val="center"/>
                    <w:rPr>
                      <w:bCs/>
                      <w:color w:val="auto"/>
                      <w:szCs w:val="21"/>
                    </w:rPr>
                  </w:pPr>
                  <w:r>
                    <w:rPr>
                      <w:rFonts w:hint="eastAsia"/>
                      <w:bCs/>
                      <w:color w:val="auto"/>
                      <w:szCs w:val="21"/>
                    </w:rPr>
                    <w:t>31.1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执行标准</w:t>
                  </w:r>
                </w:p>
              </w:tc>
              <w:tc>
                <w:tcPr>
                  <w:tcW w:w="5930" w:type="dxa"/>
                  <w:gridSpan w:val="2"/>
                  <w:vAlign w:val="center"/>
                </w:tcPr>
                <w:p>
                  <w:pPr>
                    <w:adjustRightInd w:val="0"/>
                    <w:snapToGrid w:val="0"/>
                    <w:ind w:firstLine="420" w:firstLineChars="200"/>
                    <w:jc w:val="center"/>
                    <w:rPr>
                      <w:color w:val="auto"/>
                      <w:szCs w:val="21"/>
                    </w:rPr>
                  </w:pPr>
                  <w:r>
                    <w:rPr>
                      <w:color w:val="auto"/>
                      <w:szCs w:val="21"/>
                    </w:rPr>
                    <w:t>昼间≤60，夜间≤50</w:t>
                  </w:r>
                </w:p>
              </w:tc>
            </w:tr>
          </w:tbl>
          <w:p>
            <w:pPr>
              <w:adjustRightInd w:val="0"/>
              <w:snapToGrid w:val="0"/>
              <w:spacing w:line="360" w:lineRule="auto"/>
              <w:ind w:firstLine="420" w:firstLineChars="200"/>
              <w:rPr>
                <w:color w:val="auto"/>
                <w:szCs w:val="21"/>
              </w:rPr>
            </w:pPr>
            <w:r>
              <w:rPr>
                <w:color w:val="auto"/>
                <w:szCs w:val="21"/>
              </w:rPr>
              <w:t>注：室内声源衰减量按门窗、墙体隔声23分贝为准；衰减距离按厂房到敏感点的距离计算。</w:t>
            </w:r>
          </w:p>
          <w:p>
            <w:pPr>
              <w:snapToGrid w:val="0"/>
              <w:spacing w:line="360" w:lineRule="auto"/>
              <w:ind w:firstLine="482"/>
              <w:rPr>
                <w:color w:val="auto"/>
                <w:sz w:val="24"/>
              </w:rPr>
            </w:pPr>
            <w:r>
              <w:rPr>
                <w:color w:val="auto"/>
                <w:sz w:val="24"/>
              </w:rPr>
              <w:t>根据以上计算可知，项目厂界外1米处的噪声预测值超过《工业企业厂界环境噪声排放标准》（GB12348-2008）中2类</w:t>
            </w:r>
            <w:r>
              <w:rPr>
                <w:color w:val="auto"/>
                <w:sz w:val="24"/>
                <w:highlight w:val="none"/>
              </w:rPr>
              <w:t>和4类</w:t>
            </w:r>
            <w:r>
              <w:rPr>
                <w:color w:val="auto"/>
                <w:sz w:val="24"/>
              </w:rPr>
              <w:t>标准要求，厂房噪声经过距离衰减到周边敏感点的贡献值均</w:t>
            </w:r>
            <w:r>
              <w:rPr>
                <w:bCs/>
                <w:color w:val="auto"/>
                <w:sz w:val="24"/>
              </w:rPr>
              <w:t>达到所在区域声环境功能区划标准的要求（《声环境质量标准》（GB 3096-2008）中2类</w:t>
            </w:r>
            <w:r>
              <w:rPr>
                <w:color w:val="auto"/>
                <w:sz w:val="24"/>
                <w:highlight w:val="none"/>
              </w:rPr>
              <w:t>和4</w:t>
            </w:r>
            <w:r>
              <w:rPr>
                <w:rFonts w:hint="eastAsia"/>
                <w:color w:val="auto"/>
                <w:sz w:val="24"/>
                <w:highlight w:val="none"/>
                <w:lang w:val="en-US" w:eastAsia="zh-CN"/>
              </w:rPr>
              <w:t>a</w:t>
            </w:r>
            <w:r>
              <w:rPr>
                <w:color w:val="auto"/>
                <w:sz w:val="24"/>
                <w:highlight w:val="none"/>
              </w:rPr>
              <w:t>类</w:t>
            </w:r>
            <w:r>
              <w:rPr>
                <w:bCs/>
                <w:color w:val="auto"/>
                <w:sz w:val="24"/>
              </w:rPr>
              <w:t>标准昼间噪声限值）。</w:t>
            </w:r>
          </w:p>
          <w:p>
            <w:pPr>
              <w:pStyle w:val="127"/>
              <w:ind w:firstLine="480" w:firstLineChars="200"/>
              <w:rPr>
                <w:rFonts w:ascii="Times New Roman"/>
                <w:snapToGrid w:val="0"/>
                <w:color w:val="auto"/>
                <w:kern w:val="36"/>
                <w:szCs w:val="24"/>
              </w:rPr>
            </w:pPr>
            <w:r>
              <w:rPr>
                <w:rFonts w:ascii="Times New Roman"/>
                <w:color w:val="auto"/>
                <w:szCs w:val="24"/>
              </w:rPr>
              <w:t>为使项目车间设备噪声经过墙体隔声、距离衰减后，厂界外1米处噪声值可达到《工业企业厂界环境噪声排放标准》（GB12348-2008）中2类</w:t>
            </w:r>
            <w:r>
              <w:rPr>
                <w:rFonts w:hint="default" w:ascii="Times New Roman" w:hAnsi="Times New Roman" w:cs="Times New Roman"/>
                <w:color w:val="auto"/>
                <w:sz w:val="24"/>
                <w:highlight w:val="none"/>
              </w:rPr>
              <w:t>和4</w:t>
            </w:r>
            <w:r>
              <w:rPr>
                <w:rFonts w:hint="default" w:ascii="Times New Roman" w:hAnsi="Times New Roman" w:cs="Times New Roman"/>
                <w:color w:val="auto"/>
                <w:sz w:val="24"/>
                <w:highlight w:val="none"/>
                <w:lang w:val="en-US" w:eastAsia="zh-CN"/>
              </w:rPr>
              <w:t>a</w:t>
            </w:r>
            <w:r>
              <w:rPr>
                <w:rFonts w:hint="default" w:ascii="Times New Roman" w:hAnsi="Times New Roman" w:cs="Times New Roman"/>
                <w:color w:val="auto"/>
                <w:sz w:val="24"/>
                <w:highlight w:val="none"/>
              </w:rPr>
              <w:t>类</w:t>
            </w:r>
            <w:r>
              <w:rPr>
                <w:rFonts w:ascii="Times New Roman"/>
                <w:color w:val="auto"/>
                <w:szCs w:val="24"/>
              </w:rPr>
              <w:t>标准限值，</w:t>
            </w:r>
            <w:r>
              <w:rPr>
                <w:rFonts w:ascii="Times New Roman"/>
                <w:snapToGrid w:val="0"/>
                <w:color w:val="auto"/>
                <w:kern w:val="36"/>
                <w:szCs w:val="24"/>
              </w:rPr>
              <w:t>项目拟采取以下措施：</w:t>
            </w:r>
          </w:p>
          <w:p>
            <w:pPr>
              <w:pStyle w:val="127"/>
              <w:spacing w:line="348" w:lineRule="auto"/>
              <w:ind w:firstLine="480" w:firstLineChars="200"/>
              <w:rPr>
                <w:rFonts w:ascii="Times New Roman"/>
                <w:color w:val="auto"/>
              </w:rPr>
            </w:pPr>
            <w:r>
              <w:rPr>
                <w:rFonts w:ascii="Times New Roman"/>
                <w:color w:val="auto"/>
              </w:rPr>
              <w:t>①防治措施</w:t>
            </w:r>
          </w:p>
          <w:p>
            <w:pPr>
              <w:adjustRightInd w:val="0"/>
              <w:snapToGrid w:val="0"/>
              <w:spacing w:line="348" w:lineRule="auto"/>
              <w:ind w:firstLine="480" w:firstLineChars="200"/>
              <w:rPr>
                <w:color w:val="auto"/>
                <w:sz w:val="24"/>
              </w:rPr>
            </w:pPr>
            <w:r>
              <w:rPr>
                <w:color w:val="auto"/>
                <w:sz w:val="24"/>
              </w:rPr>
              <w:t>A、在设备选型方面，在满足工艺生产的前提下，选用精度高、装配质量好、噪声低的设备；对于某些设备运行时由振动产生的噪声，应对设备基础进行减振，能降低噪声级10~15分贝。</w:t>
            </w:r>
          </w:p>
          <w:p>
            <w:pPr>
              <w:adjustRightInd w:val="0"/>
              <w:snapToGrid w:val="0"/>
              <w:spacing w:line="348" w:lineRule="auto"/>
              <w:ind w:firstLine="480" w:firstLineChars="200"/>
              <w:rPr>
                <w:color w:val="auto"/>
                <w:sz w:val="24"/>
              </w:rPr>
            </w:pPr>
            <w:r>
              <w:rPr>
                <w:color w:val="auto"/>
                <w:sz w:val="24"/>
              </w:rPr>
              <w:t>B、重视厂房的使用状况，尽量采用密闭形式，不设门窗或设隔声玻璃门窗，能降低噪声级10~15分贝；在厂房内可使用隔声材料进行降噪，主要有多孔材料如（玻璃棉、矿棉、丝棉、聚氨脂泡沫塑料、珍珠岩吸声砖），穿孔板吸声结构和薄板共振吸声结构，能降低噪声级10~20分贝。</w:t>
            </w:r>
          </w:p>
          <w:p>
            <w:pPr>
              <w:pStyle w:val="15"/>
              <w:snapToGrid w:val="0"/>
              <w:spacing w:before="0" w:after="0" w:line="348" w:lineRule="auto"/>
              <w:ind w:firstLine="480" w:firstLineChars="200"/>
              <w:rPr>
                <w:rFonts w:ascii="Times New Roman" w:hAnsi="Times New Roman" w:eastAsia="宋体"/>
                <w:b w:val="0"/>
                <w:bCs/>
                <w:color w:val="auto"/>
                <w:szCs w:val="24"/>
              </w:rPr>
            </w:pPr>
            <w:r>
              <w:rPr>
                <w:rFonts w:ascii="Times New Roman" w:hAnsi="Times New Roman" w:eastAsia="宋体"/>
                <w:b w:val="0"/>
                <w:bCs/>
                <w:color w:val="auto"/>
                <w:szCs w:val="24"/>
              </w:rPr>
              <w:t>C、对高噪声设备（如空压机）设单独隔声间放置，对墙体做隔声墙，并铺覆一层吸声材料。</w:t>
            </w:r>
          </w:p>
          <w:p>
            <w:pPr>
              <w:spacing w:line="348" w:lineRule="auto"/>
              <w:ind w:firstLine="480" w:firstLineChars="200"/>
              <w:rPr>
                <w:color w:val="auto"/>
                <w:sz w:val="24"/>
              </w:rPr>
            </w:pPr>
            <w:r>
              <w:rPr>
                <w:color w:val="auto"/>
                <w:sz w:val="24"/>
              </w:rPr>
              <w:t>②加强管理建立设备定期维护、保养的管理制度，以防止设备故障形成的非生产噪声，同时确保环保措施发挥最有效的功能；加强职工环保意识教育，提倡文明生产，防止人为噪声；对于厂区内流动声源（汽车），应强化行车管理制度，严禁鸣号，进入厂区低速行使，最大限度减少流动噪声源。</w:t>
            </w:r>
          </w:p>
          <w:p>
            <w:pPr>
              <w:spacing w:line="360" w:lineRule="auto"/>
              <w:ind w:firstLine="480"/>
              <w:rPr>
                <w:color w:val="auto"/>
                <w:sz w:val="24"/>
              </w:rPr>
            </w:pPr>
            <w:r>
              <w:rPr>
                <w:color w:val="auto"/>
                <w:sz w:val="24"/>
              </w:rPr>
              <w:t>③生产时间安排</w:t>
            </w:r>
          </w:p>
          <w:p>
            <w:pPr>
              <w:spacing w:line="360" w:lineRule="auto"/>
              <w:ind w:firstLine="480"/>
              <w:rPr>
                <w:color w:val="auto"/>
                <w:sz w:val="24"/>
              </w:rPr>
            </w:pPr>
            <w:r>
              <w:rPr>
                <w:color w:val="auto"/>
                <w:sz w:val="24"/>
              </w:rPr>
              <w:t>项目生产安排在昼间进行生产，若特殊情况夜间必须生产应控制夜间生产时间，特别夜间应停止高噪声设备，减少机械的噪声影响，同时减少夜间交通运输活动。</w:t>
            </w:r>
          </w:p>
          <w:p>
            <w:pPr>
              <w:pStyle w:val="127"/>
              <w:ind w:firstLine="480" w:firstLineChars="200"/>
              <w:rPr>
                <w:rFonts w:ascii="Times New Roman"/>
                <w:color w:val="auto"/>
              </w:rPr>
            </w:pPr>
            <w:r>
              <w:rPr>
                <w:rFonts w:ascii="Times New Roman"/>
                <w:color w:val="auto"/>
                <w:szCs w:val="24"/>
              </w:rPr>
              <w:t>综上所述，项目采取以上措施后，</w:t>
            </w:r>
            <w:r>
              <w:rPr>
                <w:rFonts w:ascii="Times New Roman"/>
                <w:color w:val="auto"/>
              </w:rPr>
              <w:t>项目的</w:t>
            </w:r>
            <w:r>
              <w:rPr>
                <w:rFonts w:ascii="Times New Roman"/>
                <w:color w:val="auto"/>
                <w:lang w:val="zh-CN"/>
              </w:rPr>
              <w:t>主要</w:t>
            </w:r>
            <w:r>
              <w:rPr>
                <w:rFonts w:ascii="Times New Roman"/>
                <w:color w:val="auto"/>
              </w:rPr>
              <w:t>噪声源为车间机制加工时设备运行噪声，噪声值约为55-65 dB（A）；空压机、冷却塔运行噪声值约为60~70dB（A）；车间机械通风、抽气所用风机运行时产生的噪声，其噪声级为50~55dB（A）</w:t>
            </w:r>
            <w:r>
              <w:rPr>
                <w:rFonts w:ascii="Times New Roman"/>
                <w:color w:val="auto"/>
                <w:kern w:val="2"/>
                <w:szCs w:val="24"/>
              </w:rPr>
              <w:t>。则</w:t>
            </w:r>
            <w:r>
              <w:rPr>
                <w:rFonts w:ascii="Times New Roman"/>
                <w:color w:val="auto"/>
              </w:rPr>
              <w:t>项目最大量情况下同时投入运作的设备数量及各设备同一区域内总声压级为71.3dB(A)。</w:t>
            </w:r>
          </w:p>
          <w:p>
            <w:pPr>
              <w:adjustRightInd w:val="0"/>
              <w:snapToGrid w:val="0"/>
              <w:spacing w:line="360" w:lineRule="auto"/>
              <w:ind w:firstLine="480" w:firstLineChars="200"/>
              <w:rPr>
                <w:color w:val="auto"/>
                <w:sz w:val="24"/>
              </w:rPr>
            </w:pPr>
            <w:r>
              <w:rPr>
                <w:color w:val="auto"/>
                <w:sz w:val="24"/>
              </w:rPr>
              <w:t>根据项目噪声源，利用预测模式计算项目厂界的噪声值和经过距离衰减到敏感点的贡献值，见下表。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项目采取措施后</w:t>
            </w:r>
            <w:r>
              <w:rPr>
                <w:rFonts w:eastAsia="宋体" w:cs="Times New Roman"/>
                <w:b/>
                <w:color w:val="auto"/>
                <w:sz w:val="21"/>
                <w:szCs w:val="21"/>
              </w:rPr>
              <w:t>噪声预测结果（单位：Leq dB(A)）</w:t>
            </w:r>
          </w:p>
          <w:tbl>
            <w:tblPr>
              <w:tblStyle w:val="44"/>
              <w:tblW w:w="8715"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785"/>
              <w:gridCol w:w="2855"/>
              <w:gridCol w:w="307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车间噪声叠加值</w:t>
                  </w:r>
                </w:p>
              </w:tc>
              <w:tc>
                <w:tcPr>
                  <w:tcW w:w="5930" w:type="dxa"/>
                  <w:gridSpan w:val="2"/>
                  <w:vAlign w:val="center"/>
                </w:tcPr>
                <w:p>
                  <w:pPr>
                    <w:adjustRightInd w:val="0"/>
                    <w:snapToGrid w:val="0"/>
                    <w:jc w:val="center"/>
                    <w:rPr>
                      <w:color w:val="auto"/>
                      <w:szCs w:val="21"/>
                    </w:rPr>
                  </w:pPr>
                  <w:r>
                    <w:rPr>
                      <w:color w:val="auto"/>
                      <w:szCs w:val="21"/>
                    </w:rPr>
                    <w:t>71.3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噪声衰减量</w:t>
                  </w:r>
                </w:p>
              </w:tc>
              <w:tc>
                <w:tcPr>
                  <w:tcW w:w="5930" w:type="dxa"/>
                  <w:gridSpan w:val="2"/>
                  <w:vAlign w:val="center"/>
                </w:tcPr>
                <w:p>
                  <w:pPr>
                    <w:adjustRightInd w:val="0"/>
                    <w:snapToGrid w:val="0"/>
                    <w:jc w:val="center"/>
                    <w:rPr>
                      <w:color w:val="auto"/>
                      <w:szCs w:val="21"/>
                    </w:rPr>
                  </w:pPr>
                  <w:r>
                    <w:rPr>
                      <w:color w:val="auto"/>
                      <w:szCs w:val="21"/>
                    </w:rPr>
                    <w:t>23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噪声预测值（厂界外1米处）</w:t>
                  </w:r>
                </w:p>
              </w:tc>
              <w:tc>
                <w:tcPr>
                  <w:tcW w:w="5930" w:type="dxa"/>
                  <w:gridSpan w:val="2"/>
                  <w:vAlign w:val="center"/>
                </w:tcPr>
                <w:p>
                  <w:pPr>
                    <w:adjustRightInd w:val="0"/>
                    <w:snapToGrid w:val="0"/>
                    <w:jc w:val="center"/>
                    <w:rPr>
                      <w:color w:val="auto"/>
                      <w:szCs w:val="21"/>
                    </w:rPr>
                  </w:pPr>
                  <w:r>
                    <w:rPr>
                      <w:color w:val="auto"/>
                      <w:szCs w:val="21"/>
                    </w:rPr>
                    <w:t>48.3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b/>
                      <w:color w:val="auto"/>
                      <w:szCs w:val="21"/>
                    </w:rPr>
                  </w:pPr>
                  <w:r>
                    <w:rPr>
                      <w:b/>
                      <w:color w:val="auto"/>
                      <w:szCs w:val="21"/>
                    </w:rPr>
                    <w:t>敏感点位置</w:t>
                  </w:r>
                  <w:r>
                    <w:rPr>
                      <w:rFonts w:hint="eastAsia"/>
                      <w:b/>
                      <w:color w:val="auto"/>
                      <w:szCs w:val="21"/>
                    </w:rPr>
                    <w:t>（200m内）</w:t>
                  </w:r>
                </w:p>
              </w:tc>
              <w:tc>
                <w:tcPr>
                  <w:tcW w:w="2855" w:type="dxa"/>
                  <w:tcBorders>
                    <w:right w:val="single" w:color="auto" w:sz="4" w:space="0"/>
                  </w:tcBorders>
                  <w:vAlign w:val="center"/>
                </w:tcPr>
                <w:p>
                  <w:pPr>
                    <w:adjustRightInd w:val="0"/>
                    <w:snapToGrid w:val="0"/>
                    <w:jc w:val="center"/>
                    <w:rPr>
                      <w:b/>
                      <w:color w:val="auto"/>
                      <w:szCs w:val="21"/>
                    </w:rPr>
                  </w:pPr>
                  <w:r>
                    <w:rPr>
                      <w:rFonts w:hint="eastAsia"/>
                      <w:b/>
                      <w:color w:val="auto"/>
                      <w:szCs w:val="21"/>
                    </w:rPr>
                    <w:t>东面泮南村</w:t>
                  </w:r>
                </w:p>
              </w:tc>
              <w:tc>
                <w:tcPr>
                  <w:tcW w:w="3075" w:type="dxa"/>
                  <w:tcBorders>
                    <w:left w:val="single" w:color="auto" w:sz="4" w:space="0"/>
                  </w:tcBorders>
                  <w:vAlign w:val="center"/>
                </w:tcPr>
                <w:p>
                  <w:pPr>
                    <w:adjustRightInd w:val="0"/>
                    <w:snapToGrid w:val="0"/>
                    <w:jc w:val="center"/>
                    <w:rPr>
                      <w:b/>
                      <w:color w:val="auto"/>
                      <w:szCs w:val="21"/>
                    </w:rPr>
                  </w:pPr>
                  <w:r>
                    <w:rPr>
                      <w:rFonts w:hint="eastAsia"/>
                      <w:b/>
                      <w:color w:val="auto"/>
                      <w:szCs w:val="21"/>
                    </w:rPr>
                    <w:t>西面新市社区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衰减距离</w:t>
                  </w:r>
                </w:p>
              </w:tc>
              <w:tc>
                <w:tcPr>
                  <w:tcW w:w="2855" w:type="dxa"/>
                  <w:tcBorders>
                    <w:right w:val="single" w:color="auto" w:sz="4" w:space="0"/>
                  </w:tcBorders>
                  <w:vAlign w:val="center"/>
                </w:tcPr>
                <w:p>
                  <w:pPr>
                    <w:adjustRightInd w:val="0"/>
                    <w:snapToGrid w:val="0"/>
                    <w:jc w:val="center"/>
                    <w:rPr>
                      <w:bCs/>
                      <w:color w:val="auto"/>
                      <w:szCs w:val="21"/>
                    </w:rPr>
                  </w:pPr>
                  <w:r>
                    <w:rPr>
                      <w:rFonts w:hint="eastAsia"/>
                      <w:bCs/>
                      <w:color w:val="auto"/>
                      <w:szCs w:val="21"/>
                    </w:rPr>
                    <w:t>58</w:t>
                  </w:r>
                  <w:r>
                    <w:rPr>
                      <w:bCs/>
                      <w:color w:val="auto"/>
                      <w:szCs w:val="21"/>
                    </w:rPr>
                    <w:t>m</w:t>
                  </w:r>
                </w:p>
              </w:tc>
              <w:tc>
                <w:tcPr>
                  <w:tcW w:w="3075" w:type="dxa"/>
                  <w:tcBorders>
                    <w:left w:val="single" w:color="auto" w:sz="4" w:space="0"/>
                  </w:tcBorders>
                  <w:vAlign w:val="center"/>
                </w:tcPr>
                <w:p>
                  <w:pPr>
                    <w:adjustRightInd w:val="0"/>
                    <w:snapToGrid w:val="0"/>
                    <w:jc w:val="center"/>
                    <w:rPr>
                      <w:bCs/>
                      <w:color w:val="auto"/>
                      <w:szCs w:val="21"/>
                    </w:rPr>
                  </w:pPr>
                  <w:r>
                    <w:rPr>
                      <w:rFonts w:hint="eastAsia"/>
                      <w:bCs/>
                      <w:color w:val="auto"/>
                      <w:szCs w:val="21"/>
                    </w:rPr>
                    <w:t>66</w:t>
                  </w:r>
                  <w:r>
                    <w:rPr>
                      <w:bCs/>
                      <w:color w:val="auto"/>
                      <w:szCs w:val="21"/>
                    </w:rPr>
                    <w:t>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贡献值</w:t>
                  </w:r>
                </w:p>
              </w:tc>
              <w:tc>
                <w:tcPr>
                  <w:tcW w:w="2855" w:type="dxa"/>
                  <w:tcBorders>
                    <w:right w:val="single" w:color="auto" w:sz="4" w:space="0"/>
                  </w:tcBorders>
                  <w:vAlign w:val="center"/>
                </w:tcPr>
                <w:p>
                  <w:pPr>
                    <w:adjustRightInd w:val="0"/>
                    <w:snapToGrid w:val="0"/>
                    <w:jc w:val="center"/>
                    <w:rPr>
                      <w:bCs/>
                      <w:color w:val="auto"/>
                      <w:szCs w:val="21"/>
                    </w:rPr>
                  </w:pPr>
                  <w:r>
                    <w:rPr>
                      <w:rFonts w:hint="eastAsia"/>
                      <w:bCs/>
                      <w:color w:val="auto"/>
                      <w:szCs w:val="21"/>
                    </w:rPr>
                    <w:t>13.0</w:t>
                  </w:r>
                </w:p>
              </w:tc>
              <w:tc>
                <w:tcPr>
                  <w:tcW w:w="3075" w:type="dxa"/>
                  <w:tcBorders>
                    <w:left w:val="single" w:color="auto" w:sz="4" w:space="0"/>
                  </w:tcBorders>
                  <w:vAlign w:val="center"/>
                </w:tcPr>
                <w:p>
                  <w:pPr>
                    <w:adjustRightInd w:val="0"/>
                    <w:snapToGrid w:val="0"/>
                    <w:jc w:val="center"/>
                    <w:rPr>
                      <w:bCs/>
                      <w:color w:val="auto"/>
                      <w:szCs w:val="21"/>
                    </w:rPr>
                  </w:pPr>
                  <w:r>
                    <w:rPr>
                      <w:rFonts w:hint="eastAsia"/>
                      <w:bCs/>
                      <w:color w:val="auto"/>
                      <w:szCs w:val="21"/>
                    </w:rPr>
                    <w:t>11.9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rFonts w:hint="eastAsia"/>
                      <w:color w:val="auto"/>
                      <w:szCs w:val="21"/>
                    </w:rPr>
                    <w:t>背景值</w:t>
                  </w:r>
                </w:p>
              </w:tc>
              <w:tc>
                <w:tcPr>
                  <w:tcW w:w="2855" w:type="dxa"/>
                  <w:tcBorders>
                    <w:right w:val="single" w:color="auto" w:sz="4" w:space="0"/>
                  </w:tcBorders>
                  <w:vAlign w:val="center"/>
                </w:tcPr>
                <w:p>
                  <w:pPr>
                    <w:adjustRightInd w:val="0"/>
                    <w:snapToGrid w:val="0"/>
                    <w:jc w:val="center"/>
                    <w:rPr>
                      <w:bCs/>
                      <w:color w:val="auto"/>
                      <w:szCs w:val="21"/>
                    </w:rPr>
                  </w:pPr>
                  <w:r>
                    <w:rPr>
                      <w:rFonts w:hint="eastAsia"/>
                      <w:bCs/>
                      <w:color w:val="auto"/>
                      <w:szCs w:val="21"/>
                    </w:rPr>
                    <w:t>57</w:t>
                  </w:r>
                </w:p>
              </w:tc>
              <w:tc>
                <w:tcPr>
                  <w:tcW w:w="3075" w:type="dxa"/>
                  <w:tcBorders>
                    <w:left w:val="single" w:color="auto" w:sz="4" w:space="0"/>
                  </w:tcBorders>
                  <w:vAlign w:val="center"/>
                </w:tcPr>
                <w:p>
                  <w:pPr>
                    <w:adjustRightInd w:val="0"/>
                    <w:snapToGrid w:val="0"/>
                    <w:jc w:val="center"/>
                    <w:rPr>
                      <w:bCs/>
                      <w:color w:val="auto"/>
                      <w:szCs w:val="21"/>
                    </w:rPr>
                  </w:pPr>
                  <w:r>
                    <w:rPr>
                      <w:rFonts w:hint="eastAsia"/>
                      <w:bCs/>
                      <w:color w:val="auto"/>
                      <w:szCs w:val="21"/>
                    </w:rPr>
                    <w:t>58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rFonts w:hint="eastAsia"/>
                      <w:color w:val="auto"/>
                      <w:szCs w:val="21"/>
                    </w:rPr>
                    <w:t>叠加值</w:t>
                  </w:r>
                </w:p>
              </w:tc>
              <w:tc>
                <w:tcPr>
                  <w:tcW w:w="2855" w:type="dxa"/>
                  <w:tcBorders>
                    <w:right w:val="single" w:color="auto" w:sz="4" w:space="0"/>
                  </w:tcBorders>
                  <w:vAlign w:val="center"/>
                </w:tcPr>
                <w:p>
                  <w:pPr>
                    <w:adjustRightInd w:val="0"/>
                    <w:snapToGrid w:val="0"/>
                    <w:jc w:val="center"/>
                    <w:rPr>
                      <w:bCs/>
                      <w:color w:val="auto"/>
                      <w:szCs w:val="21"/>
                    </w:rPr>
                  </w:pPr>
                  <w:r>
                    <w:rPr>
                      <w:rFonts w:hint="eastAsia"/>
                      <w:bCs/>
                      <w:color w:val="auto"/>
                      <w:szCs w:val="21"/>
                    </w:rPr>
                    <w:t>57</w:t>
                  </w:r>
                </w:p>
              </w:tc>
              <w:tc>
                <w:tcPr>
                  <w:tcW w:w="3075" w:type="dxa"/>
                  <w:tcBorders>
                    <w:left w:val="single" w:color="auto" w:sz="4" w:space="0"/>
                  </w:tcBorders>
                  <w:vAlign w:val="center"/>
                </w:tcPr>
                <w:p>
                  <w:pPr>
                    <w:adjustRightInd w:val="0"/>
                    <w:snapToGrid w:val="0"/>
                    <w:jc w:val="center"/>
                    <w:rPr>
                      <w:bCs/>
                      <w:color w:val="auto"/>
                      <w:szCs w:val="21"/>
                    </w:rPr>
                  </w:pPr>
                  <w:r>
                    <w:rPr>
                      <w:rFonts w:hint="eastAsia"/>
                      <w:bCs/>
                      <w:color w:val="auto"/>
                      <w:szCs w:val="21"/>
                    </w:rPr>
                    <w:t>58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color w:val="auto"/>
                      <w:szCs w:val="21"/>
                    </w:rPr>
                  </w:pPr>
                  <w:r>
                    <w:rPr>
                      <w:color w:val="auto"/>
                      <w:szCs w:val="21"/>
                    </w:rPr>
                    <w:t>执行标准</w:t>
                  </w:r>
                </w:p>
              </w:tc>
              <w:tc>
                <w:tcPr>
                  <w:tcW w:w="5930" w:type="dxa"/>
                  <w:gridSpan w:val="2"/>
                  <w:vAlign w:val="center"/>
                </w:tcPr>
                <w:p>
                  <w:pPr>
                    <w:adjustRightInd w:val="0"/>
                    <w:snapToGrid w:val="0"/>
                    <w:ind w:firstLine="420" w:firstLineChars="200"/>
                    <w:jc w:val="center"/>
                    <w:rPr>
                      <w:color w:val="auto"/>
                      <w:szCs w:val="21"/>
                    </w:rPr>
                  </w:pPr>
                  <w:r>
                    <w:rPr>
                      <w:color w:val="auto"/>
                      <w:szCs w:val="21"/>
                    </w:rPr>
                    <w:t>昼间≤60，夜间≤50</w:t>
                  </w:r>
                </w:p>
              </w:tc>
            </w:tr>
          </w:tbl>
          <w:p>
            <w:pPr>
              <w:adjustRightInd w:val="0"/>
              <w:snapToGrid w:val="0"/>
              <w:spacing w:line="360" w:lineRule="auto"/>
              <w:ind w:firstLine="420" w:firstLineChars="200"/>
              <w:rPr>
                <w:color w:val="auto"/>
                <w:szCs w:val="21"/>
              </w:rPr>
            </w:pPr>
            <w:r>
              <w:rPr>
                <w:color w:val="auto"/>
                <w:szCs w:val="21"/>
              </w:rPr>
              <w:t>注：室内声源衰减量按门窗、墙体隔声23分贝为准；衰减距离按厂房到敏感点的距离计算。</w:t>
            </w:r>
          </w:p>
          <w:p>
            <w:pPr>
              <w:spacing w:line="360" w:lineRule="auto"/>
              <w:ind w:firstLine="480" w:firstLineChars="200"/>
              <w:rPr>
                <w:color w:val="auto"/>
                <w:sz w:val="24"/>
              </w:rPr>
            </w:pPr>
            <w:r>
              <w:rPr>
                <w:color w:val="auto"/>
                <w:kern w:val="0"/>
                <w:sz w:val="24"/>
                <w:szCs w:val="20"/>
              </w:rPr>
              <w:t>综上所述，采取上述措施，再通过一定的距离的衰减，项目厂界噪声达到《工业企业厂界环境噪声排放标准》(GB12348－2008) 2类</w:t>
            </w:r>
            <w:r>
              <w:rPr>
                <w:color w:val="auto"/>
                <w:sz w:val="24"/>
                <w:highlight w:val="none"/>
              </w:rPr>
              <w:t>和4类</w:t>
            </w:r>
            <w:r>
              <w:rPr>
                <w:color w:val="auto"/>
                <w:kern w:val="0"/>
                <w:sz w:val="24"/>
                <w:szCs w:val="20"/>
              </w:rPr>
              <w:t>标准要求，对周边敏感点和周边环境影响甚微。</w:t>
            </w:r>
          </w:p>
          <w:p>
            <w:pPr>
              <w:pStyle w:val="34"/>
              <w:spacing w:line="336" w:lineRule="auto"/>
              <w:ind w:firstLine="501" w:firstLineChars="208"/>
              <w:rPr>
                <w:b/>
                <w:color w:val="auto"/>
                <w:kern w:val="2"/>
              </w:rPr>
            </w:pPr>
            <w:r>
              <w:rPr>
                <w:rFonts w:hint="eastAsia"/>
                <w:b/>
                <w:color w:val="auto"/>
                <w:kern w:val="2"/>
              </w:rPr>
              <w:t>四、固体废物影响分析</w:t>
            </w:r>
          </w:p>
          <w:p>
            <w:pPr>
              <w:pStyle w:val="53"/>
              <w:autoSpaceDE/>
              <w:autoSpaceDN/>
              <w:snapToGrid w:val="0"/>
              <w:spacing w:line="336" w:lineRule="auto"/>
              <w:ind w:firstLine="475" w:firstLineChars="197"/>
              <w:textAlignment w:val="auto"/>
              <w:rPr>
                <w:rFonts w:hAnsi="宋体" w:eastAsia="宋体"/>
                <w:bCs/>
                <w:color w:val="auto"/>
              </w:rPr>
            </w:pPr>
            <w:r>
              <w:rPr>
                <w:rFonts w:hint="eastAsia" w:ascii="宋体" w:hAnsi="宋体" w:eastAsia="宋体"/>
                <w:b/>
                <w:color w:val="auto"/>
                <w:kern w:val="2"/>
                <w:szCs w:val="24"/>
              </w:rPr>
              <w:t>生活垃圾：</w:t>
            </w:r>
            <w:r>
              <w:rPr>
                <w:rFonts w:hint="eastAsia" w:hAnsi="宋体" w:eastAsia="宋体"/>
                <w:bCs/>
                <w:color w:val="auto"/>
              </w:rPr>
              <w:t>生活垃圾包括平时生活使用的废旧塑料袋、饮料罐、纸盒等。生活垃圾中铝制罐、塑料瓶、玻璃瓶、报纸等可回收利用物质，分类收集再利用。对堆放点进行消毒杀菌，不能再利用的剩余垃圾交予环卫部门进行集中填埋处理处置。</w:t>
            </w:r>
          </w:p>
          <w:p>
            <w:pPr>
              <w:adjustRightInd w:val="0"/>
              <w:snapToGrid w:val="0"/>
              <w:spacing w:line="360" w:lineRule="auto"/>
              <w:ind w:firstLine="482" w:firstLineChars="200"/>
              <w:rPr>
                <w:color w:val="auto"/>
                <w:sz w:val="24"/>
              </w:rPr>
            </w:pPr>
            <w:r>
              <w:rPr>
                <w:rFonts w:hint="eastAsia" w:ascii="宋体" w:hAnsi="宋体"/>
                <w:b/>
                <w:color w:val="auto"/>
                <w:sz w:val="24"/>
              </w:rPr>
              <w:t>一般工业固废</w:t>
            </w:r>
            <w:r>
              <w:rPr>
                <w:rFonts w:hint="eastAsia"/>
                <w:color w:val="auto"/>
                <w:sz w:val="24"/>
              </w:rPr>
              <w:t>：</w:t>
            </w:r>
            <w:r>
              <w:rPr>
                <w:color w:val="auto"/>
                <w:sz w:val="24"/>
                <w:szCs w:val="22"/>
              </w:rPr>
              <w:t>根据建设单位提供的资料，</w:t>
            </w:r>
            <w:r>
              <w:rPr>
                <w:bCs/>
                <w:color w:val="auto"/>
                <w:sz w:val="24"/>
              </w:rPr>
              <w:t>项目</w:t>
            </w:r>
            <w:r>
              <w:rPr>
                <w:rFonts w:hint="eastAsia"/>
                <w:bCs/>
                <w:color w:val="auto"/>
                <w:sz w:val="24"/>
              </w:rPr>
              <w:t>造粒、挤出成型工序</w:t>
            </w:r>
            <w:r>
              <w:rPr>
                <w:bCs/>
                <w:color w:val="auto"/>
                <w:sz w:val="24"/>
              </w:rPr>
              <w:t>产生</w:t>
            </w:r>
            <w:r>
              <w:rPr>
                <w:rFonts w:hint="eastAsia"/>
                <w:bCs/>
                <w:color w:val="auto"/>
                <w:sz w:val="24"/>
              </w:rPr>
              <w:t>少量</w:t>
            </w:r>
            <w:r>
              <w:rPr>
                <w:bCs/>
                <w:color w:val="auto"/>
                <w:sz w:val="24"/>
              </w:rPr>
              <w:t>边角料，产生量约为</w:t>
            </w:r>
            <w:r>
              <w:rPr>
                <w:rFonts w:hint="eastAsia"/>
                <w:bCs/>
                <w:color w:val="auto"/>
                <w:sz w:val="24"/>
              </w:rPr>
              <w:t>2</w:t>
            </w:r>
            <w:r>
              <w:rPr>
                <w:color w:val="auto"/>
                <w:spacing w:val="-2"/>
                <w:sz w:val="24"/>
              </w:rPr>
              <w:t>t/a</w:t>
            </w:r>
            <w:r>
              <w:rPr>
                <w:bCs/>
                <w:color w:val="auto"/>
                <w:sz w:val="24"/>
              </w:rPr>
              <w:t>；</w:t>
            </w:r>
            <w:r>
              <w:rPr>
                <w:rFonts w:hint="eastAsia"/>
                <w:bCs/>
                <w:color w:val="auto"/>
                <w:sz w:val="24"/>
              </w:rPr>
              <w:t>检验工序产生少量不合格品，产生量约为3</w:t>
            </w:r>
            <w:r>
              <w:rPr>
                <w:color w:val="auto"/>
                <w:spacing w:val="-2"/>
                <w:sz w:val="24"/>
              </w:rPr>
              <w:t>t/a</w:t>
            </w:r>
            <w:r>
              <w:rPr>
                <w:rFonts w:hint="eastAsia"/>
                <w:color w:val="auto"/>
                <w:spacing w:val="-2"/>
                <w:sz w:val="24"/>
              </w:rPr>
              <w:t>；混料、包装工序产生少量废包装材料</w:t>
            </w:r>
            <w:r>
              <w:rPr>
                <w:rFonts w:hint="eastAsia"/>
                <w:bCs/>
                <w:color w:val="auto"/>
                <w:sz w:val="24"/>
              </w:rPr>
              <w:t>，产生量约为0.3</w:t>
            </w:r>
            <w:r>
              <w:rPr>
                <w:color w:val="auto"/>
                <w:spacing w:val="-2"/>
                <w:sz w:val="24"/>
              </w:rPr>
              <w:t>t/a</w:t>
            </w:r>
            <w:r>
              <w:rPr>
                <w:rFonts w:hint="eastAsia"/>
                <w:color w:val="auto"/>
                <w:spacing w:val="-2"/>
                <w:sz w:val="24"/>
              </w:rPr>
              <w:t>。</w:t>
            </w:r>
            <w:r>
              <w:rPr>
                <w:color w:val="auto"/>
                <w:sz w:val="24"/>
              </w:rPr>
              <w:t>综上所述，项目一般固废产生量为</w:t>
            </w:r>
            <w:r>
              <w:rPr>
                <w:rFonts w:hint="eastAsia"/>
                <w:color w:val="auto"/>
                <w:sz w:val="24"/>
              </w:rPr>
              <w:t>5.3</w:t>
            </w:r>
            <w:r>
              <w:rPr>
                <w:color w:val="auto"/>
                <w:spacing w:val="-2"/>
                <w:sz w:val="24"/>
              </w:rPr>
              <w:t>t/a</w:t>
            </w:r>
            <w:r>
              <w:rPr>
                <w:color w:val="auto"/>
                <w:sz w:val="24"/>
              </w:rPr>
              <w:t>，经收集后</w:t>
            </w:r>
            <w:r>
              <w:rPr>
                <w:color w:val="auto"/>
                <w:spacing w:val="-2"/>
                <w:sz w:val="24"/>
              </w:rPr>
              <w:t>交专业公司回收处理</w:t>
            </w:r>
            <w:r>
              <w:rPr>
                <w:color w:val="auto"/>
                <w:sz w:val="24"/>
              </w:rPr>
              <w:t>。</w:t>
            </w:r>
          </w:p>
          <w:p>
            <w:pPr>
              <w:spacing w:line="360" w:lineRule="auto"/>
              <w:ind w:firstLine="482" w:firstLineChars="200"/>
              <w:rPr>
                <w:rFonts w:hAnsi="宋体"/>
                <w:b/>
                <w:color w:val="auto"/>
                <w:sz w:val="24"/>
              </w:rPr>
            </w:pPr>
            <w:r>
              <w:rPr>
                <w:rFonts w:hint="eastAsia" w:hAnsi="宋体"/>
                <w:b/>
                <w:color w:val="auto"/>
                <w:sz w:val="24"/>
              </w:rPr>
              <w:t>中转物：</w:t>
            </w:r>
            <w:r>
              <w:rPr>
                <w:rFonts w:hint="eastAsia"/>
                <w:color w:val="auto"/>
                <w:sz w:val="24"/>
              </w:rPr>
              <w:t>根据《固体废物鉴别标准 通则（GB 34330-2017）》中“任何不需要修复和加工即可用于其原始用途的物质，或者在产生点经过修复和加工后满足国家、地方制定或行业通行的产品质量标准并且用于其原始用途的物质，可不作为固体废物管理”。故本项目中的增塑剂包装桶属于中转物，可不计入固体废物管理，产生量约1t/a，经收集后交给供应商回收处理。</w:t>
            </w:r>
            <w:r>
              <w:rPr>
                <w:rFonts w:hint="eastAsia"/>
                <w:color w:val="auto"/>
                <w:sz w:val="24"/>
                <w:szCs w:val="24"/>
              </w:rPr>
              <w:t>若供应商不愿回收，</w:t>
            </w:r>
            <w:r>
              <w:rPr>
                <w:rFonts w:hint="eastAsia"/>
                <w:color w:val="auto"/>
                <w:sz w:val="24"/>
                <w:szCs w:val="24"/>
                <w:lang w:eastAsia="zh-CN"/>
              </w:rPr>
              <w:t>则作为危险废物交给有危险废物处置资质单位处置，</w:t>
            </w:r>
            <w:r>
              <w:rPr>
                <w:rFonts w:hint="default" w:ascii="Times New Roman" w:hAnsi="Times New Roman" w:eastAsia="宋体" w:cs="Times New Roman"/>
                <w:color w:val="auto"/>
                <w:sz w:val="24"/>
                <w:szCs w:val="20"/>
                <w:highlight w:val="none"/>
              </w:rPr>
              <w:t>废物类别：HW49其他废物，废物代码：900-041-49</w:t>
            </w:r>
            <w:r>
              <w:rPr>
                <w:rFonts w:hint="eastAsia" w:cs="Times New Roman"/>
                <w:color w:val="auto"/>
                <w:sz w:val="24"/>
                <w:szCs w:val="20"/>
                <w:highlight w:val="none"/>
                <w:lang w:eastAsia="zh-CN"/>
              </w:rPr>
              <w:t>。</w:t>
            </w:r>
          </w:p>
          <w:p>
            <w:pPr>
              <w:adjustRightInd w:val="0"/>
              <w:snapToGrid w:val="0"/>
              <w:spacing w:line="360" w:lineRule="auto"/>
              <w:ind w:firstLine="482" w:firstLineChars="200"/>
              <w:rPr>
                <w:color w:val="auto"/>
                <w:sz w:val="24"/>
                <w:szCs w:val="22"/>
              </w:rPr>
            </w:pPr>
            <w:r>
              <w:rPr>
                <w:rFonts w:hint="eastAsia"/>
                <w:b/>
                <w:bCs/>
                <w:color w:val="auto"/>
                <w:sz w:val="24"/>
                <w:szCs w:val="22"/>
              </w:rPr>
              <w:t>危险废物：</w:t>
            </w:r>
            <w:r>
              <w:rPr>
                <w:rFonts w:hint="eastAsia"/>
                <w:color w:val="auto"/>
                <w:sz w:val="24"/>
              </w:rPr>
              <w:t>废UV灯管、废活性炭</w:t>
            </w:r>
            <w:r>
              <w:rPr>
                <w:rFonts w:hint="eastAsia"/>
                <w:color w:val="auto"/>
                <w:sz w:val="24"/>
                <w:szCs w:val="22"/>
              </w:rPr>
              <w:t>暂存于危废暂存区，定期交有危险废物处置资质的单位处置。根据项目危险废物产废周期，本项目拟每年将危险废物交有资质公司处置一次，胶桶收集单个容积0.5m</w:t>
            </w:r>
            <w:r>
              <w:rPr>
                <w:rFonts w:hint="eastAsia"/>
                <w:color w:val="auto"/>
                <w:sz w:val="24"/>
                <w:szCs w:val="22"/>
                <w:vertAlign w:val="superscript"/>
              </w:rPr>
              <w:t>3</w:t>
            </w:r>
            <w:r>
              <w:rPr>
                <w:rFonts w:hint="eastAsia"/>
                <w:color w:val="auto"/>
                <w:sz w:val="24"/>
                <w:szCs w:val="22"/>
              </w:rPr>
              <w:t>，占地面积约1m</w:t>
            </w:r>
            <w:r>
              <w:rPr>
                <w:rFonts w:hint="eastAsia"/>
                <w:color w:val="auto"/>
                <w:sz w:val="24"/>
                <w:szCs w:val="22"/>
                <w:vertAlign w:val="superscript"/>
              </w:rPr>
              <w:t>2</w:t>
            </w:r>
            <w:r>
              <w:rPr>
                <w:rFonts w:hint="eastAsia"/>
                <w:color w:val="auto"/>
                <w:sz w:val="24"/>
                <w:szCs w:val="22"/>
              </w:rPr>
              <w:t>，约需1个，合计约需占地面积1m</w:t>
            </w:r>
            <w:r>
              <w:rPr>
                <w:rFonts w:hint="eastAsia"/>
                <w:color w:val="auto"/>
                <w:sz w:val="24"/>
                <w:szCs w:val="22"/>
                <w:vertAlign w:val="superscript"/>
              </w:rPr>
              <w:t>2</w:t>
            </w:r>
            <w:r>
              <w:rPr>
                <w:rFonts w:hint="eastAsia"/>
                <w:color w:val="auto"/>
                <w:sz w:val="24"/>
                <w:szCs w:val="22"/>
              </w:rPr>
              <w:t>，本项目拟设置危险废物暂存区占地面积2m</w:t>
            </w:r>
            <w:r>
              <w:rPr>
                <w:rFonts w:hint="eastAsia"/>
                <w:color w:val="auto"/>
                <w:sz w:val="24"/>
                <w:szCs w:val="22"/>
                <w:vertAlign w:val="superscript"/>
              </w:rPr>
              <w:t>2</w:t>
            </w:r>
            <w:r>
              <w:rPr>
                <w:rFonts w:hint="eastAsia"/>
                <w:color w:val="auto"/>
                <w:sz w:val="24"/>
                <w:szCs w:val="22"/>
              </w:rPr>
              <w:t>，可满足最大暂存危险废物要求。故拟设置的危废暂存区能够满足本项目危险废物暂存要求。危险废物暂存区将严格按照《危险废物贮存污染控制标准》（GB18597-2001）及其2013年修改单中的要求建设和维护使用。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本项目危废</w:t>
            </w:r>
            <w:r>
              <w:rPr>
                <w:rFonts w:hint="eastAsia" w:eastAsia="宋体" w:cs="Times New Roman"/>
                <w:b/>
                <w:color w:val="auto"/>
                <w:sz w:val="21"/>
                <w:szCs w:val="21"/>
              </w:rPr>
              <w:t>暂存区</w:t>
            </w:r>
            <w:r>
              <w:rPr>
                <w:rFonts w:eastAsia="宋体" w:cs="Times New Roman"/>
                <w:b/>
                <w:color w:val="auto"/>
                <w:sz w:val="21"/>
                <w:szCs w:val="21"/>
              </w:rPr>
              <w:t>基本情况表</w:t>
            </w:r>
          </w:p>
          <w:tbl>
            <w:tblPr>
              <w:tblStyle w:val="44"/>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1092"/>
              <w:gridCol w:w="1089"/>
              <w:gridCol w:w="1130"/>
              <w:gridCol w:w="900"/>
              <w:gridCol w:w="780"/>
              <w:gridCol w:w="810"/>
              <w:gridCol w:w="795"/>
              <w:gridCol w:w="690"/>
              <w:gridCol w:w="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49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序号</w:t>
                  </w:r>
                </w:p>
              </w:tc>
              <w:tc>
                <w:tcPr>
                  <w:tcW w:w="1092"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贮存场所（设施）</w:t>
                  </w:r>
                </w:p>
                <w:p>
                  <w:pPr>
                    <w:topLinePunct/>
                    <w:adjustRightInd w:val="0"/>
                    <w:snapToGrid w:val="0"/>
                    <w:jc w:val="center"/>
                    <w:rPr>
                      <w:b/>
                      <w:bCs/>
                      <w:color w:val="auto"/>
                      <w:kern w:val="0"/>
                      <w:szCs w:val="21"/>
                    </w:rPr>
                  </w:pPr>
                  <w:r>
                    <w:rPr>
                      <w:b/>
                      <w:bCs/>
                      <w:color w:val="auto"/>
                      <w:kern w:val="0"/>
                      <w:szCs w:val="21"/>
                    </w:rPr>
                    <w:t>名称</w:t>
                  </w:r>
                </w:p>
              </w:tc>
              <w:tc>
                <w:tcPr>
                  <w:tcW w:w="1089"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危险废物名称</w:t>
                  </w:r>
                </w:p>
              </w:tc>
              <w:tc>
                <w:tcPr>
                  <w:tcW w:w="113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危险废物类别</w:t>
                  </w:r>
                </w:p>
              </w:tc>
              <w:tc>
                <w:tcPr>
                  <w:tcW w:w="90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危险废物代码</w:t>
                  </w:r>
                </w:p>
              </w:tc>
              <w:tc>
                <w:tcPr>
                  <w:tcW w:w="78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位置</w:t>
                  </w:r>
                </w:p>
              </w:tc>
              <w:tc>
                <w:tcPr>
                  <w:tcW w:w="81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占地面积</w:t>
                  </w:r>
                </w:p>
              </w:tc>
              <w:tc>
                <w:tcPr>
                  <w:tcW w:w="795"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贮存方式</w:t>
                  </w:r>
                </w:p>
              </w:tc>
              <w:tc>
                <w:tcPr>
                  <w:tcW w:w="690"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贮存</w:t>
                  </w:r>
                </w:p>
                <w:p>
                  <w:pPr>
                    <w:topLinePunct/>
                    <w:adjustRightInd w:val="0"/>
                    <w:snapToGrid w:val="0"/>
                    <w:jc w:val="center"/>
                    <w:rPr>
                      <w:b/>
                      <w:bCs/>
                      <w:color w:val="auto"/>
                      <w:kern w:val="0"/>
                      <w:szCs w:val="21"/>
                    </w:rPr>
                  </w:pPr>
                  <w:r>
                    <w:rPr>
                      <w:b/>
                      <w:bCs/>
                      <w:color w:val="auto"/>
                      <w:kern w:val="0"/>
                      <w:szCs w:val="21"/>
                    </w:rPr>
                    <w:t>能力</w:t>
                  </w:r>
                </w:p>
              </w:tc>
              <w:tc>
                <w:tcPr>
                  <w:tcW w:w="728" w:type="dxa"/>
                  <w:tcBorders>
                    <w:tl2br w:val="nil"/>
                    <w:tr2bl w:val="nil"/>
                  </w:tcBorders>
                  <w:vAlign w:val="center"/>
                </w:tcPr>
                <w:p>
                  <w:pPr>
                    <w:topLinePunct/>
                    <w:adjustRightInd w:val="0"/>
                    <w:snapToGrid w:val="0"/>
                    <w:jc w:val="center"/>
                    <w:rPr>
                      <w:b/>
                      <w:bCs/>
                      <w:color w:val="auto"/>
                      <w:kern w:val="0"/>
                      <w:szCs w:val="21"/>
                    </w:rPr>
                  </w:pPr>
                  <w:r>
                    <w:rPr>
                      <w:b/>
                      <w:bCs/>
                      <w:color w:val="auto"/>
                      <w:kern w:val="0"/>
                      <w:szCs w:val="21"/>
                    </w:rPr>
                    <w:t>贮存</w:t>
                  </w:r>
                </w:p>
                <w:p>
                  <w:pPr>
                    <w:topLinePunct/>
                    <w:adjustRightInd w:val="0"/>
                    <w:snapToGrid w:val="0"/>
                    <w:jc w:val="center"/>
                    <w:rPr>
                      <w:b/>
                      <w:bCs/>
                      <w:color w:val="auto"/>
                      <w:kern w:val="0"/>
                      <w:szCs w:val="21"/>
                    </w:rPr>
                  </w:pPr>
                  <w:r>
                    <w:rPr>
                      <w:b/>
                      <w:bCs/>
                      <w:color w:val="auto"/>
                      <w:kern w:val="0"/>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0" w:type="dxa"/>
                  <w:tcBorders>
                    <w:tl2br w:val="nil"/>
                    <w:tr2bl w:val="nil"/>
                  </w:tcBorders>
                  <w:vAlign w:val="center"/>
                </w:tcPr>
                <w:p>
                  <w:pPr>
                    <w:topLinePunct/>
                    <w:adjustRightInd w:val="0"/>
                    <w:snapToGrid w:val="0"/>
                    <w:jc w:val="center"/>
                    <w:rPr>
                      <w:color w:val="auto"/>
                      <w:kern w:val="0"/>
                      <w:szCs w:val="21"/>
                    </w:rPr>
                  </w:pPr>
                  <w:r>
                    <w:rPr>
                      <w:color w:val="auto"/>
                      <w:kern w:val="0"/>
                      <w:szCs w:val="21"/>
                    </w:rPr>
                    <w:t>1</w:t>
                  </w:r>
                </w:p>
              </w:tc>
              <w:tc>
                <w:tcPr>
                  <w:tcW w:w="1092" w:type="dxa"/>
                  <w:vMerge w:val="restart"/>
                  <w:tcBorders>
                    <w:tl2br w:val="nil"/>
                    <w:tr2bl w:val="nil"/>
                  </w:tcBorders>
                  <w:vAlign w:val="center"/>
                </w:tcPr>
                <w:p>
                  <w:pPr>
                    <w:topLinePunct/>
                    <w:adjustRightInd w:val="0"/>
                    <w:snapToGrid w:val="0"/>
                    <w:jc w:val="center"/>
                    <w:rPr>
                      <w:color w:val="auto"/>
                      <w:kern w:val="0"/>
                      <w:szCs w:val="21"/>
                    </w:rPr>
                  </w:pPr>
                  <w:r>
                    <w:rPr>
                      <w:color w:val="auto"/>
                      <w:kern w:val="0"/>
                      <w:szCs w:val="21"/>
                    </w:rPr>
                    <w:t>危废暂存区</w:t>
                  </w:r>
                </w:p>
              </w:tc>
              <w:tc>
                <w:tcPr>
                  <w:tcW w:w="1089"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废UV灯管</w:t>
                  </w:r>
                </w:p>
              </w:tc>
              <w:tc>
                <w:tcPr>
                  <w:tcW w:w="1130"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HW29含汞废物</w:t>
                  </w:r>
                </w:p>
              </w:tc>
              <w:tc>
                <w:tcPr>
                  <w:tcW w:w="900" w:type="dxa"/>
                  <w:tcBorders>
                    <w:tl2br w:val="nil"/>
                    <w:tr2bl w:val="nil"/>
                  </w:tcBorders>
                  <w:vAlign w:val="center"/>
                </w:tcPr>
                <w:p>
                  <w:pPr>
                    <w:topLinePunct/>
                    <w:adjustRightInd w:val="0"/>
                    <w:snapToGrid w:val="0"/>
                    <w:jc w:val="center"/>
                    <w:rPr>
                      <w:color w:val="auto"/>
                      <w:kern w:val="0"/>
                      <w:szCs w:val="21"/>
                    </w:rPr>
                  </w:pPr>
                  <w:r>
                    <w:rPr>
                      <w:rFonts w:hint="eastAsia"/>
                      <w:color w:val="auto"/>
                      <w:szCs w:val="21"/>
                    </w:rPr>
                    <w:t>900-023-29</w:t>
                  </w:r>
                </w:p>
              </w:tc>
              <w:tc>
                <w:tcPr>
                  <w:tcW w:w="780" w:type="dxa"/>
                  <w:vMerge w:val="restart"/>
                  <w:tcBorders>
                    <w:tl2br w:val="nil"/>
                    <w:tr2bl w:val="nil"/>
                  </w:tcBorders>
                  <w:vAlign w:val="center"/>
                </w:tcPr>
                <w:p>
                  <w:pPr>
                    <w:topLinePunct/>
                    <w:adjustRightInd w:val="0"/>
                    <w:snapToGrid w:val="0"/>
                    <w:jc w:val="center"/>
                    <w:rPr>
                      <w:color w:val="auto"/>
                      <w:kern w:val="0"/>
                      <w:szCs w:val="21"/>
                    </w:rPr>
                  </w:pPr>
                  <w:r>
                    <w:rPr>
                      <w:color w:val="auto"/>
                      <w:kern w:val="0"/>
                      <w:szCs w:val="21"/>
                    </w:rPr>
                    <w:t>设置于</w:t>
                  </w:r>
                  <w:r>
                    <w:rPr>
                      <w:rFonts w:hint="eastAsia"/>
                      <w:color w:val="auto"/>
                      <w:kern w:val="0"/>
                      <w:szCs w:val="21"/>
                    </w:rPr>
                    <w:t>车间内</w:t>
                  </w:r>
                </w:p>
              </w:tc>
              <w:tc>
                <w:tcPr>
                  <w:tcW w:w="810" w:type="dxa"/>
                  <w:vMerge w:val="restart"/>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2</w:t>
                  </w:r>
                  <w:r>
                    <w:rPr>
                      <w:color w:val="auto"/>
                      <w:kern w:val="0"/>
                      <w:szCs w:val="21"/>
                    </w:rPr>
                    <w:t>m</w:t>
                  </w:r>
                  <w:r>
                    <w:rPr>
                      <w:color w:val="auto"/>
                      <w:kern w:val="0"/>
                      <w:szCs w:val="21"/>
                      <w:vertAlign w:val="superscript"/>
                    </w:rPr>
                    <w:t>2</w:t>
                  </w:r>
                </w:p>
              </w:tc>
              <w:tc>
                <w:tcPr>
                  <w:tcW w:w="795"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胶</w:t>
                  </w:r>
                  <w:r>
                    <w:rPr>
                      <w:color w:val="auto"/>
                      <w:kern w:val="0"/>
                      <w:szCs w:val="21"/>
                    </w:rPr>
                    <w:t>桶</w:t>
                  </w:r>
                </w:p>
              </w:tc>
              <w:tc>
                <w:tcPr>
                  <w:tcW w:w="690" w:type="dxa"/>
                  <w:vMerge w:val="restart"/>
                  <w:tcBorders>
                    <w:tl2br w:val="nil"/>
                    <w:tr2bl w:val="nil"/>
                  </w:tcBorders>
                  <w:vAlign w:val="center"/>
                </w:tcPr>
                <w:p>
                  <w:pPr>
                    <w:topLinePunct/>
                    <w:adjustRightInd w:val="0"/>
                    <w:snapToGrid w:val="0"/>
                    <w:jc w:val="center"/>
                    <w:rPr>
                      <w:color w:val="auto"/>
                      <w:kern w:val="0"/>
                      <w:szCs w:val="21"/>
                    </w:rPr>
                  </w:pPr>
                  <w:r>
                    <w:rPr>
                      <w:color w:val="auto"/>
                      <w:kern w:val="0"/>
                      <w:szCs w:val="21"/>
                    </w:rPr>
                    <w:t>可储存</w:t>
                  </w:r>
                  <w:r>
                    <w:rPr>
                      <w:rFonts w:hint="eastAsia"/>
                      <w:color w:val="auto"/>
                      <w:kern w:val="0"/>
                      <w:szCs w:val="21"/>
                    </w:rPr>
                    <w:t>1年</w:t>
                  </w:r>
                  <w:r>
                    <w:rPr>
                      <w:color w:val="auto"/>
                      <w:kern w:val="0"/>
                      <w:szCs w:val="21"/>
                    </w:rPr>
                    <w:t>的转移量</w:t>
                  </w:r>
                </w:p>
              </w:tc>
              <w:tc>
                <w:tcPr>
                  <w:tcW w:w="728" w:type="dxa"/>
                  <w:vMerge w:val="restart"/>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0"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2</w:t>
                  </w:r>
                </w:p>
              </w:tc>
              <w:tc>
                <w:tcPr>
                  <w:tcW w:w="1092" w:type="dxa"/>
                  <w:vMerge w:val="continue"/>
                  <w:tcBorders>
                    <w:tl2br w:val="nil"/>
                    <w:tr2bl w:val="nil"/>
                  </w:tcBorders>
                  <w:vAlign w:val="center"/>
                </w:tcPr>
                <w:p>
                  <w:pPr>
                    <w:topLinePunct/>
                    <w:adjustRightInd w:val="0"/>
                    <w:snapToGrid w:val="0"/>
                    <w:jc w:val="center"/>
                    <w:rPr>
                      <w:color w:val="auto"/>
                      <w:kern w:val="0"/>
                      <w:szCs w:val="21"/>
                    </w:rPr>
                  </w:pPr>
                </w:p>
              </w:tc>
              <w:tc>
                <w:tcPr>
                  <w:tcW w:w="1089" w:type="dxa"/>
                  <w:tcBorders>
                    <w:tl2br w:val="nil"/>
                    <w:tr2bl w:val="nil"/>
                  </w:tcBorders>
                  <w:vAlign w:val="center"/>
                </w:tcPr>
                <w:p>
                  <w:pPr>
                    <w:topLinePunct/>
                    <w:adjustRightInd w:val="0"/>
                    <w:snapToGrid w:val="0"/>
                    <w:jc w:val="center"/>
                    <w:rPr>
                      <w:color w:val="auto"/>
                      <w:kern w:val="0"/>
                      <w:szCs w:val="21"/>
                    </w:rPr>
                  </w:pPr>
                  <w:r>
                    <w:rPr>
                      <w:color w:val="auto"/>
                      <w:kern w:val="0"/>
                      <w:szCs w:val="21"/>
                    </w:rPr>
                    <w:t>废活性炭</w:t>
                  </w:r>
                </w:p>
              </w:tc>
              <w:tc>
                <w:tcPr>
                  <w:tcW w:w="1130" w:type="dxa"/>
                  <w:tcBorders>
                    <w:tl2br w:val="nil"/>
                    <w:tr2bl w:val="nil"/>
                  </w:tcBorders>
                  <w:vAlign w:val="center"/>
                </w:tcPr>
                <w:p>
                  <w:pPr>
                    <w:topLinePunct/>
                    <w:adjustRightInd w:val="0"/>
                    <w:snapToGrid w:val="0"/>
                    <w:jc w:val="center"/>
                    <w:rPr>
                      <w:color w:val="auto"/>
                      <w:kern w:val="0"/>
                      <w:szCs w:val="21"/>
                    </w:rPr>
                  </w:pPr>
                  <w:r>
                    <w:rPr>
                      <w:rFonts w:hint="eastAsia"/>
                      <w:color w:val="auto"/>
                      <w:kern w:val="0"/>
                      <w:szCs w:val="21"/>
                    </w:rPr>
                    <w:t>HW49</w:t>
                  </w:r>
                  <w:r>
                    <w:rPr>
                      <w:color w:val="auto"/>
                      <w:kern w:val="0"/>
                      <w:szCs w:val="21"/>
                    </w:rPr>
                    <w:t>其它废物</w:t>
                  </w:r>
                </w:p>
              </w:tc>
              <w:tc>
                <w:tcPr>
                  <w:tcW w:w="900" w:type="dxa"/>
                  <w:tcBorders>
                    <w:tl2br w:val="nil"/>
                    <w:tr2bl w:val="nil"/>
                  </w:tcBorders>
                  <w:vAlign w:val="center"/>
                </w:tcPr>
                <w:p>
                  <w:pPr>
                    <w:topLinePunct/>
                    <w:adjustRightInd w:val="0"/>
                    <w:snapToGrid w:val="0"/>
                    <w:jc w:val="center"/>
                    <w:rPr>
                      <w:color w:val="auto"/>
                      <w:kern w:val="0"/>
                      <w:szCs w:val="21"/>
                    </w:rPr>
                  </w:pPr>
                  <w:r>
                    <w:rPr>
                      <w:color w:val="auto"/>
                      <w:szCs w:val="21"/>
                    </w:rPr>
                    <w:t>900-041-49</w:t>
                  </w:r>
                </w:p>
              </w:tc>
              <w:tc>
                <w:tcPr>
                  <w:tcW w:w="780" w:type="dxa"/>
                  <w:vMerge w:val="continue"/>
                  <w:tcBorders>
                    <w:tl2br w:val="nil"/>
                    <w:tr2bl w:val="nil"/>
                  </w:tcBorders>
                  <w:vAlign w:val="center"/>
                </w:tcPr>
                <w:p>
                  <w:pPr>
                    <w:topLinePunct/>
                    <w:adjustRightInd w:val="0"/>
                    <w:snapToGrid w:val="0"/>
                    <w:jc w:val="center"/>
                    <w:rPr>
                      <w:color w:val="auto"/>
                      <w:kern w:val="0"/>
                      <w:szCs w:val="21"/>
                      <w:highlight w:val="yellow"/>
                    </w:rPr>
                  </w:pPr>
                </w:p>
              </w:tc>
              <w:tc>
                <w:tcPr>
                  <w:tcW w:w="810" w:type="dxa"/>
                  <w:vMerge w:val="continue"/>
                  <w:tcBorders>
                    <w:tl2br w:val="nil"/>
                    <w:tr2bl w:val="nil"/>
                  </w:tcBorders>
                  <w:vAlign w:val="center"/>
                </w:tcPr>
                <w:p>
                  <w:pPr>
                    <w:topLinePunct/>
                    <w:adjustRightInd w:val="0"/>
                    <w:snapToGrid w:val="0"/>
                    <w:jc w:val="center"/>
                    <w:rPr>
                      <w:color w:val="auto"/>
                      <w:kern w:val="0"/>
                      <w:szCs w:val="21"/>
                      <w:highlight w:val="yellow"/>
                    </w:rPr>
                  </w:pPr>
                </w:p>
              </w:tc>
              <w:tc>
                <w:tcPr>
                  <w:tcW w:w="795" w:type="dxa"/>
                  <w:tcBorders>
                    <w:tl2br w:val="nil"/>
                    <w:tr2bl w:val="nil"/>
                  </w:tcBorders>
                  <w:vAlign w:val="center"/>
                </w:tcPr>
                <w:p>
                  <w:pPr>
                    <w:topLinePunct/>
                    <w:adjustRightInd w:val="0"/>
                    <w:snapToGrid w:val="0"/>
                    <w:jc w:val="center"/>
                    <w:rPr>
                      <w:color w:val="auto"/>
                      <w:kern w:val="0"/>
                      <w:szCs w:val="21"/>
                    </w:rPr>
                  </w:pPr>
                  <w:r>
                    <w:rPr>
                      <w:color w:val="auto"/>
                      <w:kern w:val="0"/>
                      <w:szCs w:val="21"/>
                    </w:rPr>
                    <w:t>胶桶</w:t>
                  </w:r>
                </w:p>
              </w:tc>
              <w:tc>
                <w:tcPr>
                  <w:tcW w:w="690" w:type="dxa"/>
                  <w:vMerge w:val="continue"/>
                  <w:tcBorders>
                    <w:tl2br w:val="nil"/>
                    <w:tr2bl w:val="nil"/>
                  </w:tcBorders>
                  <w:vAlign w:val="center"/>
                </w:tcPr>
                <w:p>
                  <w:pPr>
                    <w:topLinePunct/>
                    <w:adjustRightInd w:val="0"/>
                    <w:snapToGrid w:val="0"/>
                    <w:jc w:val="center"/>
                    <w:rPr>
                      <w:color w:val="auto"/>
                      <w:kern w:val="0"/>
                      <w:szCs w:val="21"/>
                      <w:highlight w:val="yellow"/>
                    </w:rPr>
                  </w:pPr>
                </w:p>
              </w:tc>
              <w:tc>
                <w:tcPr>
                  <w:tcW w:w="728" w:type="dxa"/>
                  <w:vMerge w:val="continue"/>
                  <w:tcBorders>
                    <w:tl2br w:val="nil"/>
                    <w:tr2bl w:val="nil"/>
                  </w:tcBorders>
                  <w:vAlign w:val="center"/>
                </w:tcPr>
                <w:p>
                  <w:pPr>
                    <w:topLinePunct/>
                    <w:adjustRightInd w:val="0"/>
                    <w:snapToGrid w:val="0"/>
                    <w:jc w:val="center"/>
                    <w:rPr>
                      <w:color w:val="auto"/>
                      <w:kern w:val="0"/>
                      <w:szCs w:val="21"/>
                      <w:highlight w:val="yellow"/>
                    </w:rPr>
                  </w:pPr>
                </w:p>
              </w:tc>
            </w:tr>
          </w:tbl>
          <w:p>
            <w:pPr>
              <w:spacing w:line="360" w:lineRule="auto"/>
              <w:ind w:firstLine="480" w:firstLineChars="200"/>
              <w:rPr>
                <w:color w:val="auto"/>
                <w:sz w:val="24"/>
              </w:rPr>
            </w:pPr>
            <w:r>
              <w:rPr>
                <w:color w:val="auto"/>
                <w:sz w:val="24"/>
              </w:rPr>
              <w:t>经上述措施治理后，项目产生的固体废物对周边环境的影响不大。</w:t>
            </w:r>
          </w:p>
          <w:p>
            <w:pPr>
              <w:tabs>
                <w:tab w:val="left" w:pos="9360"/>
              </w:tabs>
              <w:spacing w:line="360" w:lineRule="auto"/>
              <w:ind w:firstLine="482" w:firstLineChars="200"/>
              <w:rPr>
                <w:b/>
                <w:bCs/>
                <w:color w:val="auto"/>
                <w:sz w:val="24"/>
              </w:rPr>
            </w:pPr>
            <w:r>
              <w:rPr>
                <w:b/>
                <w:bCs/>
                <w:color w:val="auto"/>
                <w:sz w:val="24"/>
              </w:rPr>
              <w:t>五、环境风险分析</w:t>
            </w:r>
          </w:p>
          <w:p>
            <w:pPr>
              <w:spacing w:line="360" w:lineRule="auto"/>
              <w:ind w:firstLine="480" w:firstLineChars="200"/>
              <w:rPr>
                <w:rFonts w:eastAsiaTheme="minorEastAsia"/>
                <w:color w:val="auto"/>
                <w:sz w:val="24"/>
              </w:rPr>
            </w:pPr>
            <w:r>
              <w:rPr>
                <w:rFonts w:eastAsiaTheme="minorEastAsia"/>
                <w:color w:val="auto"/>
                <w:sz w:val="24"/>
              </w:rPr>
              <w:t>环境风险评价的目的是分析和预测建设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pPr>
              <w:spacing w:line="360" w:lineRule="auto"/>
              <w:ind w:firstLine="480" w:firstLineChars="200"/>
              <w:rPr>
                <w:color w:val="auto"/>
                <w:kern w:val="0"/>
                <w:sz w:val="24"/>
              </w:rPr>
            </w:pPr>
            <w:bookmarkStart w:id="28" w:name="_Toc26501"/>
            <w:bookmarkStart w:id="29" w:name="_Toc2791"/>
            <w:bookmarkStart w:id="30" w:name="_Toc28157"/>
            <w:bookmarkStart w:id="31" w:name="_Toc20313"/>
            <w:bookmarkStart w:id="32" w:name="_Toc5681"/>
            <w:bookmarkStart w:id="33" w:name="_Toc419969485"/>
            <w:bookmarkStart w:id="34" w:name="_Toc32585"/>
            <w:bookmarkStart w:id="35" w:name="_Toc4390"/>
            <w:bookmarkStart w:id="36" w:name="_Toc28577"/>
            <w:bookmarkStart w:id="37" w:name="_Toc1185"/>
            <w:bookmarkStart w:id="38" w:name="_Toc21432"/>
            <w:bookmarkStart w:id="39" w:name="_Toc909"/>
            <w:bookmarkStart w:id="40" w:name="_Toc1698"/>
            <w:bookmarkStart w:id="41" w:name="_Toc30266"/>
            <w:r>
              <w:rPr>
                <w:rFonts w:hint="eastAsia"/>
                <w:color w:val="auto"/>
                <w:kern w:val="0"/>
                <w:sz w:val="24"/>
              </w:rPr>
              <w:t>（一）评价工作等级</w:t>
            </w:r>
            <w:bookmarkEnd w:id="28"/>
            <w:bookmarkEnd w:id="29"/>
            <w:bookmarkEnd w:id="30"/>
            <w:bookmarkEnd w:id="31"/>
            <w:bookmarkEnd w:id="32"/>
            <w:bookmarkEnd w:id="33"/>
            <w:bookmarkEnd w:id="34"/>
            <w:bookmarkEnd w:id="35"/>
            <w:bookmarkEnd w:id="36"/>
            <w:bookmarkEnd w:id="37"/>
            <w:bookmarkEnd w:id="38"/>
            <w:bookmarkEnd w:id="39"/>
            <w:bookmarkEnd w:id="40"/>
            <w:bookmarkEnd w:id="41"/>
            <w:r>
              <w:rPr>
                <w:rFonts w:hint="eastAsia"/>
                <w:color w:val="auto"/>
                <w:kern w:val="0"/>
                <w:sz w:val="24"/>
              </w:rPr>
              <w:t xml:space="preserve"> </w:t>
            </w:r>
          </w:p>
          <w:p>
            <w:pPr>
              <w:spacing w:line="360" w:lineRule="auto"/>
              <w:ind w:firstLine="480" w:firstLineChars="200"/>
              <w:rPr>
                <w:color w:val="auto"/>
                <w:kern w:val="0"/>
                <w:sz w:val="24"/>
              </w:rPr>
            </w:pPr>
            <w:r>
              <w:rPr>
                <w:rFonts w:hint="eastAsia"/>
                <w:color w:val="auto"/>
                <w:kern w:val="0"/>
                <w:sz w:val="24"/>
              </w:rPr>
              <w:t xml:space="preserve">1、划分依据 </w:t>
            </w:r>
          </w:p>
          <w:p>
            <w:pPr>
              <w:spacing w:line="360" w:lineRule="auto"/>
              <w:ind w:firstLine="480" w:firstLineChars="200"/>
              <w:rPr>
                <w:color w:val="auto"/>
                <w:sz w:val="24"/>
              </w:rPr>
            </w:pPr>
            <w:r>
              <w:rPr>
                <w:rFonts w:hint="eastAsia"/>
                <w:color w:val="auto"/>
                <w:kern w:val="0"/>
                <w:sz w:val="24"/>
              </w:rPr>
              <w:t>根据建设项目涉及的</w:t>
            </w:r>
            <w:r>
              <w:rPr>
                <w:rFonts w:hint="eastAsia"/>
                <w:color w:val="auto"/>
                <w:sz w:val="24"/>
              </w:rPr>
              <w:t>物质及工艺系统危险性和所在地的环境敏感性确定环境风险潜势，按照下表确定工作等级。风险潜势为</w:t>
            </w:r>
            <w:r>
              <w:rPr>
                <w:rFonts w:hint="eastAsia" w:ascii="宋体" w:hAnsi="宋体" w:cs="宋体"/>
                <w:color w:val="auto"/>
                <w:sz w:val="24"/>
              </w:rPr>
              <w:t>Ⅳ</w:t>
            </w:r>
            <w:r>
              <w:rPr>
                <w:rFonts w:hint="eastAsia"/>
                <w:color w:val="auto"/>
                <w:sz w:val="24"/>
              </w:rPr>
              <w:t>及以上，进行一级评级；风险潜势为</w:t>
            </w:r>
            <w:r>
              <w:rPr>
                <w:rFonts w:hint="eastAsia" w:ascii="宋体" w:hAnsi="宋体" w:cs="宋体"/>
                <w:color w:val="auto"/>
                <w:sz w:val="24"/>
              </w:rPr>
              <w:t>Ⅲ</w:t>
            </w:r>
            <w:r>
              <w:rPr>
                <w:rFonts w:hint="eastAsia"/>
                <w:color w:val="auto"/>
                <w:sz w:val="24"/>
              </w:rPr>
              <w:t>，进行二级评价；风险潜势为</w:t>
            </w:r>
            <w:r>
              <w:rPr>
                <w:rFonts w:hint="eastAsia" w:ascii="微软雅黑" w:hAnsi="微软雅黑" w:eastAsia="微软雅黑" w:cs="微软雅黑"/>
                <w:color w:val="auto"/>
                <w:sz w:val="24"/>
              </w:rPr>
              <w:t>Ⅱ</w:t>
            </w:r>
            <w:r>
              <w:rPr>
                <w:rFonts w:hint="eastAsia"/>
                <w:color w:val="auto"/>
                <w:sz w:val="24"/>
              </w:rPr>
              <w:t>，进行三级评价；风险潜势为</w:t>
            </w:r>
            <w:r>
              <w:rPr>
                <w:rFonts w:hint="eastAsia" w:ascii="微软雅黑" w:hAnsi="微软雅黑" w:eastAsia="微软雅黑" w:cs="微软雅黑"/>
                <w:color w:val="auto"/>
                <w:sz w:val="24"/>
              </w:rPr>
              <w:t>Ⅰ</w:t>
            </w:r>
            <w:r>
              <w:rPr>
                <w:rFonts w:hint="eastAsia"/>
                <w:color w:val="auto"/>
                <w:sz w:val="24"/>
              </w:rPr>
              <w:t>，可开展简单分析。</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评价工作等级划分</w:t>
            </w:r>
          </w:p>
          <w:tbl>
            <w:tblPr>
              <w:tblStyle w:val="4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700" w:type="dxa"/>
                  <w:tcBorders>
                    <w:tl2br w:val="nil"/>
                    <w:tr2bl w:val="nil"/>
                  </w:tcBorders>
                  <w:vAlign w:val="center"/>
                </w:tcPr>
                <w:p>
                  <w:pPr>
                    <w:autoSpaceDE w:val="0"/>
                    <w:autoSpaceDN w:val="0"/>
                    <w:jc w:val="center"/>
                    <w:rPr>
                      <w:color w:val="auto"/>
                      <w:szCs w:val="21"/>
                    </w:rPr>
                  </w:pPr>
                  <w:r>
                    <w:rPr>
                      <w:color w:val="auto"/>
                      <w:szCs w:val="21"/>
                    </w:rPr>
                    <w:t>环境风险潜势</w:t>
                  </w:r>
                </w:p>
              </w:tc>
              <w:tc>
                <w:tcPr>
                  <w:tcW w:w="1701" w:type="dxa"/>
                  <w:tcBorders>
                    <w:tl2br w:val="nil"/>
                    <w:tr2bl w:val="nil"/>
                  </w:tcBorders>
                  <w:vAlign w:val="center"/>
                </w:tcPr>
                <w:p>
                  <w:pPr>
                    <w:autoSpaceDE w:val="0"/>
                    <w:autoSpaceDN w:val="0"/>
                    <w:jc w:val="center"/>
                    <w:rPr>
                      <w:color w:val="auto"/>
                      <w:szCs w:val="21"/>
                    </w:rPr>
                  </w:pPr>
                  <w:r>
                    <w:rPr>
                      <w:color w:val="auto"/>
                      <w:szCs w:val="21"/>
                    </w:rPr>
                    <w:t>Ⅳ、Ⅳ</w:t>
                  </w:r>
                  <w:r>
                    <w:rPr>
                      <w:color w:val="auto"/>
                      <w:szCs w:val="21"/>
                      <w:vertAlign w:val="superscript"/>
                    </w:rPr>
                    <w:t>+</w:t>
                  </w:r>
                </w:p>
              </w:tc>
              <w:tc>
                <w:tcPr>
                  <w:tcW w:w="1701" w:type="dxa"/>
                  <w:tcBorders>
                    <w:tl2br w:val="nil"/>
                    <w:tr2bl w:val="nil"/>
                  </w:tcBorders>
                  <w:vAlign w:val="center"/>
                </w:tcPr>
                <w:p>
                  <w:pPr>
                    <w:autoSpaceDE w:val="0"/>
                    <w:autoSpaceDN w:val="0"/>
                    <w:jc w:val="center"/>
                    <w:rPr>
                      <w:color w:val="auto"/>
                      <w:szCs w:val="21"/>
                    </w:rPr>
                  </w:pPr>
                  <w:r>
                    <w:rPr>
                      <w:color w:val="auto"/>
                      <w:szCs w:val="21"/>
                    </w:rPr>
                    <w:t>Ⅲ</w:t>
                  </w:r>
                </w:p>
              </w:tc>
              <w:tc>
                <w:tcPr>
                  <w:tcW w:w="1701" w:type="dxa"/>
                  <w:tcBorders>
                    <w:tl2br w:val="nil"/>
                    <w:tr2bl w:val="nil"/>
                  </w:tcBorders>
                  <w:vAlign w:val="center"/>
                </w:tcPr>
                <w:p>
                  <w:pPr>
                    <w:autoSpaceDE w:val="0"/>
                    <w:autoSpaceDN w:val="0"/>
                    <w:jc w:val="center"/>
                    <w:rPr>
                      <w:color w:val="auto"/>
                      <w:szCs w:val="21"/>
                    </w:rPr>
                  </w:pPr>
                  <w:r>
                    <w:rPr>
                      <w:rFonts w:eastAsia="微软雅黑"/>
                      <w:color w:val="auto"/>
                      <w:szCs w:val="21"/>
                    </w:rPr>
                    <w:t>Ⅱ</w:t>
                  </w:r>
                </w:p>
              </w:tc>
              <w:tc>
                <w:tcPr>
                  <w:tcW w:w="1701" w:type="dxa"/>
                  <w:tcBorders>
                    <w:tl2br w:val="nil"/>
                    <w:tr2bl w:val="nil"/>
                  </w:tcBorders>
                  <w:vAlign w:val="center"/>
                </w:tcPr>
                <w:p>
                  <w:pPr>
                    <w:autoSpaceDE w:val="0"/>
                    <w:autoSpaceDN w:val="0"/>
                    <w:jc w:val="center"/>
                    <w:rPr>
                      <w:color w:val="auto"/>
                      <w:szCs w:val="21"/>
                    </w:rPr>
                  </w:pPr>
                  <w:r>
                    <w:rPr>
                      <w:rFonts w:eastAsia="微软雅黑"/>
                      <w:color w:val="auto"/>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700" w:type="dxa"/>
                  <w:tcBorders>
                    <w:tl2br w:val="nil"/>
                    <w:tr2bl w:val="nil"/>
                  </w:tcBorders>
                  <w:vAlign w:val="center"/>
                </w:tcPr>
                <w:p>
                  <w:pPr>
                    <w:autoSpaceDE w:val="0"/>
                    <w:autoSpaceDN w:val="0"/>
                    <w:jc w:val="center"/>
                    <w:rPr>
                      <w:color w:val="auto"/>
                      <w:szCs w:val="21"/>
                    </w:rPr>
                  </w:pPr>
                  <w:r>
                    <w:rPr>
                      <w:rFonts w:hint="eastAsia"/>
                      <w:color w:val="auto"/>
                      <w:szCs w:val="21"/>
                    </w:rPr>
                    <w:t>评价工作等级</w:t>
                  </w:r>
                </w:p>
              </w:tc>
              <w:tc>
                <w:tcPr>
                  <w:tcW w:w="1701" w:type="dxa"/>
                  <w:tcBorders>
                    <w:tl2br w:val="nil"/>
                    <w:tr2bl w:val="nil"/>
                  </w:tcBorders>
                  <w:vAlign w:val="center"/>
                </w:tcPr>
                <w:p>
                  <w:pPr>
                    <w:autoSpaceDE w:val="0"/>
                    <w:autoSpaceDN w:val="0"/>
                    <w:jc w:val="center"/>
                    <w:rPr>
                      <w:color w:val="auto"/>
                      <w:szCs w:val="21"/>
                    </w:rPr>
                  </w:pPr>
                  <w:r>
                    <w:rPr>
                      <w:rFonts w:hint="eastAsia"/>
                      <w:color w:val="auto"/>
                      <w:szCs w:val="21"/>
                    </w:rPr>
                    <w:t>一</w:t>
                  </w:r>
                </w:p>
              </w:tc>
              <w:tc>
                <w:tcPr>
                  <w:tcW w:w="1701" w:type="dxa"/>
                  <w:tcBorders>
                    <w:tl2br w:val="nil"/>
                    <w:tr2bl w:val="nil"/>
                  </w:tcBorders>
                  <w:vAlign w:val="center"/>
                </w:tcPr>
                <w:p>
                  <w:pPr>
                    <w:autoSpaceDE w:val="0"/>
                    <w:autoSpaceDN w:val="0"/>
                    <w:jc w:val="center"/>
                    <w:rPr>
                      <w:color w:val="auto"/>
                      <w:szCs w:val="21"/>
                    </w:rPr>
                  </w:pPr>
                  <w:r>
                    <w:rPr>
                      <w:rFonts w:hint="eastAsia"/>
                      <w:color w:val="auto"/>
                      <w:szCs w:val="21"/>
                    </w:rPr>
                    <w:t>二</w:t>
                  </w:r>
                </w:p>
              </w:tc>
              <w:tc>
                <w:tcPr>
                  <w:tcW w:w="1701" w:type="dxa"/>
                  <w:tcBorders>
                    <w:tl2br w:val="nil"/>
                    <w:tr2bl w:val="nil"/>
                  </w:tcBorders>
                  <w:vAlign w:val="center"/>
                </w:tcPr>
                <w:p>
                  <w:pPr>
                    <w:autoSpaceDE w:val="0"/>
                    <w:autoSpaceDN w:val="0"/>
                    <w:jc w:val="center"/>
                    <w:rPr>
                      <w:color w:val="auto"/>
                      <w:szCs w:val="21"/>
                    </w:rPr>
                  </w:pPr>
                  <w:r>
                    <w:rPr>
                      <w:rFonts w:hint="eastAsia"/>
                      <w:color w:val="auto"/>
                      <w:szCs w:val="21"/>
                    </w:rPr>
                    <w:t>三</w:t>
                  </w:r>
                </w:p>
              </w:tc>
              <w:tc>
                <w:tcPr>
                  <w:tcW w:w="1701" w:type="dxa"/>
                  <w:tcBorders>
                    <w:tl2br w:val="nil"/>
                    <w:tr2bl w:val="nil"/>
                  </w:tcBorders>
                  <w:vAlign w:val="center"/>
                </w:tcPr>
                <w:p>
                  <w:pPr>
                    <w:autoSpaceDE w:val="0"/>
                    <w:autoSpaceDN w:val="0"/>
                    <w:jc w:val="center"/>
                    <w:rPr>
                      <w:color w:val="auto"/>
                      <w:szCs w:val="21"/>
                    </w:rPr>
                  </w:pPr>
                  <w:r>
                    <w:rPr>
                      <w:rFonts w:hint="eastAsia"/>
                      <w:color w:val="auto"/>
                      <w:szCs w:val="21"/>
                    </w:rPr>
                    <w:t>简单分析</w:t>
                  </w:r>
                </w:p>
              </w:tc>
            </w:tr>
          </w:tbl>
          <w:p>
            <w:pPr>
              <w:autoSpaceDE w:val="0"/>
              <w:autoSpaceDN w:val="0"/>
              <w:spacing w:line="360" w:lineRule="auto"/>
              <w:ind w:firstLine="480" w:firstLineChars="200"/>
              <w:rPr>
                <w:color w:val="auto"/>
                <w:sz w:val="24"/>
              </w:rPr>
            </w:pPr>
            <w:r>
              <w:rPr>
                <w:rFonts w:hint="eastAsia"/>
                <w:color w:val="auto"/>
                <w:sz w:val="24"/>
              </w:rPr>
              <w:t>（二）环境风险潜势初判</w:t>
            </w:r>
          </w:p>
          <w:p>
            <w:pPr>
              <w:autoSpaceDE w:val="0"/>
              <w:autoSpaceDN w:val="0"/>
              <w:spacing w:line="360" w:lineRule="auto"/>
              <w:ind w:firstLine="480" w:firstLineChars="200"/>
              <w:rPr>
                <w:color w:val="auto"/>
                <w:sz w:val="24"/>
              </w:rPr>
            </w:pPr>
            <w:r>
              <w:rPr>
                <w:rFonts w:hint="eastAsia"/>
                <w:color w:val="auto"/>
                <w:sz w:val="24"/>
              </w:rPr>
              <w:t>1、环境风险潜势划分</w:t>
            </w:r>
          </w:p>
          <w:p>
            <w:pPr>
              <w:autoSpaceDE w:val="0"/>
              <w:autoSpaceDN w:val="0"/>
              <w:spacing w:line="360" w:lineRule="auto"/>
              <w:ind w:firstLine="480" w:firstLineChars="200"/>
              <w:rPr>
                <w:color w:val="auto"/>
                <w:sz w:val="24"/>
              </w:rPr>
            </w:pPr>
            <w:r>
              <w:rPr>
                <w:rFonts w:hint="eastAsia"/>
                <w:color w:val="auto"/>
                <w:sz w:val="24"/>
              </w:rPr>
              <w:t>根据建设项目涉及的物质和工艺系统的危险性及其所在地的环境敏感程度，结合事故情形下环境影响途径，对建设项目潜在环境危害程度进行概化分析，按照下表确定环境风险潜势。</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建设项目环境风险潜势划分</w:t>
            </w:r>
          </w:p>
          <w:tbl>
            <w:tblPr>
              <w:tblStyle w:val="45"/>
              <w:tblW w:w="91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6"/>
              <w:gridCol w:w="1665"/>
              <w:gridCol w:w="1755"/>
              <w:gridCol w:w="1695"/>
              <w:gridCol w:w="1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6" w:type="dxa"/>
                  <w:vMerge w:val="restart"/>
                  <w:tcBorders>
                    <w:tl2br w:val="nil"/>
                    <w:tr2bl w:val="nil"/>
                  </w:tcBorders>
                  <w:vAlign w:val="center"/>
                </w:tcPr>
                <w:p>
                  <w:pPr>
                    <w:autoSpaceDE w:val="0"/>
                    <w:autoSpaceDN w:val="0"/>
                    <w:jc w:val="center"/>
                    <w:rPr>
                      <w:b/>
                      <w:bCs/>
                      <w:color w:val="auto"/>
                      <w:szCs w:val="21"/>
                    </w:rPr>
                  </w:pPr>
                  <w:r>
                    <w:rPr>
                      <w:b/>
                      <w:bCs/>
                      <w:color w:val="auto"/>
                      <w:szCs w:val="21"/>
                    </w:rPr>
                    <w:t>环境敏感程度（E）</w:t>
                  </w:r>
                </w:p>
              </w:tc>
              <w:tc>
                <w:tcPr>
                  <w:tcW w:w="6780" w:type="dxa"/>
                  <w:gridSpan w:val="4"/>
                  <w:tcBorders>
                    <w:tl2br w:val="nil"/>
                    <w:tr2bl w:val="nil"/>
                  </w:tcBorders>
                  <w:vAlign w:val="center"/>
                </w:tcPr>
                <w:p>
                  <w:pPr>
                    <w:autoSpaceDE w:val="0"/>
                    <w:autoSpaceDN w:val="0"/>
                    <w:jc w:val="center"/>
                    <w:rPr>
                      <w:b/>
                      <w:bCs/>
                      <w:color w:val="auto"/>
                      <w:szCs w:val="21"/>
                    </w:rPr>
                  </w:pPr>
                  <w:r>
                    <w:rPr>
                      <w:b/>
                      <w:bCs/>
                      <w:color w:val="auto"/>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6" w:type="dxa"/>
                  <w:vMerge w:val="continue"/>
                  <w:tcBorders>
                    <w:tl2br w:val="nil"/>
                    <w:tr2bl w:val="nil"/>
                  </w:tcBorders>
                  <w:vAlign w:val="center"/>
                </w:tcPr>
                <w:p>
                  <w:pPr>
                    <w:autoSpaceDE w:val="0"/>
                    <w:autoSpaceDN w:val="0"/>
                    <w:jc w:val="center"/>
                    <w:rPr>
                      <w:b/>
                      <w:bCs/>
                      <w:color w:val="auto"/>
                      <w:szCs w:val="21"/>
                    </w:rPr>
                  </w:pPr>
                </w:p>
              </w:tc>
              <w:tc>
                <w:tcPr>
                  <w:tcW w:w="1665" w:type="dxa"/>
                  <w:tcBorders>
                    <w:tl2br w:val="nil"/>
                    <w:tr2bl w:val="nil"/>
                  </w:tcBorders>
                  <w:vAlign w:val="center"/>
                </w:tcPr>
                <w:p>
                  <w:pPr>
                    <w:autoSpaceDE w:val="0"/>
                    <w:autoSpaceDN w:val="0"/>
                    <w:jc w:val="center"/>
                    <w:rPr>
                      <w:b/>
                      <w:bCs/>
                      <w:color w:val="auto"/>
                      <w:szCs w:val="21"/>
                    </w:rPr>
                  </w:pPr>
                  <w:r>
                    <w:rPr>
                      <w:b/>
                      <w:bCs/>
                      <w:color w:val="auto"/>
                      <w:szCs w:val="21"/>
                    </w:rPr>
                    <w:t>极高危害（P1）</w:t>
                  </w:r>
                </w:p>
              </w:tc>
              <w:tc>
                <w:tcPr>
                  <w:tcW w:w="1755" w:type="dxa"/>
                  <w:tcBorders>
                    <w:tl2br w:val="nil"/>
                    <w:tr2bl w:val="nil"/>
                  </w:tcBorders>
                  <w:vAlign w:val="center"/>
                </w:tcPr>
                <w:p>
                  <w:pPr>
                    <w:autoSpaceDE w:val="0"/>
                    <w:autoSpaceDN w:val="0"/>
                    <w:jc w:val="center"/>
                    <w:rPr>
                      <w:b/>
                      <w:bCs/>
                      <w:color w:val="auto"/>
                      <w:szCs w:val="21"/>
                    </w:rPr>
                  </w:pPr>
                  <w:r>
                    <w:rPr>
                      <w:b/>
                      <w:bCs/>
                      <w:color w:val="auto"/>
                      <w:szCs w:val="21"/>
                    </w:rPr>
                    <w:t>高度危害（P2）</w:t>
                  </w:r>
                </w:p>
              </w:tc>
              <w:tc>
                <w:tcPr>
                  <w:tcW w:w="1695" w:type="dxa"/>
                  <w:tcBorders>
                    <w:tl2br w:val="nil"/>
                    <w:tr2bl w:val="nil"/>
                  </w:tcBorders>
                  <w:vAlign w:val="center"/>
                </w:tcPr>
                <w:p>
                  <w:pPr>
                    <w:autoSpaceDE w:val="0"/>
                    <w:autoSpaceDN w:val="0"/>
                    <w:jc w:val="center"/>
                    <w:rPr>
                      <w:b/>
                      <w:bCs/>
                      <w:color w:val="auto"/>
                      <w:szCs w:val="21"/>
                    </w:rPr>
                  </w:pPr>
                  <w:r>
                    <w:rPr>
                      <w:b/>
                      <w:bCs/>
                      <w:color w:val="auto"/>
                      <w:szCs w:val="21"/>
                    </w:rPr>
                    <w:t>中度危害（P3）</w:t>
                  </w:r>
                </w:p>
              </w:tc>
              <w:tc>
                <w:tcPr>
                  <w:tcW w:w="1665" w:type="dxa"/>
                  <w:tcBorders>
                    <w:tl2br w:val="nil"/>
                    <w:tr2bl w:val="nil"/>
                  </w:tcBorders>
                  <w:vAlign w:val="center"/>
                </w:tcPr>
                <w:p>
                  <w:pPr>
                    <w:autoSpaceDE w:val="0"/>
                    <w:autoSpaceDN w:val="0"/>
                    <w:jc w:val="center"/>
                    <w:rPr>
                      <w:b/>
                      <w:bCs/>
                      <w:color w:val="auto"/>
                      <w:szCs w:val="21"/>
                    </w:rPr>
                  </w:pPr>
                  <w:r>
                    <w:rPr>
                      <w:b/>
                      <w:bCs/>
                      <w:color w:val="auto"/>
                      <w:szCs w:val="21"/>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36" w:type="dxa"/>
                  <w:tcBorders>
                    <w:tl2br w:val="nil"/>
                    <w:tr2bl w:val="nil"/>
                  </w:tcBorders>
                  <w:vAlign w:val="center"/>
                </w:tcPr>
                <w:p>
                  <w:pPr>
                    <w:autoSpaceDE w:val="0"/>
                    <w:autoSpaceDN w:val="0"/>
                    <w:jc w:val="center"/>
                    <w:rPr>
                      <w:color w:val="auto"/>
                      <w:szCs w:val="21"/>
                    </w:rPr>
                  </w:pPr>
                  <w:r>
                    <w:rPr>
                      <w:color w:val="auto"/>
                      <w:szCs w:val="21"/>
                    </w:rPr>
                    <w:t>环境高度敏感区（E1）</w:t>
                  </w:r>
                </w:p>
              </w:tc>
              <w:tc>
                <w:tcPr>
                  <w:tcW w:w="1665" w:type="dxa"/>
                  <w:tcBorders>
                    <w:tl2br w:val="nil"/>
                    <w:tr2bl w:val="nil"/>
                  </w:tcBorders>
                  <w:vAlign w:val="center"/>
                </w:tcPr>
                <w:p>
                  <w:pPr>
                    <w:autoSpaceDE w:val="0"/>
                    <w:autoSpaceDN w:val="0"/>
                    <w:jc w:val="center"/>
                    <w:rPr>
                      <w:color w:val="auto"/>
                      <w:szCs w:val="21"/>
                    </w:rPr>
                  </w:pPr>
                  <w:r>
                    <w:rPr>
                      <w:color w:val="auto"/>
                      <w:szCs w:val="21"/>
                    </w:rPr>
                    <w:t>Ⅳ</w:t>
                  </w:r>
                  <w:r>
                    <w:rPr>
                      <w:color w:val="auto"/>
                      <w:szCs w:val="21"/>
                      <w:vertAlign w:val="superscript"/>
                    </w:rPr>
                    <w:t>+</w:t>
                  </w:r>
                </w:p>
              </w:tc>
              <w:tc>
                <w:tcPr>
                  <w:tcW w:w="1755" w:type="dxa"/>
                  <w:tcBorders>
                    <w:tl2br w:val="nil"/>
                    <w:tr2bl w:val="nil"/>
                  </w:tcBorders>
                  <w:vAlign w:val="center"/>
                </w:tcPr>
                <w:p>
                  <w:pPr>
                    <w:autoSpaceDE w:val="0"/>
                    <w:autoSpaceDN w:val="0"/>
                    <w:jc w:val="center"/>
                    <w:rPr>
                      <w:color w:val="auto"/>
                      <w:szCs w:val="21"/>
                    </w:rPr>
                  </w:pPr>
                  <w:r>
                    <w:rPr>
                      <w:color w:val="auto"/>
                      <w:szCs w:val="21"/>
                    </w:rPr>
                    <w:t>Ⅳ</w:t>
                  </w:r>
                </w:p>
              </w:tc>
              <w:tc>
                <w:tcPr>
                  <w:tcW w:w="1695" w:type="dxa"/>
                  <w:tcBorders>
                    <w:tl2br w:val="nil"/>
                    <w:tr2bl w:val="nil"/>
                  </w:tcBorders>
                  <w:vAlign w:val="center"/>
                </w:tcPr>
                <w:p>
                  <w:pPr>
                    <w:autoSpaceDE w:val="0"/>
                    <w:autoSpaceDN w:val="0"/>
                    <w:jc w:val="center"/>
                    <w:rPr>
                      <w:color w:val="auto"/>
                      <w:szCs w:val="21"/>
                    </w:rPr>
                  </w:pPr>
                  <w:r>
                    <w:rPr>
                      <w:color w:val="auto"/>
                      <w:szCs w:val="21"/>
                    </w:rPr>
                    <w:t>Ⅲ</w:t>
                  </w:r>
                </w:p>
              </w:tc>
              <w:tc>
                <w:tcPr>
                  <w:tcW w:w="1665" w:type="dxa"/>
                  <w:tcBorders>
                    <w:tl2br w:val="nil"/>
                    <w:tr2bl w:val="nil"/>
                  </w:tcBorders>
                  <w:vAlign w:val="center"/>
                </w:tcPr>
                <w:p>
                  <w:pPr>
                    <w:autoSpaceDE w:val="0"/>
                    <w:autoSpaceDN w:val="0"/>
                    <w:jc w:val="center"/>
                    <w:rPr>
                      <w:color w:val="auto"/>
                      <w:szCs w:val="21"/>
                    </w:rPr>
                  </w:pPr>
                  <w:r>
                    <w:rPr>
                      <w:color w:val="auto"/>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36" w:type="dxa"/>
                  <w:tcBorders>
                    <w:tl2br w:val="nil"/>
                    <w:tr2bl w:val="nil"/>
                  </w:tcBorders>
                  <w:vAlign w:val="center"/>
                </w:tcPr>
                <w:p>
                  <w:pPr>
                    <w:autoSpaceDE w:val="0"/>
                    <w:autoSpaceDN w:val="0"/>
                    <w:jc w:val="center"/>
                    <w:rPr>
                      <w:color w:val="auto"/>
                      <w:szCs w:val="21"/>
                    </w:rPr>
                  </w:pPr>
                  <w:r>
                    <w:rPr>
                      <w:color w:val="auto"/>
                      <w:szCs w:val="21"/>
                    </w:rPr>
                    <w:t>环境中度敏感区（E2）</w:t>
                  </w:r>
                </w:p>
              </w:tc>
              <w:tc>
                <w:tcPr>
                  <w:tcW w:w="1665" w:type="dxa"/>
                  <w:tcBorders>
                    <w:tl2br w:val="nil"/>
                    <w:tr2bl w:val="nil"/>
                  </w:tcBorders>
                  <w:vAlign w:val="center"/>
                </w:tcPr>
                <w:p>
                  <w:pPr>
                    <w:autoSpaceDE w:val="0"/>
                    <w:autoSpaceDN w:val="0"/>
                    <w:jc w:val="center"/>
                    <w:rPr>
                      <w:color w:val="auto"/>
                      <w:szCs w:val="21"/>
                    </w:rPr>
                  </w:pPr>
                  <w:r>
                    <w:rPr>
                      <w:color w:val="auto"/>
                      <w:szCs w:val="21"/>
                    </w:rPr>
                    <w:t>Ⅳ</w:t>
                  </w:r>
                </w:p>
              </w:tc>
              <w:tc>
                <w:tcPr>
                  <w:tcW w:w="1755" w:type="dxa"/>
                  <w:tcBorders>
                    <w:tl2br w:val="nil"/>
                    <w:tr2bl w:val="nil"/>
                  </w:tcBorders>
                  <w:vAlign w:val="center"/>
                </w:tcPr>
                <w:p>
                  <w:pPr>
                    <w:autoSpaceDE w:val="0"/>
                    <w:autoSpaceDN w:val="0"/>
                    <w:jc w:val="center"/>
                    <w:rPr>
                      <w:color w:val="auto"/>
                      <w:szCs w:val="21"/>
                    </w:rPr>
                  </w:pPr>
                  <w:r>
                    <w:rPr>
                      <w:color w:val="auto"/>
                      <w:szCs w:val="21"/>
                    </w:rPr>
                    <w:t>Ⅲ</w:t>
                  </w:r>
                </w:p>
              </w:tc>
              <w:tc>
                <w:tcPr>
                  <w:tcW w:w="1695" w:type="dxa"/>
                  <w:tcBorders>
                    <w:tl2br w:val="nil"/>
                    <w:tr2bl w:val="nil"/>
                  </w:tcBorders>
                  <w:vAlign w:val="center"/>
                </w:tcPr>
                <w:p>
                  <w:pPr>
                    <w:autoSpaceDE w:val="0"/>
                    <w:autoSpaceDN w:val="0"/>
                    <w:jc w:val="center"/>
                    <w:rPr>
                      <w:color w:val="auto"/>
                      <w:szCs w:val="21"/>
                    </w:rPr>
                  </w:pPr>
                  <w:r>
                    <w:rPr>
                      <w:color w:val="auto"/>
                      <w:szCs w:val="21"/>
                    </w:rPr>
                    <w:t>Ⅲ</w:t>
                  </w:r>
                </w:p>
              </w:tc>
              <w:tc>
                <w:tcPr>
                  <w:tcW w:w="1665" w:type="dxa"/>
                  <w:tcBorders>
                    <w:tl2br w:val="nil"/>
                    <w:tr2bl w:val="nil"/>
                  </w:tcBorders>
                  <w:vAlign w:val="center"/>
                </w:tcPr>
                <w:p>
                  <w:pPr>
                    <w:autoSpaceDE w:val="0"/>
                    <w:autoSpaceDN w:val="0"/>
                    <w:jc w:val="center"/>
                    <w:rPr>
                      <w:color w:val="auto"/>
                      <w:szCs w:val="21"/>
                    </w:rPr>
                  </w:pPr>
                  <w:r>
                    <w:rPr>
                      <w:color w:val="auto"/>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336" w:type="dxa"/>
                  <w:tcBorders>
                    <w:tl2br w:val="nil"/>
                    <w:tr2bl w:val="nil"/>
                  </w:tcBorders>
                  <w:vAlign w:val="center"/>
                </w:tcPr>
                <w:p>
                  <w:pPr>
                    <w:autoSpaceDE w:val="0"/>
                    <w:autoSpaceDN w:val="0"/>
                    <w:jc w:val="center"/>
                    <w:rPr>
                      <w:color w:val="auto"/>
                      <w:szCs w:val="21"/>
                    </w:rPr>
                  </w:pPr>
                  <w:r>
                    <w:rPr>
                      <w:color w:val="auto"/>
                      <w:szCs w:val="21"/>
                    </w:rPr>
                    <w:t>环境低度敏感区（E3）</w:t>
                  </w:r>
                </w:p>
              </w:tc>
              <w:tc>
                <w:tcPr>
                  <w:tcW w:w="1665" w:type="dxa"/>
                  <w:tcBorders>
                    <w:tl2br w:val="nil"/>
                    <w:tr2bl w:val="nil"/>
                  </w:tcBorders>
                  <w:vAlign w:val="center"/>
                </w:tcPr>
                <w:p>
                  <w:pPr>
                    <w:autoSpaceDE w:val="0"/>
                    <w:autoSpaceDN w:val="0"/>
                    <w:jc w:val="center"/>
                    <w:rPr>
                      <w:color w:val="auto"/>
                      <w:szCs w:val="21"/>
                    </w:rPr>
                  </w:pPr>
                  <w:r>
                    <w:rPr>
                      <w:color w:val="auto"/>
                      <w:szCs w:val="21"/>
                    </w:rPr>
                    <w:t>Ⅲ</w:t>
                  </w:r>
                </w:p>
              </w:tc>
              <w:tc>
                <w:tcPr>
                  <w:tcW w:w="1755" w:type="dxa"/>
                  <w:tcBorders>
                    <w:tl2br w:val="nil"/>
                    <w:tr2bl w:val="nil"/>
                  </w:tcBorders>
                  <w:vAlign w:val="center"/>
                </w:tcPr>
                <w:p>
                  <w:pPr>
                    <w:autoSpaceDE w:val="0"/>
                    <w:autoSpaceDN w:val="0"/>
                    <w:jc w:val="center"/>
                    <w:rPr>
                      <w:color w:val="auto"/>
                      <w:szCs w:val="21"/>
                    </w:rPr>
                  </w:pPr>
                  <w:r>
                    <w:rPr>
                      <w:color w:val="auto"/>
                      <w:szCs w:val="21"/>
                    </w:rPr>
                    <w:t>Ⅲ</w:t>
                  </w:r>
                </w:p>
              </w:tc>
              <w:tc>
                <w:tcPr>
                  <w:tcW w:w="1695" w:type="dxa"/>
                  <w:tcBorders>
                    <w:tl2br w:val="nil"/>
                    <w:tr2bl w:val="nil"/>
                  </w:tcBorders>
                  <w:vAlign w:val="center"/>
                </w:tcPr>
                <w:p>
                  <w:pPr>
                    <w:autoSpaceDE w:val="0"/>
                    <w:autoSpaceDN w:val="0"/>
                    <w:jc w:val="center"/>
                    <w:rPr>
                      <w:color w:val="auto"/>
                      <w:szCs w:val="21"/>
                    </w:rPr>
                  </w:pPr>
                  <w:r>
                    <w:rPr>
                      <w:color w:val="auto"/>
                      <w:szCs w:val="21"/>
                    </w:rPr>
                    <w:t>Ⅱ</w:t>
                  </w:r>
                </w:p>
              </w:tc>
              <w:tc>
                <w:tcPr>
                  <w:tcW w:w="1665" w:type="dxa"/>
                  <w:tcBorders>
                    <w:tl2br w:val="nil"/>
                    <w:tr2bl w:val="nil"/>
                  </w:tcBorders>
                  <w:vAlign w:val="center"/>
                </w:tcPr>
                <w:p>
                  <w:pPr>
                    <w:autoSpaceDE w:val="0"/>
                    <w:autoSpaceDN w:val="0"/>
                    <w:jc w:val="center"/>
                    <w:rPr>
                      <w:color w:val="auto"/>
                      <w:szCs w:val="21"/>
                    </w:rPr>
                  </w:pPr>
                  <w:r>
                    <w:rPr>
                      <w:color w:val="auto"/>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16" w:type="dxa"/>
                  <w:gridSpan w:val="5"/>
                  <w:tcBorders>
                    <w:tl2br w:val="nil"/>
                    <w:tr2bl w:val="nil"/>
                  </w:tcBorders>
                  <w:vAlign w:val="center"/>
                </w:tcPr>
                <w:p>
                  <w:pPr>
                    <w:autoSpaceDE w:val="0"/>
                    <w:autoSpaceDN w:val="0"/>
                    <w:jc w:val="left"/>
                    <w:rPr>
                      <w:color w:val="auto"/>
                      <w:szCs w:val="21"/>
                    </w:rPr>
                  </w:pPr>
                  <w:r>
                    <w:rPr>
                      <w:rFonts w:hint="eastAsia"/>
                      <w:color w:val="auto"/>
                      <w:szCs w:val="21"/>
                    </w:rPr>
                    <w:t>注：</w:t>
                  </w:r>
                  <w:r>
                    <w:rPr>
                      <w:color w:val="auto"/>
                      <w:szCs w:val="21"/>
                    </w:rPr>
                    <w:t>Ⅳ</w:t>
                  </w:r>
                  <w:r>
                    <w:rPr>
                      <w:color w:val="auto"/>
                      <w:szCs w:val="21"/>
                      <w:vertAlign w:val="superscript"/>
                    </w:rPr>
                    <w:t>+</w:t>
                  </w:r>
                  <w:r>
                    <w:rPr>
                      <w:rFonts w:hint="eastAsia"/>
                      <w:color w:val="auto"/>
                      <w:szCs w:val="21"/>
                    </w:rPr>
                    <w:t>为极高环境风险。</w:t>
                  </w:r>
                </w:p>
              </w:tc>
            </w:tr>
          </w:tbl>
          <w:p>
            <w:pPr>
              <w:autoSpaceDE w:val="0"/>
              <w:autoSpaceDN w:val="0"/>
              <w:spacing w:line="360" w:lineRule="auto"/>
              <w:ind w:firstLine="480" w:firstLineChars="200"/>
              <w:rPr>
                <w:color w:val="auto"/>
                <w:sz w:val="24"/>
              </w:rPr>
            </w:pPr>
            <w:r>
              <w:rPr>
                <w:rFonts w:hint="eastAsia"/>
                <w:color w:val="auto"/>
                <w:sz w:val="24"/>
              </w:rPr>
              <w:t>2、P的分级确定</w:t>
            </w:r>
          </w:p>
          <w:p>
            <w:pPr>
              <w:autoSpaceDE w:val="0"/>
              <w:autoSpaceDN w:val="0"/>
              <w:spacing w:line="360" w:lineRule="auto"/>
              <w:ind w:firstLine="480" w:firstLineChars="200"/>
              <w:rPr>
                <w:color w:val="auto"/>
                <w:sz w:val="24"/>
              </w:rPr>
            </w:pPr>
            <w:r>
              <w:rPr>
                <w:rFonts w:hint="eastAsia"/>
                <w:color w:val="auto"/>
                <w:sz w:val="24"/>
              </w:rPr>
              <w:t>定量分析危险物质数量与临界量的比值（Q）和所属行业及生产工艺特点（M），对危险物质及工艺系统危险性（P）等级进行判断。</w:t>
            </w:r>
          </w:p>
          <w:p>
            <w:pPr>
              <w:autoSpaceDE w:val="0"/>
              <w:autoSpaceDN w:val="0"/>
              <w:spacing w:line="360" w:lineRule="auto"/>
              <w:ind w:firstLine="480" w:firstLineChars="200"/>
              <w:rPr>
                <w:color w:val="auto"/>
                <w:sz w:val="24"/>
              </w:rPr>
            </w:pPr>
            <w:r>
              <w:rPr>
                <w:rFonts w:hint="eastAsia"/>
                <w:color w:val="auto"/>
                <w:sz w:val="24"/>
              </w:rPr>
              <w:t>计算所涉及的每种危险物质在厂界内的最大存在总量与其在</w:t>
            </w:r>
            <w:r>
              <w:rPr>
                <w:color w:val="auto"/>
                <w:sz w:val="24"/>
              </w:rPr>
              <w:t>《建设项目环境风险评价技术导则》（</w:t>
            </w:r>
            <w:r>
              <w:rPr>
                <w:rFonts w:hint="eastAsia"/>
                <w:color w:val="auto"/>
                <w:sz w:val="24"/>
              </w:rPr>
              <w:t>HJ 169-2018</w:t>
            </w:r>
            <w:r>
              <w:rPr>
                <w:color w:val="auto"/>
                <w:sz w:val="24"/>
              </w:rPr>
              <w:t>）</w:t>
            </w:r>
            <w:r>
              <w:rPr>
                <w:rFonts w:hint="eastAsia"/>
                <w:color w:val="auto"/>
                <w:sz w:val="24"/>
              </w:rPr>
              <w:t>附录B中对应临界量的比值Q。在不同厂区的同一种物质，按其在厂界内的最大存在总量计算。对于长输管线项目，按照两个截断阀室之间管段危险物质最大存在总量计算。</w:t>
            </w:r>
          </w:p>
          <w:p>
            <w:pPr>
              <w:autoSpaceDE w:val="0"/>
              <w:autoSpaceDN w:val="0"/>
              <w:spacing w:line="360" w:lineRule="auto"/>
              <w:ind w:firstLine="480" w:firstLineChars="200"/>
              <w:rPr>
                <w:color w:val="auto"/>
                <w:sz w:val="24"/>
              </w:rPr>
            </w:pPr>
            <w:r>
              <w:rPr>
                <w:rFonts w:hint="eastAsia"/>
                <w:color w:val="auto"/>
                <w:sz w:val="24"/>
              </w:rPr>
              <w:t>当只涉及一种危险物质时，计算该物质的总量与其临界量比值，即为Q；</w:t>
            </w:r>
          </w:p>
          <w:p>
            <w:pPr>
              <w:autoSpaceDE w:val="0"/>
              <w:autoSpaceDN w:val="0"/>
              <w:spacing w:line="360" w:lineRule="auto"/>
              <w:ind w:firstLine="480" w:firstLineChars="200"/>
              <w:rPr>
                <w:color w:val="auto"/>
                <w:sz w:val="24"/>
              </w:rPr>
            </w:pPr>
            <w:r>
              <w:rPr>
                <w:rFonts w:hint="eastAsia"/>
                <w:color w:val="auto"/>
                <w:sz w:val="24"/>
              </w:rPr>
              <w:t>当存在多种危险物质时，则按下式计算物质总量与其临界量比值Q：</w:t>
            </w:r>
          </w:p>
          <w:p>
            <w:pPr>
              <w:autoSpaceDE w:val="0"/>
              <w:autoSpaceDN w:val="0"/>
              <w:spacing w:line="360" w:lineRule="auto"/>
              <w:ind w:firstLine="480" w:firstLineChars="200"/>
              <w:jc w:val="center"/>
              <w:rPr>
                <w:color w:val="auto"/>
                <w:sz w:val="24"/>
              </w:rPr>
            </w:pPr>
            <w:r>
              <w:rPr>
                <w:color w:val="auto"/>
                <w:position w:val="-30"/>
                <w:sz w:val="24"/>
              </w:rPr>
              <w:object>
                <v:shape id="_x0000_i1027" o:spt="75" type="#_x0000_t75" style="height:33.5pt;width:117.2pt;" o:ole="t" filled="f" o:preferrelative="t" stroked="f" coordsize="21600,21600">
                  <v:path/>
                  <v:fill on="f" focussize="0,0"/>
                  <v:stroke on="f"/>
                  <v:imagedata r:id="rId48" o:title=""/>
                  <o:lock v:ext="edit" aspectratio="t"/>
                  <w10:wrap type="none"/>
                  <w10:anchorlock/>
                </v:shape>
                <o:OLEObject Type="Embed" ProgID="Equation.3" ShapeID="_x0000_i1027" DrawAspect="Content" ObjectID="_1468075727" r:id="rId47">
                  <o:LockedField>false</o:LockedField>
                </o:OLEObject>
              </w:object>
            </w:r>
          </w:p>
          <w:p>
            <w:pPr>
              <w:autoSpaceDE w:val="0"/>
              <w:autoSpaceDN w:val="0"/>
              <w:spacing w:line="360" w:lineRule="auto"/>
              <w:ind w:firstLine="480" w:firstLineChars="200"/>
              <w:rPr>
                <w:color w:val="auto"/>
                <w:sz w:val="24"/>
              </w:rPr>
            </w:pPr>
            <w:r>
              <w:rPr>
                <w:color w:val="auto"/>
                <w:sz w:val="24"/>
              </w:rPr>
              <w:t>式中：</w:t>
            </w:r>
            <w:r>
              <w:rPr>
                <w:color w:val="auto"/>
                <w:position w:val="-10"/>
                <w:sz w:val="24"/>
              </w:rPr>
              <w:object>
                <v:shape id="_x0000_i1028" o:spt="75" type="#_x0000_t75" style="height:17.6pt;width:11.7pt;" o:ole="t" filled="f" o:preferrelative="t" stroked="f" coordsize="21600,21600">
                  <v:path/>
                  <v:fill on="f" focussize="0,0"/>
                  <v:stroke on="f"/>
                  <v:imagedata r:id="rId50" o:title=""/>
                  <o:lock v:ext="edit" aspectratio="t"/>
                  <w10:wrap type="none"/>
                  <w10:anchorlock/>
                </v:shape>
                <o:OLEObject Type="Embed" ProgID="Equation.3" ShapeID="_x0000_i1028" DrawAspect="Content" ObjectID="_1468075728" r:id="rId49">
                  <o:LockedField>false</o:LockedField>
                </o:OLEObject>
              </w:object>
            </w:r>
            <w:r>
              <w:rPr>
                <w:color w:val="auto"/>
                <w:sz w:val="24"/>
              </w:rPr>
              <w:t>、</w:t>
            </w:r>
            <w:r>
              <w:rPr>
                <w:color w:val="auto"/>
                <w:position w:val="-10"/>
                <w:sz w:val="24"/>
              </w:rPr>
              <w:object>
                <v:shape id="_x0000_i1029" o:spt="75" type="#_x0000_t75" style="height:17.6pt;width:14.25pt;" o:ole="t" filled="f" o:preferrelative="t" stroked="f" coordsize="21600,21600">
                  <v:path/>
                  <v:fill on="f" focussize="0,0"/>
                  <v:stroke on="f"/>
                  <v:imagedata r:id="rId52" o:title=""/>
                  <o:lock v:ext="edit" aspectratio="t"/>
                  <w10:wrap type="none"/>
                  <w10:anchorlock/>
                </v:shape>
                <o:OLEObject Type="Embed" ProgID="Equation.3" ShapeID="_x0000_i1029" DrawAspect="Content" ObjectID="_1468075729" r:id="rId51">
                  <o:LockedField>false</o:LockedField>
                </o:OLEObject>
              </w:object>
            </w:r>
            <w:r>
              <w:rPr>
                <w:color w:val="auto"/>
                <w:sz w:val="24"/>
              </w:rPr>
              <w:t>…</w:t>
            </w:r>
            <w:r>
              <w:rPr>
                <w:color w:val="auto"/>
                <w:position w:val="-12"/>
                <w:sz w:val="24"/>
              </w:rPr>
              <w:object>
                <v:shape id="_x0000_i1030" o:spt="75" type="#_x0000_t75" style="height:18.4pt;width:14.25pt;" o:ole="t" filled="f" o:preferrelative="t" stroked="f" coordsize="21600,21600">
                  <v:path/>
                  <v:fill on="f" focussize="0,0"/>
                  <v:stroke on="f"/>
                  <v:imagedata r:id="rId54" o:title=""/>
                  <o:lock v:ext="edit" aspectratio="t"/>
                  <w10:wrap type="none"/>
                  <w10:anchorlock/>
                </v:shape>
                <o:OLEObject Type="Embed" ProgID="Equation.3" ShapeID="_x0000_i1030" DrawAspect="Content" ObjectID="_1468075730" r:id="rId53">
                  <o:LockedField>false</o:LockedField>
                </o:OLEObject>
              </w:object>
            </w:r>
            <w:r>
              <w:rPr>
                <w:rFonts w:hint="eastAsia"/>
                <w:color w:val="auto"/>
                <w:sz w:val="24"/>
              </w:rPr>
              <w:t>——</w:t>
            </w:r>
            <w:r>
              <w:rPr>
                <w:color w:val="auto"/>
                <w:sz w:val="24"/>
              </w:rPr>
              <w:t>每种危险物品的</w:t>
            </w:r>
            <w:r>
              <w:rPr>
                <w:rFonts w:hint="eastAsia"/>
                <w:color w:val="auto"/>
                <w:sz w:val="24"/>
              </w:rPr>
              <w:t>最大存在总量，</w:t>
            </w:r>
            <w:r>
              <w:rPr>
                <w:color w:val="auto"/>
                <w:sz w:val="24"/>
              </w:rPr>
              <w:t>t；</w:t>
            </w:r>
          </w:p>
          <w:p>
            <w:pPr>
              <w:autoSpaceDE w:val="0"/>
              <w:autoSpaceDN w:val="0"/>
              <w:spacing w:line="360" w:lineRule="auto"/>
              <w:ind w:firstLine="480" w:firstLineChars="200"/>
              <w:rPr>
                <w:color w:val="auto"/>
                <w:sz w:val="24"/>
              </w:rPr>
            </w:pPr>
            <w:r>
              <w:rPr>
                <w:color w:val="auto"/>
                <w:sz w:val="24"/>
              </w:rPr>
              <w:t xml:space="preserve">      </w:t>
            </w:r>
            <w:r>
              <w:rPr>
                <w:color w:val="auto"/>
                <w:position w:val="-10"/>
                <w:sz w:val="24"/>
              </w:rPr>
              <w:object>
                <v:shape id="_x0000_i1031" o:spt="75" type="#_x0000_t75" style="height:17.6pt;width:14.25pt;" o:ole="t" filled="f" o:preferrelative="t" stroked="f" coordsize="21600,21600">
                  <v:path/>
                  <v:fill on="f" focussize="0,0"/>
                  <v:stroke on="f"/>
                  <v:imagedata r:id="rId56" o:title=""/>
                  <o:lock v:ext="edit" aspectratio="t"/>
                  <w10:wrap type="none"/>
                  <w10:anchorlock/>
                </v:shape>
                <o:OLEObject Type="Embed" ProgID="Equation.3" ShapeID="_x0000_i1031" DrawAspect="Content" ObjectID="_1468075731" r:id="rId55">
                  <o:LockedField>false</o:LockedField>
                </o:OLEObject>
              </w:object>
            </w:r>
            <w:r>
              <w:rPr>
                <w:color w:val="auto"/>
                <w:sz w:val="24"/>
              </w:rPr>
              <w:t>、</w:t>
            </w:r>
            <w:r>
              <w:rPr>
                <w:color w:val="auto"/>
                <w:position w:val="-10"/>
                <w:sz w:val="24"/>
              </w:rPr>
              <w:object>
                <v:shape id="_x0000_i1032" o:spt="75" type="#_x0000_t75" style="height:17.6pt;width:15.9pt;" o:ole="t" filled="f" o:preferrelative="t" stroked="f" coordsize="21600,21600">
                  <v:path/>
                  <v:fill on="f" focussize="0,0"/>
                  <v:stroke on="f"/>
                  <v:imagedata r:id="rId58" o:title=""/>
                  <o:lock v:ext="edit" aspectratio="t"/>
                  <w10:wrap type="none"/>
                  <w10:anchorlock/>
                </v:shape>
                <o:OLEObject Type="Embed" ProgID="Equation.3" ShapeID="_x0000_i1032" DrawAspect="Content" ObjectID="_1468075732" r:id="rId57">
                  <o:LockedField>false</o:LockedField>
                </o:OLEObject>
              </w:object>
            </w:r>
            <w:r>
              <w:rPr>
                <w:color w:val="auto"/>
                <w:sz w:val="24"/>
              </w:rPr>
              <w:t>…</w:t>
            </w:r>
            <w:r>
              <w:rPr>
                <w:color w:val="auto"/>
                <w:position w:val="-12"/>
                <w:sz w:val="24"/>
              </w:rPr>
              <w:object>
                <v:shape id="_x0000_i1033" o:spt="75" type="#_x0000_t75" style="height:18.4pt;width:15.9pt;" o:ole="t" filled="f" o:preferrelative="t" stroked="f" coordsize="21600,21600">
                  <v:path/>
                  <v:fill on="f" focussize="0,0"/>
                  <v:stroke on="f"/>
                  <v:imagedata r:id="rId60" o:title=""/>
                  <o:lock v:ext="edit" aspectratio="t"/>
                  <w10:wrap type="none"/>
                  <w10:anchorlock/>
                </v:shape>
                <o:OLEObject Type="Embed" ProgID="Equation.3" ShapeID="_x0000_i1033" DrawAspect="Content" ObjectID="_1468075733" r:id="rId59">
                  <o:LockedField>false</o:LockedField>
                </o:OLEObject>
              </w:object>
            </w:r>
            <w:r>
              <w:rPr>
                <w:rFonts w:hint="eastAsia"/>
                <w:color w:val="auto"/>
                <w:sz w:val="24"/>
              </w:rPr>
              <w:t>——每种危险物质的临界量，</w:t>
            </w:r>
            <w:r>
              <w:rPr>
                <w:color w:val="auto"/>
                <w:sz w:val="24"/>
              </w:rPr>
              <w:t>t。</w:t>
            </w:r>
          </w:p>
          <w:p>
            <w:pPr>
              <w:autoSpaceDE w:val="0"/>
              <w:autoSpaceDN w:val="0"/>
              <w:spacing w:line="360" w:lineRule="auto"/>
              <w:ind w:firstLine="480" w:firstLineChars="200"/>
              <w:rPr>
                <w:color w:val="auto"/>
                <w:sz w:val="24"/>
              </w:rPr>
            </w:pPr>
            <w:r>
              <w:rPr>
                <w:rFonts w:hint="eastAsia"/>
                <w:color w:val="auto"/>
                <w:sz w:val="24"/>
              </w:rPr>
              <w:t>当Q&lt;1时，该项目环境风险潜势为</w:t>
            </w:r>
            <w:r>
              <w:rPr>
                <w:rFonts w:hint="eastAsia" w:ascii="微软雅黑" w:hAnsi="微软雅黑" w:eastAsia="微软雅黑" w:cs="微软雅黑"/>
                <w:color w:val="auto"/>
                <w:sz w:val="24"/>
              </w:rPr>
              <w:t>Ⅰ</w:t>
            </w:r>
            <w:r>
              <w:rPr>
                <w:rFonts w:hint="eastAsia"/>
                <w:color w:val="auto"/>
                <w:sz w:val="24"/>
              </w:rPr>
              <w:t>。</w:t>
            </w:r>
          </w:p>
          <w:p>
            <w:pPr>
              <w:autoSpaceDE w:val="0"/>
              <w:autoSpaceDN w:val="0"/>
              <w:spacing w:line="360" w:lineRule="auto"/>
              <w:ind w:firstLine="480" w:firstLineChars="200"/>
              <w:rPr>
                <w:color w:val="auto"/>
                <w:sz w:val="24"/>
              </w:rPr>
            </w:pPr>
            <w:r>
              <w:rPr>
                <w:rFonts w:hint="eastAsia"/>
                <w:color w:val="auto"/>
                <w:sz w:val="24"/>
              </w:rPr>
              <w:t>当Q</w:t>
            </w:r>
            <w:r>
              <w:rPr>
                <w:rFonts w:ascii="Arial" w:hAnsi="Arial" w:cs="Arial"/>
                <w:color w:val="auto"/>
                <w:sz w:val="24"/>
              </w:rPr>
              <w:t>≥</w:t>
            </w:r>
            <w:r>
              <w:rPr>
                <w:rFonts w:hint="eastAsia"/>
                <w:color w:val="auto"/>
                <w:sz w:val="24"/>
              </w:rPr>
              <w:t>1时，将Q值划分为：（1）1</w:t>
            </w:r>
            <w:r>
              <w:rPr>
                <w:rFonts w:ascii="Arial" w:hAnsi="Arial" w:cs="Arial"/>
                <w:color w:val="auto"/>
                <w:sz w:val="24"/>
              </w:rPr>
              <w:t>≤</w:t>
            </w:r>
            <w:r>
              <w:rPr>
                <w:rFonts w:hint="eastAsia"/>
                <w:color w:val="auto"/>
                <w:sz w:val="24"/>
              </w:rPr>
              <w:t>Q&lt;10；（2）10</w:t>
            </w:r>
            <w:r>
              <w:rPr>
                <w:rFonts w:ascii="Arial" w:hAnsi="Arial" w:cs="Arial"/>
                <w:color w:val="auto"/>
                <w:sz w:val="24"/>
              </w:rPr>
              <w:t>≤</w:t>
            </w:r>
            <w:r>
              <w:rPr>
                <w:rFonts w:hint="eastAsia"/>
                <w:color w:val="auto"/>
                <w:sz w:val="24"/>
              </w:rPr>
              <w:t>Q&lt;100；（3）Q</w:t>
            </w:r>
            <w:r>
              <w:rPr>
                <w:rFonts w:ascii="Arial" w:hAnsi="Arial" w:cs="Arial"/>
                <w:color w:val="auto"/>
                <w:sz w:val="24"/>
              </w:rPr>
              <w:t>≥</w:t>
            </w:r>
            <w:r>
              <w:rPr>
                <w:rFonts w:hint="eastAsia"/>
                <w:color w:val="auto"/>
                <w:sz w:val="24"/>
              </w:rPr>
              <w:t>100。</w:t>
            </w:r>
          </w:p>
          <w:p>
            <w:pPr>
              <w:autoSpaceDE w:val="0"/>
              <w:autoSpaceDN w:val="0"/>
              <w:spacing w:line="360" w:lineRule="auto"/>
              <w:ind w:firstLine="480" w:firstLineChars="200"/>
              <w:rPr>
                <w:color w:val="auto"/>
                <w:sz w:val="24"/>
              </w:rPr>
            </w:pPr>
            <w:r>
              <w:rPr>
                <w:rFonts w:hint="eastAsia"/>
                <w:color w:val="auto"/>
                <w:sz w:val="24"/>
              </w:rPr>
              <w:t>本项目建设项目</w:t>
            </w:r>
            <w:r>
              <w:rPr>
                <w:rFonts w:hint="eastAsia"/>
                <w:color w:val="auto"/>
                <w:sz w:val="24"/>
              </w:rPr>
              <w:object>
                <v:shape id="_x0000_i1034" o:spt="75" type="#_x0000_t75" style="height:15.9pt;width:11.7pt;" o:ole="t" filled="f" o:preferrelative="t" stroked="f" coordsize="21600,21600">
                  <v:path/>
                  <v:fill on="f" focussize="0,0"/>
                  <v:stroke on="f"/>
                  <v:imagedata r:id="rId62" o:title=""/>
                  <o:lock v:ext="edit" aspectratio="t"/>
                  <w10:wrap type="none"/>
                  <w10:anchorlock/>
                </v:shape>
                <o:OLEObject Type="Embed" ProgID="Equation.3" ShapeID="_x0000_i1034" DrawAspect="Content" ObjectID="_1468075734" r:id="rId61">
                  <o:LockedField>false</o:LockedField>
                </o:OLEObject>
              </w:object>
            </w:r>
            <w:r>
              <w:rPr>
                <w:rFonts w:hint="eastAsia"/>
                <w:color w:val="auto"/>
                <w:sz w:val="24"/>
              </w:rPr>
              <w:t>值计算见下表。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建设项目</w:t>
            </w:r>
            <w:r>
              <w:rPr>
                <w:rFonts w:hint="eastAsia" w:eastAsia="宋体" w:cs="Times New Roman"/>
                <w:b/>
                <w:color w:val="auto"/>
                <w:sz w:val="21"/>
                <w:szCs w:val="21"/>
              </w:rPr>
              <w:object>
                <v:shape id="_x0000_i1035" o:spt="75" type="#_x0000_t75" style="height:15.9pt;width:11.7pt;" o:ole="t" filled="f" o:preferrelative="t" stroked="f" coordsize="21600,21600">
                  <v:path/>
                  <v:fill on="f" focussize="0,0"/>
                  <v:stroke on="f"/>
                  <v:imagedata r:id="rId62" o:title=""/>
                  <o:lock v:ext="edit" aspectratio="t"/>
                  <w10:wrap type="none"/>
                  <w10:anchorlock/>
                </v:shape>
                <o:OLEObject Type="Embed" ProgID="Equation.3" ShapeID="_x0000_i1035" DrawAspect="Content" ObjectID="_1468075735" r:id="rId63">
                  <o:LockedField>false</o:LockedField>
                </o:OLEObject>
              </w:object>
            </w:r>
            <w:r>
              <w:rPr>
                <w:rFonts w:hint="eastAsia" w:eastAsia="宋体" w:cs="Times New Roman"/>
                <w:b/>
                <w:color w:val="auto"/>
                <w:sz w:val="21"/>
                <w:szCs w:val="21"/>
              </w:rPr>
              <w:t>值确定表</w:t>
            </w:r>
          </w:p>
          <w:p>
            <w:pPr>
              <w:autoSpaceDE w:val="0"/>
              <w:autoSpaceDN w:val="0"/>
              <w:spacing w:before="1" w:line="30" w:lineRule="exact"/>
              <w:rPr>
                <w:b/>
                <w:bCs/>
                <w:color w:val="auto"/>
              </w:rPr>
            </w:pPr>
          </w:p>
          <w:tbl>
            <w:tblPr>
              <w:tblStyle w:val="44"/>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069"/>
              <w:gridCol w:w="1712"/>
              <w:gridCol w:w="2233"/>
              <w:gridCol w:w="1245"/>
              <w:gridCol w:w="12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2069" w:type="dxa"/>
                  <w:tcBorders>
                    <w:tl2br w:val="nil"/>
                    <w:tr2bl w:val="nil"/>
                  </w:tcBorders>
                  <w:vAlign w:val="center"/>
                </w:tcPr>
                <w:p>
                  <w:pPr>
                    <w:adjustRightInd w:val="0"/>
                    <w:snapToGrid w:val="0"/>
                    <w:jc w:val="center"/>
                    <w:rPr>
                      <w:b/>
                      <w:color w:val="auto"/>
                      <w:szCs w:val="21"/>
                    </w:rPr>
                  </w:pPr>
                  <w:r>
                    <w:rPr>
                      <w:b/>
                      <w:color w:val="auto"/>
                      <w:szCs w:val="21"/>
                    </w:rPr>
                    <w:t>物质名称</w:t>
                  </w:r>
                </w:p>
              </w:tc>
              <w:tc>
                <w:tcPr>
                  <w:tcW w:w="1712" w:type="dxa"/>
                  <w:tcBorders>
                    <w:tl2br w:val="nil"/>
                    <w:tr2bl w:val="nil"/>
                  </w:tcBorders>
                  <w:vAlign w:val="center"/>
                </w:tcPr>
                <w:p>
                  <w:pPr>
                    <w:adjustRightInd w:val="0"/>
                    <w:snapToGrid w:val="0"/>
                    <w:jc w:val="center"/>
                    <w:rPr>
                      <w:b/>
                      <w:color w:val="auto"/>
                      <w:szCs w:val="21"/>
                    </w:rPr>
                  </w:pPr>
                  <w:r>
                    <w:rPr>
                      <w:b/>
                      <w:color w:val="auto"/>
                      <w:szCs w:val="21"/>
                    </w:rPr>
                    <w:t>CAS号</w:t>
                  </w:r>
                </w:p>
              </w:tc>
              <w:tc>
                <w:tcPr>
                  <w:tcW w:w="2233" w:type="dxa"/>
                  <w:tcBorders>
                    <w:tl2br w:val="nil"/>
                    <w:tr2bl w:val="nil"/>
                  </w:tcBorders>
                  <w:vAlign w:val="center"/>
                </w:tcPr>
                <w:p>
                  <w:pPr>
                    <w:adjustRightInd w:val="0"/>
                    <w:snapToGrid w:val="0"/>
                    <w:jc w:val="center"/>
                    <w:rPr>
                      <w:b/>
                      <w:color w:val="auto"/>
                      <w:szCs w:val="21"/>
                    </w:rPr>
                  </w:pPr>
                  <w:r>
                    <w:rPr>
                      <w:b/>
                      <w:color w:val="auto"/>
                      <w:szCs w:val="21"/>
                    </w:rPr>
                    <w:t>最大存在总量（</w:t>
                  </w:r>
                  <w:r>
                    <w:rPr>
                      <w:b/>
                      <w:color w:val="auto"/>
                      <w:position w:val="-12"/>
                      <w:szCs w:val="21"/>
                    </w:rPr>
                    <w:object>
                      <v:shape id="_x0000_i1036" o:spt="75" type="#_x0000_t75" style="height:18.4pt;width:14.25pt;" o:ole="t" filled="f" o:preferrelative="t" stroked="f" coordsize="21600,21600">
                        <v:path/>
                        <v:fill on="f" focussize="0,0"/>
                        <v:stroke on="f"/>
                        <v:imagedata r:id="rId65" o:title=""/>
                        <o:lock v:ext="edit" aspectratio="t"/>
                        <w10:wrap type="none"/>
                        <w10:anchorlock/>
                      </v:shape>
                      <o:OLEObject Type="Embed" ProgID="Equation.3" ShapeID="_x0000_i1036" DrawAspect="Content" ObjectID="_1468075736" r:id="rId64">
                        <o:LockedField>false</o:LockedField>
                      </o:OLEObject>
                    </w:object>
                  </w:r>
                  <w:r>
                    <w:rPr>
                      <w:b/>
                      <w:color w:val="auto"/>
                      <w:szCs w:val="21"/>
                    </w:rPr>
                    <w:t>），t</w:t>
                  </w:r>
                </w:p>
              </w:tc>
              <w:tc>
                <w:tcPr>
                  <w:tcW w:w="1245" w:type="dxa"/>
                  <w:tcBorders>
                    <w:tl2br w:val="nil"/>
                    <w:tr2bl w:val="nil"/>
                  </w:tcBorders>
                  <w:vAlign w:val="center"/>
                </w:tcPr>
                <w:p>
                  <w:pPr>
                    <w:adjustRightInd w:val="0"/>
                    <w:snapToGrid w:val="0"/>
                    <w:jc w:val="center"/>
                    <w:rPr>
                      <w:b/>
                      <w:color w:val="auto"/>
                      <w:szCs w:val="21"/>
                    </w:rPr>
                  </w:pPr>
                  <w:r>
                    <w:rPr>
                      <w:b/>
                      <w:color w:val="auto"/>
                      <w:szCs w:val="21"/>
                    </w:rPr>
                    <w:t>临界量(</w:t>
                  </w:r>
                  <w:r>
                    <w:rPr>
                      <w:b/>
                      <w:color w:val="auto"/>
                      <w:position w:val="-12"/>
                      <w:szCs w:val="21"/>
                    </w:rPr>
                    <w:object>
                      <v:shape id="_x0000_i1037" o:spt="75" type="#_x0000_t75" style="height:18.4pt;width:15.9pt;" o:ole="t" filled="f" o:preferrelative="t" stroked="f" coordsize="21600,21600">
                        <v:path/>
                        <v:fill on="f" focussize="0,0"/>
                        <v:stroke on="f"/>
                        <v:imagedata r:id="rId67" o:title=""/>
                        <o:lock v:ext="edit" aspectratio="t"/>
                        <w10:wrap type="none"/>
                        <w10:anchorlock/>
                      </v:shape>
                      <o:OLEObject Type="Embed" ProgID="Equation.3" ShapeID="_x0000_i1037" DrawAspect="Content" ObjectID="_1468075737" r:id="rId66">
                        <o:LockedField>false</o:LockedField>
                      </o:OLEObject>
                    </w:object>
                  </w:r>
                  <w:r>
                    <w:rPr>
                      <w:b/>
                      <w:color w:val="auto"/>
                      <w:szCs w:val="21"/>
                    </w:rPr>
                    <w:t>)，t</w:t>
                  </w:r>
                </w:p>
              </w:tc>
              <w:tc>
                <w:tcPr>
                  <w:tcW w:w="1245" w:type="dxa"/>
                  <w:tcBorders>
                    <w:tl2br w:val="nil"/>
                    <w:tr2bl w:val="nil"/>
                  </w:tcBorders>
                  <w:vAlign w:val="center"/>
                </w:tcPr>
                <w:p>
                  <w:pPr>
                    <w:adjustRightInd w:val="0"/>
                    <w:snapToGrid w:val="0"/>
                    <w:jc w:val="center"/>
                    <w:rPr>
                      <w:b/>
                      <w:color w:val="auto"/>
                      <w:szCs w:val="21"/>
                    </w:rPr>
                  </w:pPr>
                  <w:r>
                    <w:rPr>
                      <w:b/>
                      <w:color w:val="auto"/>
                      <w:szCs w:val="21"/>
                    </w:rPr>
                    <w:t>该种危险物质</w:t>
                  </w:r>
                  <w:r>
                    <w:rPr>
                      <w:b/>
                      <w:bCs/>
                      <w:color w:val="auto"/>
                      <w:spacing w:val="1"/>
                      <w:position w:val="-10"/>
                      <w:szCs w:val="21"/>
                    </w:rPr>
                    <w:object>
                      <v:shape id="_x0000_i1038" o:spt="75" type="#_x0000_t75" style="height:15.9pt;width:11.7pt;" o:ole="t" filled="f" o:preferrelative="t" stroked="f" coordsize="21600,21600">
                        <v:path/>
                        <v:fill on="f" focussize="0,0"/>
                        <v:stroke on="f"/>
                        <v:imagedata r:id="rId62" o:title=""/>
                        <o:lock v:ext="edit" aspectratio="t"/>
                        <w10:wrap type="none"/>
                        <w10:anchorlock/>
                      </v:shape>
                      <o:OLEObject Type="Embed" ProgID="Equation.3" ShapeID="_x0000_i1038" DrawAspect="Content" ObjectID="_1468075738" r:id="rId68">
                        <o:LockedField>false</o:LockedField>
                      </o:OLEObject>
                    </w:object>
                  </w:r>
                  <w:r>
                    <w:rPr>
                      <w:b/>
                      <w:bCs/>
                      <w:color w:val="auto"/>
                      <w:spacing w:val="1"/>
                      <w:position w:val="-1"/>
                      <w:szCs w:val="21"/>
                    </w:rPr>
                    <w:t>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069" w:type="dxa"/>
                  <w:tcBorders>
                    <w:tl2br w:val="nil"/>
                    <w:tr2bl w:val="nil"/>
                  </w:tcBorders>
                  <w:vAlign w:val="center"/>
                </w:tcPr>
                <w:p>
                  <w:pPr>
                    <w:adjustRightInd w:val="0"/>
                    <w:snapToGrid w:val="0"/>
                    <w:jc w:val="center"/>
                    <w:rPr>
                      <w:color w:val="auto"/>
                      <w:szCs w:val="21"/>
                    </w:rPr>
                  </w:pPr>
                  <w:r>
                    <w:rPr>
                      <w:rFonts w:hint="eastAsia"/>
                      <w:color w:val="auto"/>
                      <w:szCs w:val="21"/>
                    </w:rPr>
                    <w:t>邻苯二甲酸二丁酯</w:t>
                  </w:r>
                </w:p>
              </w:tc>
              <w:tc>
                <w:tcPr>
                  <w:tcW w:w="1712" w:type="dxa"/>
                  <w:tcBorders>
                    <w:tl2br w:val="nil"/>
                    <w:tr2bl w:val="nil"/>
                  </w:tcBorders>
                  <w:vAlign w:val="center"/>
                </w:tcPr>
                <w:p>
                  <w:pPr>
                    <w:adjustRightInd w:val="0"/>
                    <w:snapToGrid w:val="0"/>
                    <w:jc w:val="center"/>
                    <w:rPr>
                      <w:color w:val="auto"/>
                      <w:szCs w:val="21"/>
                    </w:rPr>
                  </w:pPr>
                  <w:r>
                    <w:rPr>
                      <w:rFonts w:hint="eastAsia"/>
                      <w:color w:val="auto"/>
                      <w:szCs w:val="21"/>
                    </w:rPr>
                    <w:t>84-74-2</w:t>
                  </w:r>
                </w:p>
              </w:tc>
              <w:tc>
                <w:tcPr>
                  <w:tcW w:w="2233" w:type="dxa"/>
                  <w:tcBorders>
                    <w:tl2br w:val="nil"/>
                    <w:tr2bl w:val="nil"/>
                  </w:tcBorders>
                  <w:vAlign w:val="center"/>
                </w:tcPr>
                <w:p>
                  <w:pPr>
                    <w:adjustRightInd w:val="0"/>
                    <w:snapToGrid w:val="0"/>
                    <w:jc w:val="center"/>
                    <w:rPr>
                      <w:color w:val="auto"/>
                      <w:szCs w:val="21"/>
                    </w:rPr>
                  </w:pPr>
                  <w:r>
                    <w:rPr>
                      <w:rFonts w:hint="eastAsia"/>
                      <w:color w:val="auto"/>
                      <w:szCs w:val="21"/>
                    </w:rPr>
                    <w:t>3</w:t>
                  </w:r>
                </w:p>
              </w:tc>
              <w:tc>
                <w:tcPr>
                  <w:tcW w:w="1245" w:type="dxa"/>
                  <w:tcBorders>
                    <w:tl2br w:val="nil"/>
                    <w:tr2bl w:val="nil"/>
                  </w:tcBorders>
                  <w:vAlign w:val="center"/>
                </w:tcPr>
                <w:p>
                  <w:pPr>
                    <w:adjustRightInd w:val="0"/>
                    <w:snapToGrid w:val="0"/>
                    <w:jc w:val="center"/>
                    <w:rPr>
                      <w:color w:val="auto"/>
                      <w:szCs w:val="21"/>
                    </w:rPr>
                  </w:pPr>
                  <w:r>
                    <w:rPr>
                      <w:rFonts w:hint="eastAsia"/>
                      <w:color w:val="auto"/>
                      <w:szCs w:val="21"/>
                    </w:rPr>
                    <w:t>10</w:t>
                  </w:r>
                </w:p>
              </w:tc>
              <w:tc>
                <w:tcPr>
                  <w:tcW w:w="1245" w:type="dxa"/>
                  <w:tcBorders>
                    <w:tl2br w:val="nil"/>
                    <w:tr2bl w:val="nil"/>
                  </w:tcBorders>
                  <w:vAlign w:val="center"/>
                </w:tcPr>
                <w:p>
                  <w:pPr>
                    <w:jc w:val="center"/>
                    <w:rPr>
                      <w:color w:val="auto"/>
                      <w:szCs w:val="21"/>
                    </w:rPr>
                  </w:pPr>
                  <w:r>
                    <w:rPr>
                      <w:rFonts w:hint="eastAsia"/>
                      <w:color w:val="auto"/>
                      <w:szCs w:val="21"/>
                    </w:rPr>
                    <w:t>0.3</w:t>
                  </w:r>
                </w:p>
              </w:tc>
            </w:tr>
          </w:tbl>
          <w:p>
            <w:pPr>
              <w:spacing w:line="360" w:lineRule="auto"/>
              <w:ind w:firstLine="480" w:firstLineChars="200"/>
              <w:rPr>
                <w:color w:val="auto"/>
                <w:sz w:val="24"/>
              </w:rPr>
            </w:pPr>
            <w:r>
              <w:rPr>
                <w:color w:val="auto"/>
                <w:sz w:val="24"/>
              </w:rPr>
              <w:t>经计算，</w:t>
            </w:r>
            <w:r>
              <w:rPr>
                <w:color w:val="auto"/>
                <w:position w:val="-30"/>
                <w:sz w:val="24"/>
              </w:rPr>
              <w:object>
                <v:shape id="_x0000_i1039" o:spt="75" type="#_x0000_t75" style="height:32.65pt;width:72pt;" o:ole="t" filled="f" o:preferrelative="t" stroked="f" coordsize="21600,21600">
                  <v:path/>
                  <v:fill on="f" focussize="0,0"/>
                  <v:stroke on="f"/>
                  <v:imagedata r:id="rId70" o:title=""/>
                  <o:lock v:ext="edit" aspectratio="t"/>
                  <w10:wrap type="none"/>
                  <w10:anchorlock/>
                </v:shape>
                <o:OLEObject Type="Embed" ProgID="Equation.3" ShapeID="_x0000_i1039" DrawAspect="Content" ObjectID="_1468075739" r:id="rId69">
                  <o:LockedField>false</o:LockedField>
                </o:OLEObject>
              </w:object>
            </w:r>
            <w:r>
              <w:rPr>
                <w:color w:val="auto"/>
                <w:sz w:val="24"/>
              </w:rPr>
              <w:t>，</w:t>
            </w:r>
            <w:r>
              <w:rPr>
                <w:rFonts w:hint="eastAsia"/>
                <w:color w:val="auto"/>
                <w:sz w:val="24"/>
              </w:rPr>
              <w:t>项目环境风险潜势为</w:t>
            </w:r>
            <w:r>
              <w:rPr>
                <w:rFonts w:hint="eastAsia" w:ascii="微软雅黑" w:hAnsi="微软雅黑" w:eastAsia="微软雅黑" w:cs="微软雅黑"/>
                <w:color w:val="auto"/>
                <w:sz w:val="24"/>
              </w:rPr>
              <w:t>Ⅰ</w:t>
            </w:r>
            <w:r>
              <w:rPr>
                <w:color w:val="auto"/>
                <w:sz w:val="24"/>
              </w:rPr>
              <w:t>。</w:t>
            </w:r>
          </w:p>
          <w:p>
            <w:pPr>
              <w:autoSpaceDE w:val="0"/>
              <w:autoSpaceDN w:val="0"/>
              <w:spacing w:line="360" w:lineRule="auto"/>
              <w:ind w:firstLine="480" w:firstLineChars="200"/>
              <w:rPr>
                <w:color w:val="auto"/>
                <w:sz w:val="24"/>
              </w:rPr>
            </w:pPr>
            <w:r>
              <w:rPr>
                <w:rFonts w:hint="eastAsia"/>
                <w:color w:val="auto"/>
                <w:sz w:val="24"/>
              </w:rPr>
              <w:t>3、</w:t>
            </w:r>
            <w:r>
              <w:rPr>
                <w:color w:val="auto"/>
                <w:sz w:val="24"/>
              </w:rPr>
              <w:t xml:space="preserve">评价工作等级 </w:t>
            </w:r>
          </w:p>
          <w:p>
            <w:pPr>
              <w:spacing w:line="360" w:lineRule="auto"/>
              <w:ind w:firstLine="480" w:firstLineChars="200"/>
              <w:rPr>
                <w:rFonts w:eastAsiaTheme="minorEastAsia"/>
                <w:color w:val="auto"/>
                <w:sz w:val="24"/>
              </w:rPr>
            </w:pPr>
            <w:r>
              <w:rPr>
                <w:rFonts w:eastAsiaTheme="minorEastAsia"/>
                <w:color w:val="auto"/>
                <w:sz w:val="24"/>
              </w:rPr>
              <w:t>根据《建设项目环境风险评价技术导则》（HJ169-2018），风险潜势为Ⅰ，可开展简单分析。因此本报告对本项目开展环境风险简单分析。</w:t>
            </w:r>
          </w:p>
          <w:p>
            <w:pPr>
              <w:spacing w:line="360" w:lineRule="auto"/>
              <w:ind w:firstLine="480" w:firstLineChars="200"/>
              <w:rPr>
                <w:rFonts w:eastAsiaTheme="minorEastAsia"/>
                <w:color w:val="auto"/>
                <w:sz w:val="24"/>
              </w:rPr>
            </w:pPr>
            <w:r>
              <w:rPr>
                <w:rFonts w:eastAsiaTheme="minorEastAsia"/>
                <w:color w:val="auto"/>
                <w:sz w:val="24"/>
              </w:rPr>
              <w:t>（</w:t>
            </w:r>
            <w:r>
              <w:rPr>
                <w:rFonts w:hint="eastAsia" w:eastAsiaTheme="minorEastAsia"/>
                <w:color w:val="auto"/>
                <w:sz w:val="24"/>
              </w:rPr>
              <w:t>三</w:t>
            </w:r>
            <w:r>
              <w:rPr>
                <w:rFonts w:eastAsiaTheme="minorEastAsia"/>
                <w:color w:val="auto"/>
                <w:sz w:val="24"/>
              </w:rPr>
              <w:t>）生产过程风险识别</w:t>
            </w:r>
          </w:p>
          <w:p>
            <w:pPr>
              <w:spacing w:line="360" w:lineRule="auto"/>
              <w:ind w:firstLine="480" w:firstLineChars="200"/>
              <w:rPr>
                <w:rFonts w:eastAsiaTheme="minorEastAsia"/>
                <w:color w:val="auto"/>
                <w:sz w:val="24"/>
              </w:rPr>
            </w:pPr>
            <w:r>
              <w:rPr>
                <w:rFonts w:eastAsiaTheme="minorEastAsia"/>
                <w:color w:val="auto"/>
                <w:sz w:val="24"/>
              </w:rPr>
              <w:t>本项目主要为危险废物储存点、仓库和废气处理设施存在环境风险，识别如下表所示：</w:t>
            </w:r>
          </w:p>
          <w:p>
            <w:pPr>
              <w:widowControl/>
              <w:numPr>
                <w:ilvl w:val="0"/>
                <w:numId w:val="5"/>
              </w:numPr>
              <w:tabs>
                <w:tab w:val="left" w:pos="420"/>
              </w:tabs>
              <w:adjustRightInd w:val="0"/>
              <w:snapToGrid w:val="0"/>
              <w:spacing w:line="360" w:lineRule="auto"/>
              <w:ind w:left="0" w:firstLine="471"/>
              <w:jc w:val="center"/>
              <w:rPr>
                <w:b/>
                <w:color w:val="auto"/>
                <w:kern w:val="0"/>
                <w:szCs w:val="21"/>
              </w:rPr>
            </w:pPr>
            <w:r>
              <w:rPr>
                <w:b/>
                <w:color w:val="auto"/>
                <w:kern w:val="0"/>
                <w:szCs w:val="21"/>
              </w:rPr>
              <w:t>生产过程风险源识别</w:t>
            </w:r>
          </w:p>
          <w:tbl>
            <w:tblPr>
              <w:tblStyle w:val="45"/>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4"/>
              <w:gridCol w:w="1380"/>
              <w:gridCol w:w="3870"/>
              <w:gridCol w:w="2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spacing w:line="276" w:lineRule="auto"/>
                    <w:jc w:val="center"/>
                    <w:rPr>
                      <w:rFonts w:eastAsiaTheme="minorEastAsia"/>
                      <w:b/>
                      <w:bCs/>
                      <w:color w:val="auto"/>
                      <w:szCs w:val="21"/>
                    </w:rPr>
                  </w:pPr>
                  <w:r>
                    <w:rPr>
                      <w:rFonts w:eastAsiaTheme="minorEastAsia"/>
                      <w:b/>
                      <w:bCs/>
                      <w:color w:val="auto"/>
                      <w:szCs w:val="21"/>
                    </w:rPr>
                    <w:t>危险目标</w:t>
                  </w:r>
                </w:p>
              </w:tc>
              <w:tc>
                <w:tcPr>
                  <w:tcW w:w="1380" w:type="dxa"/>
                  <w:vAlign w:val="center"/>
                </w:tcPr>
                <w:p>
                  <w:pPr>
                    <w:spacing w:line="276" w:lineRule="auto"/>
                    <w:jc w:val="center"/>
                    <w:rPr>
                      <w:rFonts w:eastAsiaTheme="minorEastAsia"/>
                      <w:b/>
                      <w:bCs/>
                      <w:color w:val="auto"/>
                      <w:szCs w:val="21"/>
                    </w:rPr>
                  </w:pPr>
                  <w:r>
                    <w:rPr>
                      <w:rFonts w:eastAsiaTheme="minorEastAsia"/>
                      <w:b/>
                      <w:bCs/>
                      <w:color w:val="auto"/>
                      <w:szCs w:val="21"/>
                    </w:rPr>
                    <w:t>事故类型</w:t>
                  </w:r>
                </w:p>
              </w:tc>
              <w:tc>
                <w:tcPr>
                  <w:tcW w:w="3870" w:type="dxa"/>
                  <w:vAlign w:val="center"/>
                </w:tcPr>
                <w:p>
                  <w:pPr>
                    <w:spacing w:line="276" w:lineRule="auto"/>
                    <w:jc w:val="center"/>
                    <w:rPr>
                      <w:rFonts w:eastAsiaTheme="minorEastAsia"/>
                      <w:b/>
                      <w:bCs/>
                      <w:color w:val="auto"/>
                      <w:szCs w:val="21"/>
                    </w:rPr>
                  </w:pPr>
                  <w:r>
                    <w:rPr>
                      <w:rFonts w:eastAsiaTheme="minorEastAsia"/>
                      <w:b/>
                      <w:bCs/>
                      <w:color w:val="auto"/>
                      <w:szCs w:val="21"/>
                    </w:rPr>
                    <w:t>事故引发可能原因及后果</w:t>
                  </w:r>
                </w:p>
              </w:tc>
              <w:tc>
                <w:tcPr>
                  <w:tcW w:w="2302" w:type="dxa"/>
                  <w:vAlign w:val="center"/>
                </w:tcPr>
                <w:p>
                  <w:pPr>
                    <w:spacing w:line="276" w:lineRule="auto"/>
                    <w:jc w:val="center"/>
                    <w:rPr>
                      <w:rFonts w:eastAsiaTheme="minorEastAsia"/>
                      <w:b/>
                      <w:bCs/>
                      <w:color w:val="auto"/>
                      <w:szCs w:val="21"/>
                    </w:rPr>
                  </w:pPr>
                  <w:r>
                    <w:rPr>
                      <w:rFonts w:eastAsiaTheme="minorEastAsia"/>
                      <w:b/>
                      <w:bCs/>
                      <w:color w:val="auto"/>
                      <w:szCs w:val="21"/>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spacing w:line="276" w:lineRule="auto"/>
                    <w:jc w:val="center"/>
                    <w:rPr>
                      <w:rFonts w:eastAsiaTheme="minorEastAsia"/>
                      <w:color w:val="auto"/>
                      <w:szCs w:val="21"/>
                    </w:rPr>
                  </w:pPr>
                  <w:r>
                    <w:rPr>
                      <w:rFonts w:eastAsiaTheme="minorEastAsia"/>
                      <w:color w:val="auto"/>
                      <w:szCs w:val="21"/>
                    </w:rPr>
                    <w:t>危险废物暂存点</w:t>
                  </w:r>
                </w:p>
              </w:tc>
              <w:tc>
                <w:tcPr>
                  <w:tcW w:w="1380" w:type="dxa"/>
                  <w:vAlign w:val="center"/>
                </w:tcPr>
                <w:p>
                  <w:pPr>
                    <w:spacing w:line="276" w:lineRule="auto"/>
                    <w:jc w:val="center"/>
                    <w:rPr>
                      <w:rFonts w:eastAsiaTheme="minorEastAsia"/>
                      <w:color w:val="auto"/>
                      <w:szCs w:val="21"/>
                    </w:rPr>
                  </w:pPr>
                  <w:r>
                    <w:rPr>
                      <w:rFonts w:eastAsiaTheme="minorEastAsia"/>
                      <w:color w:val="auto"/>
                      <w:szCs w:val="21"/>
                    </w:rPr>
                    <w:t>泄漏</w:t>
                  </w:r>
                </w:p>
              </w:tc>
              <w:tc>
                <w:tcPr>
                  <w:tcW w:w="3870" w:type="dxa"/>
                  <w:vAlign w:val="center"/>
                </w:tcPr>
                <w:p>
                  <w:pPr>
                    <w:spacing w:line="276" w:lineRule="auto"/>
                    <w:jc w:val="center"/>
                    <w:rPr>
                      <w:rFonts w:eastAsiaTheme="minorEastAsia"/>
                      <w:color w:val="auto"/>
                      <w:szCs w:val="21"/>
                    </w:rPr>
                  </w:pPr>
                  <w:r>
                    <w:rPr>
                      <w:rFonts w:eastAsiaTheme="minorEastAsia"/>
                      <w:color w:val="auto"/>
                      <w:szCs w:val="21"/>
                    </w:rPr>
                    <w:t>危险废物装卸或存储过程中可能会发生泄漏可能污染地下水，或可能由于恶劣天气影响，导致雨水渗入等</w:t>
                  </w:r>
                </w:p>
              </w:tc>
              <w:tc>
                <w:tcPr>
                  <w:tcW w:w="2302" w:type="dxa"/>
                  <w:vAlign w:val="center"/>
                </w:tcPr>
                <w:p>
                  <w:pPr>
                    <w:spacing w:line="276" w:lineRule="auto"/>
                    <w:jc w:val="center"/>
                    <w:rPr>
                      <w:rFonts w:eastAsiaTheme="minorEastAsia"/>
                      <w:color w:val="auto"/>
                      <w:szCs w:val="21"/>
                    </w:rPr>
                  </w:pPr>
                  <w:r>
                    <w:rPr>
                      <w:rFonts w:eastAsiaTheme="minorEastAsia"/>
                      <w:color w:val="auto"/>
                      <w:szCs w:val="21"/>
                    </w:rPr>
                    <w:t>储存危险废物必须严实包装，储存场地硬底化，设置漫坡围堰，储存场地选择室内或设置遮雨措施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spacing w:line="276" w:lineRule="auto"/>
                    <w:jc w:val="center"/>
                    <w:rPr>
                      <w:rFonts w:eastAsiaTheme="minorEastAsia"/>
                      <w:color w:val="auto"/>
                      <w:szCs w:val="21"/>
                    </w:rPr>
                  </w:pPr>
                  <w:r>
                    <w:rPr>
                      <w:rFonts w:eastAsiaTheme="minorEastAsia"/>
                      <w:color w:val="auto"/>
                      <w:szCs w:val="21"/>
                    </w:rPr>
                    <w:t>仓库</w:t>
                  </w:r>
                </w:p>
              </w:tc>
              <w:tc>
                <w:tcPr>
                  <w:tcW w:w="1380" w:type="dxa"/>
                  <w:vAlign w:val="center"/>
                </w:tcPr>
                <w:p>
                  <w:pPr>
                    <w:spacing w:line="276" w:lineRule="auto"/>
                    <w:jc w:val="center"/>
                    <w:rPr>
                      <w:rFonts w:eastAsiaTheme="minorEastAsia"/>
                      <w:color w:val="auto"/>
                      <w:szCs w:val="21"/>
                    </w:rPr>
                  </w:pPr>
                  <w:r>
                    <w:rPr>
                      <w:rFonts w:eastAsiaTheme="minorEastAsia"/>
                      <w:color w:val="auto"/>
                      <w:szCs w:val="21"/>
                    </w:rPr>
                    <w:t>泄漏</w:t>
                  </w:r>
                </w:p>
              </w:tc>
              <w:tc>
                <w:tcPr>
                  <w:tcW w:w="3870" w:type="dxa"/>
                  <w:vAlign w:val="center"/>
                </w:tcPr>
                <w:p>
                  <w:pPr>
                    <w:spacing w:line="276" w:lineRule="auto"/>
                    <w:jc w:val="center"/>
                    <w:rPr>
                      <w:rFonts w:eastAsiaTheme="minorEastAsia"/>
                      <w:color w:val="auto"/>
                      <w:szCs w:val="21"/>
                    </w:rPr>
                  </w:pPr>
                  <w:r>
                    <w:rPr>
                      <w:rFonts w:eastAsiaTheme="minorEastAsia"/>
                      <w:color w:val="auto"/>
                      <w:szCs w:val="21"/>
                    </w:rPr>
                    <w:t>化学品装卸或存储过程中可能会发生泄漏可能污染地下水，或可能由于恶劣天气影响，导致雨水渗入等</w:t>
                  </w:r>
                </w:p>
              </w:tc>
              <w:tc>
                <w:tcPr>
                  <w:tcW w:w="2302" w:type="dxa"/>
                  <w:vAlign w:val="center"/>
                </w:tcPr>
                <w:p>
                  <w:pPr>
                    <w:spacing w:line="276" w:lineRule="auto"/>
                    <w:jc w:val="center"/>
                    <w:rPr>
                      <w:rFonts w:eastAsiaTheme="minorEastAsia"/>
                      <w:color w:val="auto"/>
                      <w:szCs w:val="21"/>
                    </w:rPr>
                  </w:pPr>
                  <w:r>
                    <w:rPr>
                      <w:rFonts w:eastAsiaTheme="minorEastAsia"/>
                      <w:color w:val="auto"/>
                      <w:szCs w:val="21"/>
                    </w:rPr>
                    <w:t>储存化学品必须严实包装，储存场地硬底化，设置漫坡围堰，储存场地选择室内或设置遮雨措施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4" w:type="dxa"/>
                  <w:vAlign w:val="center"/>
                </w:tcPr>
                <w:p>
                  <w:pPr>
                    <w:spacing w:line="276" w:lineRule="auto"/>
                    <w:jc w:val="center"/>
                    <w:rPr>
                      <w:rFonts w:eastAsiaTheme="minorEastAsia"/>
                      <w:color w:val="auto"/>
                      <w:szCs w:val="21"/>
                    </w:rPr>
                  </w:pPr>
                  <w:r>
                    <w:rPr>
                      <w:rFonts w:eastAsiaTheme="minorEastAsia"/>
                      <w:color w:val="auto"/>
                      <w:szCs w:val="21"/>
                    </w:rPr>
                    <w:t>废气收集排放系统</w:t>
                  </w:r>
                </w:p>
              </w:tc>
              <w:tc>
                <w:tcPr>
                  <w:tcW w:w="1380" w:type="dxa"/>
                  <w:vAlign w:val="center"/>
                </w:tcPr>
                <w:p>
                  <w:pPr>
                    <w:spacing w:line="276" w:lineRule="auto"/>
                    <w:jc w:val="center"/>
                    <w:rPr>
                      <w:rFonts w:eastAsiaTheme="minorEastAsia"/>
                      <w:color w:val="auto"/>
                      <w:szCs w:val="21"/>
                    </w:rPr>
                  </w:pPr>
                  <w:r>
                    <w:rPr>
                      <w:rFonts w:eastAsiaTheme="minorEastAsia"/>
                      <w:color w:val="auto"/>
                      <w:szCs w:val="21"/>
                    </w:rPr>
                    <w:t>废气事故排放</w:t>
                  </w:r>
                </w:p>
              </w:tc>
              <w:tc>
                <w:tcPr>
                  <w:tcW w:w="3870" w:type="dxa"/>
                  <w:vAlign w:val="center"/>
                </w:tcPr>
                <w:p>
                  <w:pPr>
                    <w:spacing w:line="276" w:lineRule="auto"/>
                    <w:jc w:val="center"/>
                    <w:rPr>
                      <w:rFonts w:eastAsiaTheme="minorEastAsia"/>
                      <w:color w:val="auto"/>
                      <w:szCs w:val="21"/>
                    </w:rPr>
                  </w:pPr>
                  <w:r>
                    <w:rPr>
                      <w:rFonts w:eastAsiaTheme="minorEastAsia"/>
                      <w:color w:val="auto"/>
                      <w:szCs w:val="21"/>
                    </w:rPr>
                    <w:t>设备故障，或管道损坏，会导致</w:t>
                  </w:r>
                </w:p>
                <w:p>
                  <w:pPr>
                    <w:spacing w:line="276" w:lineRule="auto"/>
                    <w:jc w:val="center"/>
                    <w:rPr>
                      <w:rFonts w:eastAsiaTheme="minorEastAsia"/>
                      <w:color w:val="auto"/>
                      <w:szCs w:val="21"/>
                    </w:rPr>
                  </w:pPr>
                  <w:r>
                    <w:rPr>
                      <w:rFonts w:eastAsiaTheme="minorEastAsia"/>
                      <w:color w:val="auto"/>
                      <w:szCs w:val="21"/>
                    </w:rPr>
                    <w:t>废气未经有效收集处理直接排</w:t>
                  </w:r>
                </w:p>
                <w:p>
                  <w:pPr>
                    <w:spacing w:line="276" w:lineRule="auto"/>
                    <w:jc w:val="center"/>
                    <w:rPr>
                      <w:rFonts w:eastAsiaTheme="minorEastAsia"/>
                      <w:color w:val="auto"/>
                      <w:szCs w:val="21"/>
                    </w:rPr>
                  </w:pPr>
                  <w:r>
                    <w:rPr>
                      <w:rFonts w:eastAsiaTheme="minorEastAsia"/>
                      <w:color w:val="auto"/>
                      <w:szCs w:val="21"/>
                    </w:rPr>
                    <w:t>放，影响周边大气环境</w:t>
                  </w:r>
                </w:p>
              </w:tc>
              <w:tc>
                <w:tcPr>
                  <w:tcW w:w="2302" w:type="dxa"/>
                  <w:vAlign w:val="center"/>
                </w:tcPr>
                <w:p>
                  <w:pPr>
                    <w:spacing w:line="276" w:lineRule="auto"/>
                    <w:jc w:val="center"/>
                    <w:rPr>
                      <w:rFonts w:eastAsiaTheme="minorEastAsia"/>
                      <w:color w:val="auto"/>
                      <w:szCs w:val="21"/>
                    </w:rPr>
                  </w:pPr>
                  <w:r>
                    <w:rPr>
                      <w:rFonts w:eastAsiaTheme="minorEastAsia"/>
                      <w:color w:val="auto"/>
                      <w:szCs w:val="21"/>
                    </w:rPr>
                    <w:t>加强检修维护，确保废气收集系统的正常运行</w:t>
                  </w:r>
                </w:p>
              </w:tc>
            </w:tr>
          </w:tbl>
          <w:p>
            <w:pPr>
              <w:spacing w:line="360" w:lineRule="auto"/>
              <w:ind w:firstLine="480" w:firstLineChars="200"/>
              <w:rPr>
                <w:rFonts w:eastAsiaTheme="minorEastAsia"/>
                <w:color w:val="auto"/>
                <w:sz w:val="24"/>
              </w:rPr>
            </w:pPr>
            <w:r>
              <w:rPr>
                <w:rFonts w:eastAsiaTheme="minorEastAsia"/>
                <w:color w:val="auto"/>
                <w:sz w:val="24"/>
              </w:rPr>
              <w:t>（</w:t>
            </w:r>
            <w:r>
              <w:rPr>
                <w:rFonts w:hint="eastAsia" w:eastAsiaTheme="minorEastAsia"/>
                <w:color w:val="auto"/>
                <w:sz w:val="24"/>
              </w:rPr>
              <w:t>四</w:t>
            </w:r>
            <w:r>
              <w:rPr>
                <w:rFonts w:eastAsiaTheme="minorEastAsia"/>
                <w:color w:val="auto"/>
                <w:sz w:val="24"/>
              </w:rPr>
              <w:t>）源项分析</w:t>
            </w:r>
          </w:p>
          <w:p>
            <w:pPr>
              <w:spacing w:line="360" w:lineRule="auto"/>
              <w:ind w:firstLine="480" w:firstLineChars="200"/>
              <w:rPr>
                <w:rFonts w:eastAsiaTheme="minorEastAsia"/>
                <w:color w:val="auto"/>
                <w:sz w:val="24"/>
              </w:rPr>
            </w:pPr>
            <w:r>
              <w:rPr>
                <w:rFonts w:eastAsiaTheme="minorEastAsia"/>
                <w:color w:val="auto"/>
                <w:sz w:val="24"/>
              </w:rPr>
              <w:t>风险事故类型分为火灾、爆炸和泄漏三种。结合本项目的工程特征，潜在的风险事故可以分为</w:t>
            </w:r>
            <w:r>
              <w:rPr>
                <w:rFonts w:hint="eastAsia" w:eastAsiaTheme="minorEastAsia"/>
                <w:color w:val="auto"/>
                <w:sz w:val="24"/>
              </w:rPr>
              <w:t>四</w:t>
            </w:r>
            <w:r>
              <w:rPr>
                <w:rFonts w:eastAsiaTheme="minorEastAsia"/>
                <w:color w:val="auto"/>
                <w:sz w:val="24"/>
              </w:rPr>
              <w:t>大类：一是有化学品的泄漏，造成环境污染；二是</w:t>
            </w:r>
            <w:r>
              <w:rPr>
                <w:rFonts w:hint="eastAsia" w:eastAsiaTheme="minorEastAsia"/>
                <w:color w:val="auto"/>
                <w:sz w:val="24"/>
              </w:rPr>
              <w:t>大</w:t>
            </w:r>
            <w:r>
              <w:rPr>
                <w:rFonts w:eastAsiaTheme="minorEastAsia"/>
                <w:color w:val="auto"/>
                <w:sz w:val="24"/>
              </w:rPr>
              <w:t>气污染物发生风险事故排放，造成环境污染事故；三是危险废物贮存不当引起的污染；四是因邻苯二甲酸二丁酯</w:t>
            </w:r>
            <w:r>
              <w:rPr>
                <w:rFonts w:hint="eastAsia" w:eastAsiaTheme="minorEastAsia"/>
                <w:color w:val="auto"/>
                <w:sz w:val="24"/>
              </w:rPr>
              <w:t>增塑剂</w:t>
            </w:r>
            <w:r>
              <w:rPr>
                <w:rFonts w:eastAsiaTheme="minorEastAsia"/>
                <w:color w:val="auto"/>
                <w:sz w:val="24"/>
              </w:rPr>
              <w:t>泄漏引起火灾，随消防废水进入市政管网或周边水体。</w:t>
            </w:r>
          </w:p>
          <w:p>
            <w:pPr>
              <w:spacing w:line="360" w:lineRule="auto"/>
              <w:ind w:firstLine="480" w:firstLineChars="200"/>
              <w:rPr>
                <w:rFonts w:eastAsiaTheme="minorEastAsia"/>
                <w:color w:val="auto"/>
                <w:sz w:val="24"/>
              </w:rPr>
            </w:pPr>
            <w:r>
              <w:rPr>
                <w:rFonts w:eastAsiaTheme="minorEastAsia"/>
                <w:color w:val="auto"/>
                <w:sz w:val="24"/>
              </w:rPr>
              <w:t>（</w:t>
            </w:r>
            <w:r>
              <w:rPr>
                <w:rFonts w:hint="eastAsia" w:eastAsiaTheme="minorEastAsia"/>
                <w:color w:val="auto"/>
                <w:sz w:val="24"/>
              </w:rPr>
              <w:t>五</w:t>
            </w:r>
            <w:r>
              <w:rPr>
                <w:rFonts w:eastAsiaTheme="minorEastAsia"/>
                <w:color w:val="auto"/>
                <w:sz w:val="24"/>
              </w:rPr>
              <w:t>）风险防范措施</w:t>
            </w:r>
          </w:p>
          <w:p>
            <w:pPr>
              <w:spacing w:line="360" w:lineRule="auto"/>
              <w:ind w:firstLine="480" w:firstLineChars="200"/>
              <w:rPr>
                <w:rFonts w:eastAsiaTheme="minorEastAsia"/>
                <w:color w:val="auto"/>
                <w:sz w:val="24"/>
              </w:rPr>
            </w:pPr>
            <w:r>
              <w:rPr>
                <w:rFonts w:eastAsiaTheme="minorEastAsia"/>
                <w:color w:val="auto"/>
                <w:sz w:val="24"/>
              </w:rPr>
              <w:t>①公司应当定期对废气收集排放系统定期进行检修维护。</w:t>
            </w:r>
          </w:p>
          <w:p>
            <w:pPr>
              <w:spacing w:line="360" w:lineRule="auto"/>
              <w:ind w:firstLine="480" w:firstLineChars="200"/>
              <w:rPr>
                <w:rFonts w:eastAsiaTheme="minorEastAsia"/>
                <w:color w:val="auto"/>
                <w:sz w:val="24"/>
              </w:rPr>
            </w:pPr>
            <w:r>
              <w:rPr>
                <w:rFonts w:eastAsiaTheme="minorEastAsia"/>
                <w:color w:val="auto"/>
                <w:sz w:val="24"/>
              </w:rPr>
              <w:t>②储存液体化学品必须严实包装，储存场地硬底化，设置漫坡围堰，储存场地选择室内或设置遮雨措施</w:t>
            </w:r>
            <w:r>
              <w:rPr>
                <w:rFonts w:hint="eastAsia" w:eastAsiaTheme="minorEastAsia"/>
                <w:color w:val="auto"/>
                <w:sz w:val="24"/>
              </w:rPr>
              <w:t>。</w:t>
            </w:r>
          </w:p>
          <w:p>
            <w:pPr>
              <w:spacing w:line="360" w:lineRule="auto"/>
              <w:ind w:firstLine="480" w:firstLineChars="200"/>
              <w:rPr>
                <w:rFonts w:eastAsiaTheme="minorEastAsia"/>
                <w:color w:val="auto"/>
                <w:sz w:val="24"/>
              </w:rPr>
            </w:pPr>
            <w:r>
              <w:rPr>
                <w:rFonts w:hint="eastAsia" w:eastAsiaTheme="minorEastAsia"/>
                <w:color w:val="auto"/>
                <w:sz w:val="24"/>
              </w:rPr>
              <w:t>③</w:t>
            </w:r>
            <w:r>
              <w:rPr>
                <w:rFonts w:eastAsiaTheme="minorEastAsia"/>
                <w:color w:val="auto"/>
                <w:sz w:val="24"/>
              </w:rPr>
              <w:t>按照《危险废物贮存污染控制标准》（（GB18597-2001）及2013年修改单）对危险废物暂存场进行设计和建设，同时将危险废物交有相关资质单位处理，做好供应商的管理。同时严格按《危险废物转移联单管理办法》做好转移记录。</w:t>
            </w:r>
          </w:p>
          <w:p>
            <w:pPr>
              <w:spacing w:line="360" w:lineRule="auto"/>
              <w:ind w:firstLine="480" w:firstLineChars="200"/>
              <w:rPr>
                <w:rFonts w:eastAsiaTheme="minorEastAsia"/>
                <w:color w:val="auto"/>
                <w:sz w:val="24"/>
              </w:rPr>
            </w:pPr>
            <w:r>
              <w:rPr>
                <w:rFonts w:eastAsiaTheme="minorEastAsia"/>
                <w:color w:val="auto"/>
                <w:sz w:val="24"/>
              </w:rPr>
              <w:t>（</w:t>
            </w:r>
            <w:r>
              <w:rPr>
                <w:rFonts w:hint="eastAsia" w:eastAsiaTheme="minorEastAsia"/>
                <w:color w:val="auto"/>
                <w:sz w:val="24"/>
              </w:rPr>
              <w:t>六</w:t>
            </w:r>
            <w:r>
              <w:rPr>
                <w:rFonts w:eastAsiaTheme="minorEastAsia"/>
                <w:color w:val="auto"/>
                <w:sz w:val="24"/>
              </w:rPr>
              <w:t>）评价小结</w:t>
            </w:r>
          </w:p>
          <w:p>
            <w:pPr>
              <w:spacing w:line="360" w:lineRule="auto"/>
              <w:ind w:firstLine="480" w:firstLineChars="200"/>
              <w:rPr>
                <w:rFonts w:eastAsiaTheme="minorEastAsia"/>
                <w:color w:val="auto"/>
                <w:sz w:val="24"/>
              </w:rPr>
            </w:pPr>
            <w:r>
              <w:rPr>
                <w:rFonts w:eastAsiaTheme="minorEastAsia"/>
                <w:color w:val="auto"/>
                <w:sz w:val="24"/>
              </w:rPr>
              <w:t>项目物质不构成重大危险源</w:t>
            </w:r>
            <w:r>
              <w:rPr>
                <w:rFonts w:hint="eastAsia" w:eastAsiaTheme="minorEastAsia"/>
                <w:color w:val="auto"/>
                <w:sz w:val="24"/>
              </w:rPr>
              <w:t>，</w:t>
            </w:r>
            <w:r>
              <w:rPr>
                <w:rFonts w:eastAsiaTheme="minorEastAsia"/>
                <w:color w:val="auto"/>
                <w:sz w:val="24"/>
              </w:rPr>
              <w:t>企业在落实相应风险防范和控制措施的情况下，总体环境风险可控。</w:t>
            </w:r>
          </w:p>
          <w:p>
            <w:pPr>
              <w:spacing w:line="360" w:lineRule="auto"/>
              <w:ind w:firstLine="480" w:firstLineChars="200"/>
              <w:rPr>
                <w:rFonts w:eastAsiaTheme="minorEastAsia"/>
                <w:color w:val="auto"/>
                <w:sz w:val="24"/>
              </w:rPr>
            </w:pPr>
            <w:r>
              <w:rPr>
                <w:rFonts w:eastAsiaTheme="minorEastAsia"/>
                <w:color w:val="auto"/>
                <w:sz w:val="24"/>
              </w:rPr>
              <w:t>（</w:t>
            </w:r>
            <w:r>
              <w:rPr>
                <w:rFonts w:hint="eastAsia" w:eastAsiaTheme="minorEastAsia"/>
                <w:color w:val="auto"/>
                <w:sz w:val="24"/>
              </w:rPr>
              <w:t>七</w:t>
            </w:r>
            <w:r>
              <w:rPr>
                <w:rFonts w:eastAsiaTheme="minorEastAsia"/>
                <w:color w:val="auto"/>
                <w:sz w:val="24"/>
              </w:rPr>
              <w:t>）建设项目环境风险简单分析内容表</w:t>
            </w:r>
          </w:p>
          <w:p>
            <w:pPr>
              <w:widowControl/>
              <w:numPr>
                <w:ilvl w:val="0"/>
                <w:numId w:val="5"/>
              </w:numPr>
              <w:tabs>
                <w:tab w:val="left" w:pos="420"/>
              </w:tabs>
              <w:adjustRightInd w:val="0"/>
              <w:snapToGrid w:val="0"/>
              <w:spacing w:line="360" w:lineRule="auto"/>
              <w:ind w:left="0" w:firstLine="471"/>
              <w:jc w:val="center"/>
              <w:rPr>
                <w:b/>
                <w:color w:val="auto"/>
                <w:kern w:val="0"/>
                <w:szCs w:val="21"/>
              </w:rPr>
            </w:pPr>
            <w:r>
              <w:rPr>
                <w:b/>
                <w:color w:val="auto"/>
                <w:kern w:val="0"/>
                <w:szCs w:val="21"/>
              </w:rPr>
              <w:t>项目环境风险简单分析内容表</w:t>
            </w:r>
          </w:p>
          <w:tbl>
            <w:tblPr>
              <w:tblStyle w:val="45"/>
              <w:tblW w:w="9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2151"/>
              <w:gridCol w:w="1739"/>
              <w:gridCol w:w="1739"/>
              <w:gridCol w:w="1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951" w:type="dxa"/>
                  <w:vAlign w:val="center"/>
                </w:tcPr>
                <w:p>
                  <w:pPr>
                    <w:spacing w:line="276" w:lineRule="auto"/>
                    <w:jc w:val="center"/>
                    <w:rPr>
                      <w:rFonts w:eastAsiaTheme="minorEastAsia"/>
                      <w:color w:val="auto"/>
                      <w:szCs w:val="21"/>
                    </w:rPr>
                  </w:pPr>
                  <w:r>
                    <w:rPr>
                      <w:rFonts w:eastAsiaTheme="minorEastAsia"/>
                      <w:color w:val="auto"/>
                      <w:szCs w:val="21"/>
                    </w:rPr>
                    <w:t>建设项目名称</w:t>
                  </w:r>
                </w:p>
              </w:tc>
              <w:tc>
                <w:tcPr>
                  <w:tcW w:w="7369" w:type="dxa"/>
                  <w:gridSpan w:val="4"/>
                  <w:vAlign w:val="center"/>
                </w:tcPr>
                <w:p>
                  <w:pPr>
                    <w:jc w:val="center"/>
                    <w:rPr>
                      <w:rFonts w:hint="eastAsia" w:eastAsiaTheme="minorEastAsia"/>
                      <w:color w:val="auto"/>
                      <w:szCs w:val="21"/>
                      <w:lang w:eastAsia="zh-CN"/>
                    </w:rPr>
                  </w:pPr>
                  <w:r>
                    <w:rPr>
                      <w:rFonts w:hint="eastAsia" w:eastAsiaTheme="minorEastAsia"/>
                      <w:color w:val="auto"/>
                      <w:szCs w:val="21"/>
                      <w:lang w:eastAsia="zh-CN"/>
                    </w:rPr>
                    <w:t>开平市合丰管业科技有限公司年生产加工高压软管500吨建设项目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951" w:type="dxa"/>
                  <w:vAlign w:val="center"/>
                </w:tcPr>
                <w:p>
                  <w:pPr>
                    <w:spacing w:line="276" w:lineRule="auto"/>
                    <w:jc w:val="center"/>
                    <w:rPr>
                      <w:rFonts w:eastAsiaTheme="minorEastAsia"/>
                      <w:color w:val="auto"/>
                      <w:szCs w:val="21"/>
                    </w:rPr>
                  </w:pPr>
                  <w:r>
                    <w:rPr>
                      <w:rFonts w:eastAsiaTheme="minorEastAsia"/>
                      <w:color w:val="auto"/>
                      <w:szCs w:val="21"/>
                    </w:rPr>
                    <w:t>建设地点</w:t>
                  </w:r>
                </w:p>
              </w:tc>
              <w:tc>
                <w:tcPr>
                  <w:tcW w:w="7369" w:type="dxa"/>
                  <w:gridSpan w:val="4"/>
                  <w:vAlign w:val="center"/>
                </w:tcPr>
                <w:p>
                  <w:pPr>
                    <w:jc w:val="center"/>
                    <w:rPr>
                      <w:rFonts w:eastAsiaTheme="minorEastAsia"/>
                      <w:color w:val="auto"/>
                      <w:szCs w:val="21"/>
                    </w:rPr>
                  </w:pPr>
                  <w:r>
                    <w:rPr>
                      <w:rFonts w:eastAsiaTheme="minorEastAsia"/>
                      <w:color w:val="auto"/>
                      <w:szCs w:val="21"/>
                    </w:rPr>
                    <w:t>开平市合丰管业科技有限公司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951" w:type="dxa"/>
                  <w:vAlign w:val="center"/>
                </w:tcPr>
                <w:p>
                  <w:pPr>
                    <w:spacing w:line="276" w:lineRule="auto"/>
                    <w:jc w:val="center"/>
                    <w:rPr>
                      <w:rFonts w:eastAsiaTheme="minorEastAsia"/>
                      <w:color w:val="auto"/>
                      <w:szCs w:val="21"/>
                    </w:rPr>
                  </w:pPr>
                  <w:r>
                    <w:rPr>
                      <w:rFonts w:eastAsiaTheme="minorEastAsia"/>
                      <w:color w:val="auto"/>
                      <w:szCs w:val="21"/>
                    </w:rPr>
                    <w:t>地理坐标</w:t>
                  </w:r>
                </w:p>
              </w:tc>
              <w:tc>
                <w:tcPr>
                  <w:tcW w:w="2151" w:type="dxa"/>
                  <w:vAlign w:val="center"/>
                </w:tcPr>
                <w:p>
                  <w:pPr>
                    <w:spacing w:line="276" w:lineRule="auto"/>
                    <w:jc w:val="center"/>
                    <w:rPr>
                      <w:rFonts w:eastAsiaTheme="minorEastAsia"/>
                      <w:color w:val="auto"/>
                      <w:szCs w:val="21"/>
                    </w:rPr>
                  </w:pPr>
                  <w:r>
                    <w:rPr>
                      <w:rFonts w:eastAsiaTheme="minorEastAsia"/>
                      <w:color w:val="auto"/>
                      <w:szCs w:val="21"/>
                    </w:rPr>
                    <w:t>经度</w:t>
                  </w:r>
                </w:p>
              </w:tc>
              <w:tc>
                <w:tcPr>
                  <w:tcW w:w="1739" w:type="dxa"/>
                  <w:vAlign w:val="center"/>
                </w:tcPr>
                <w:p>
                  <w:pPr>
                    <w:spacing w:line="276" w:lineRule="auto"/>
                    <w:jc w:val="center"/>
                    <w:rPr>
                      <w:rFonts w:eastAsiaTheme="minorEastAsia"/>
                      <w:color w:val="auto"/>
                      <w:szCs w:val="21"/>
                    </w:rPr>
                  </w:pPr>
                  <w:r>
                    <w:rPr>
                      <w:rFonts w:eastAsiaTheme="minorEastAsia"/>
                      <w:color w:val="auto"/>
                      <w:szCs w:val="21"/>
                    </w:rPr>
                    <w:t>E112°46'48.03"</w:t>
                  </w:r>
                </w:p>
              </w:tc>
              <w:tc>
                <w:tcPr>
                  <w:tcW w:w="1739" w:type="dxa"/>
                  <w:vAlign w:val="center"/>
                </w:tcPr>
                <w:p>
                  <w:pPr>
                    <w:spacing w:line="276" w:lineRule="auto"/>
                    <w:jc w:val="center"/>
                    <w:rPr>
                      <w:rFonts w:eastAsiaTheme="minorEastAsia"/>
                      <w:color w:val="auto"/>
                      <w:szCs w:val="21"/>
                    </w:rPr>
                  </w:pPr>
                  <w:r>
                    <w:rPr>
                      <w:rFonts w:eastAsiaTheme="minorEastAsia"/>
                      <w:color w:val="auto"/>
                      <w:szCs w:val="21"/>
                    </w:rPr>
                    <w:t>纬度</w:t>
                  </w:r>
                </w:p>
              </w:tc>
              <w:tc>
                <w:tcPr>
                  <w:tcW w:w="1740" w:type="dxa"/>
                  <w:vAlign w:val="center"/>
                </w:tcPr>
                <w:p>
                  <w:pPr>
                    <w:spacing w:line="276" w:lineRule="auto"/>
                    <w:jc w:val="center"/>
                    <w:rPr>
                      <w:rFonts w:eastAsiaTheme="minorEastAsia"/>
                      <w:color w:val="auto"/>
                      <w:szCs w:val="21"/>
                    </w:rPr>
                  </w:pPr>
                  <w:r>
                    <w:rPr>
                      <w:rFonts w:eastAsiaTheme="minorEastAsia"/>
                      <w:color w:val="auto"/>
                      <w:szCs w:val="21"/>
                    </w:rPr>
                    <w:t>N22°26'43.99"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951" w:type="dxa"/>
                  <w:vAlign w:val="center"/>
                </w:tcPr>
                <w:p>
                  <w:pPr>
                    <w:spacing w:line="276" w:lineRule="auto"/>
                    <w:jc w:val="center"/>
                    <w:rPr>
                      <w:rFonts w:eastAsiaTheme="minorEastAsia"/>
                      <w:color w:val="auto"/>
                      <w:szCs w:val="21"/>
                    </w:rPr>
                  </w:pPr>
                  <w:r>
                    <w:rPr>
                      <w:rFonts w:eastAsiaTheme="minorEastAsia"/>
                      <w:color w:val="auto"/>
                      <w:szCs w:val="21"/>
                    </w:rPr>
                    <w:t>主要危险物质分布</w:t>
                  </w:r>
                </w:p>
              </w:tc>
              <w:tc>
                <w:tcPr>
                  <w:tcW w:w="7369" w:type="dxa"/>
                  <w:gridSpan w:val="4"/>
                  <w:vAlign w:val="center"/>
                </w:tcPr>
                <w:p>
                  <w:pPr>
                    <w:spacing w:line="276" w:lineRule="auto"/>
                    <w:jc w:val="center"/>
                    <w:rPr>
                      <w:rFonts w:eastAsiaTheme="minorEastAsia"/>
                      <w:color w:val="auto"/>
                      <w:szCs w:val="21"/>
                    </w:rPr>
                  </w:pPr>
                  <w:r>
                    <w:rPr>
                      <w:rFonts w:eastAsiaTheme="minorEastAsia"/>
                      <w:color w:val="auto"/>
                      <w:szCs w:val="21"/>
                    </w:rPr>
                    <w:t>邻苯二甲酸二丁酯增塑剂，位于</w:t>
                  </w:r>
                  <w:r>
                    <w:rPr>
                      <w:rFonts w:hint="eastAsia" w:eastAsiaTheme="minorEastAsia"/>
                      <w:color w:val="auto"/>
                      <w:szCs w:val="21"/>
                    </w:rPr>
                    <w:t>生产车间；废UV灯管、废活性炭位于危废暂存区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1951" w:type="dxa"/>
                  <w:vAlign w:val="center"/>
                </w:tcPr>
                <w:p>
                  <w:pPr>
                    <w:spacing w:line="276" w:lineRule="auto"/>
                    <w:jc w:val="center"/>
                    <w:rPr>
                      <w:rFonts w:eastAsiaTheme="minorEastAsia"/>
                      <w:color w:val="auto"/>
                      <w:szCs w:val="21"/>
                    </w:rPr>
                  </w:pPr>
                  <w:r>
                    <w:rPr>
                      <w:rFonts w:eastAsiaTheme="minorEastAsia"/>
                      <w:color w:val="auto"/>
                      <w:szCs w:val="21"/>
                    </w:rPr>
                    <w:t>环境影响途径及危害后果（大气、地表水、地下水等）</w:t>
                  </w:r>
                </w:p>
              </w:tc>
              <w:tc>
                <w:tcPr>
                  <w:tcW w:w="7369" w:type="dxa"/>
                  <w:gridSpan w:val="4"/>
                  <w:vAlign w:val="center"/>
                </w:tcPr>
                <w:p>
                  <w:pPr>
                    <w:spacing w:line="276" w:lineRule="auto"/>
                    <w:jc w:val="left"/>
                    <w:rPr>
                      <w:rFonts w:eastAsiaTheme="minorEastAsia"/>
                      <w:color w:val="auto"/>
                      <w:szCs w:val="21"/>
                    </w:rPr>
                  </w:pPr>
                  <w:r>
                    <w:rPr>
                      <w:rFonts w:eastAsiaTheme="minorEastAsia"/>
                      <w:color w:val="auto"/>
                      <w:szCs w:val="21"/>
                    </w:rPr>
                    <w:t>①危险废物装卸或存储过程中可能会发生泄漏可能污染地下水，或可能由于恶劣天气影响，导致雨水渗入等</w:t>
                  </w:r>
                  <w:r>
                    <w:rPr>
                      <w:rFonts w:hint="eastAsia" w:eastAsiaTheme="minorEastAsia"/>
                      <w:color w:val="auto"/>
                      <w:szCs w:val="21"/>
                    </w:rPr>
                    <w:t>；</w:t>
                  </w:r>
                </w:p>
                <w:p>
                  <w:pPr>
                    <w:spacing w:line="276" w:lineRule="auto"/>
                    <w:jc w:val="left"/>
                    <w:rPr>
                      <w:rFonts w:eastAsiaTheme="minorEastAsia"/>
                      <w:color w:val="auto"/>
                      <w:szCs w:val="21"/>
                    </w:rPr>
                  </w:pPr>
                  <w:r>
                    <w:rPr>
                      <w:rFonts w:eastAsiaTheme="minorEastAsia"/>
                      <w:color w:val="auto"/>
                      <w:szCs w:val="21"/>
                    </w:rPr>
                    <w:t>②化学品装卸或存储过程中可能会发生泄漏可能污染地下水，或可能由于恶劣天气影响，导致雨水渗入等</w:t>
                  </w:r>
                  <w:r>
                    <w:rPr>
                      <w:rFonts w:hint="eastAsia" w:eastAsiaTheme="minorEastAsia"/>
                      <w:color w:val="auto"/>
                      <w:szCs w:val="21"/>
                    </w:rPr>
                    <w:t>；</w:t>
                  </w:r>
                </w:p>
                <w:p>
                  <w:pPr>
                    <w:spacing w:line="276" w:lineRule="auto"/>
                    <w:jc w:val="left"/>
                    <w:rPr>
                      <w:rFonts w:eastAsiaTheme="minorEastAsia"/>
                      <w:color w:val="auto"/>
                      <w:szCs w:val="21"/>
                    </w:rPr>
                  </w:pPr>
                  <w:r>
                    <w:rPr>
                      <w:rFonts w:eastAsiaTheme="minorEastAsia"/>
                      <w:color w:val="auto"/>
                      <w:szCs w:val="21"/>
                    </w:rPr>
                    <w:t>③设备故障，或管道损坏，会导致废气未经有效收集处理直接排放，影响周边大气环境</w:t>
                  </w:r>
                  <w:r>
                    <w:rPr>
                      <w:rFonts w:hint="eastAsia" w:eastAsiaTheme="minorEastAsia"/>
                      <w:color w:val="auto"/>
                      <w:szCs w:val="21"/>
                    </w:rPr>
                    <w:t>；</w:t>
                  </w:r>
                </w:p>
                <w:p>
                  <w:pPr>
                    <w:spacing w:line="276" w:lineRule="auto"/>
                    <w:jc w:val="left"/>
                    <w:rPr>
                      <w:rFonts w:eastAsiaTheme="minorEastAsia"/>
                      <w:color w:val="auto"/>
                      <w:szCs w:val="21"/>
                    </w:rPr>
                  </w:pPr>
                  <w:r>
                    <w:rPr>
                      <w:rFonts w:eastAsiaTheme="minorEastAsia"/>
                      <w:color w:val="auto"/>
                      <w:szCs w:val="21"/>
                    </w:rPr>
                    <w:t>④因邻苯二甲酸二丁酯增塑剂泄漏引起火灾，随消防废水进入市政管网或周边水体。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0" w:hRule="atLeast"/>
                <w:jc w:val="center"/>
              </w:trPr>
              <w:tc>
                <w:tcPr>
                  <w:tcW w:w="1951" w:type="dxa"/>
                  <w:vAlign w:val="center"/>
                </w:tcPr>
                <w:p>
                  <w:pPr>
                    <w:spacing w:line="276" w:lineRule="auto"/>
                    <w:jc w:val="center"/>
                    <w:rPr>
                      <w:rFonts w:eastAsiaTheme="minorEastAsia"/>
                      <w:color w:val="auto"/>
                      <w:szCs w:val="21"/>
                    </w:rPr>
                  </w:pPr>
                  <w:r>
                    <w:rPr>
                      <w:rFonts w:eastAsiaTheme="minorEastAsia"/>
                      <w:color w:val="auto"/>
                      <w:szCs w:val="21"/>
                    </w:rPr>
                    <w:t>风险防范措施要求</w:t>
                  </w:r>
                </w:p>
              </w:tc>
              <w:tc>
                <w:tcPr>
                  <w:tcW w:w="7369" w:type="dxa"/>
                  <w:gridSpan w:val="4"/>
                  <w:vAlign w:val="center"/>
                </w:tcPr>
                <w:p>
                  <w:pPr>
                    <w:spacing w:line="276" w:lineRule="auto"/>
                    <w:jc w:val="left"/>
                    <w:rPr>
                      <w:rFonts w:eastAsiaTheme="minorEastAsia"/>
                      <w:color w:val="auto"/>
                      <w:szCs w:val="21"/>
                    </w:rPr>
                  </w:pPr>
                  <w:r>
                    <w:rPr>
                      <w:rFonts w:eastAsiaTheme="minorEastAsia"/>
                      <w:color w:val="auto"/>
                      <w:szCs w:val="21"/>
                    </w:rPr>
                    <w:t>①储存危险废物必须严实包装，储存场地硬底化，设置漫坡围堰，储存场地选择室内或设置遮雨措施</w:t>
                  </w:r>
                </w:p>
                <w:p>
                  <w:pPr>
                    <w:spacing w:line="276" w:lineRule="auto"/>
                    <w:jc w:val="left"/>
                    <w:rPr>
                      <w:rFonts w:eastAsiaTheme="minorEastAsia"/>
                      <w:color w:val="auto"/>
                      <w:szCs w:val="21"/>
                    </w:rPr>
                  </w:pPr>
                  <w:r>
                    <w:rPr>
                      <w:rFonts w:eastAsiaTheme="minorEastAsia"/>
                      <w:color w:val="auto"/>
                      <w:szCs w:val="21"/>
                    </w:rPr>
                    <w:t>②储存化学品必须严实包装，储存场地硬底化，设置漫坡围堰，储存场地选择室内或设置遮雨措施</w:t>
                  </w:r>
                </w:p>
                <w:p>
                  <w:pPr>
                    <w:spacing w:line="276" w:lineRule="auto"/>
                    <w:jc w:val="left"/>
                    <w:rPr>
                      <w:rFonts w:eastAsiaTheme="minorEastAsia"/>
                      <w:color w:val="auto"/>
                      <w:szCs w:val="21"/>
                    </w:rPr>
                  </w:pPr>
                  <w:r>
                    <w:rPr>
                      <w:rFonts w:eastAsiaTheme="minorEastAsia"/>
                      <w:color w:val="auto"/>
                      <w:szCs w:val="21"/>
                    </w:rPr>
                    <w:t>③加强检修维护，确保废气收集系统的正常运行。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1951" w:type="dxa"/>
                  <w:vAlign w:val="center"/>
                </w:tcPr>
                <w:p>
                  <w:pPr>
                    <w:spacing w:line="276" w:lineRule="auto"/>
                    <w:jc w:val="center"/>
                    <w:rPr>
                      <w:rFonts w:eastAsiaTheme="minorEastAsia"/>
                      <w:color w:val="auto"/>
                      <w:szCs w:val="21"/>
                    </w:rPr>
                  </w:pPr>
                  <w:r>
                    <w:rPr>
                      <w:rFonts w:eastAsiaTheme="minorEastAsia"/>
                      <w:color w:val="auto"/>
                      <w:szCs w:val="21"/>
                    </w:rPr>
                    <w:t>填表说明（列出项目相关信息及评价说明）</w:t>
                  </w:r>
                </w:p>
              </w:tc>
              <w:tc>
                <w:tcPr>
                  <w:tcW w:w="7369" w:type="dxa"/>
                  <w:gridSpan w:val="4"/>
                  <w:vAlign w:val="center"/>
                </w:tcPr>
                <w:p>
                  <w:pPr>
                    <w:spacing w:line="276" w:lineRule="auto"/>
                    <w:jc w:val="center"/>
                    <w:rPr>
                      <w:rFonts w:eastAsiaTheme="minorEastAsia"/>
                      <w:color w:val="auto"/>
                      <w:szCs w:val="21"/>
                    </w:rPr>
                  </w:pPr>
                  <w:r>
                    <w:rPr>
                      <w:rFonts w:eastAsiaTheme="minorEastAsia"/>
                      <w:color w:val="auto"/>
                      <w:szCs w:val="21"/>
                    </w:rPr>
                    <w:t>/</w:t>
                  </w:r>
                </w:p>
              </w:tc>
            </w:tr>
          </w:tbl>
          <w:p>
            <w:pPr>
              <w:numPr>
                <w:ilvl w:val="0"/>
                <w:numId w:val="11"/>
              </w:numPr>
              <w:spacing w:line="360" w:lineRule="auto"/>
              <w:ind w:firstLine="482" w:firstLineChars="200"/>
              <w:jc w:val="left"/>
              <w:rPr>
                <w:b/>
                <w:bCs/>
                <w:color w:val="auto"/>
                <w:sz w:val="24"/>
              </w:rPr>
            </w:pPr>
            <w:r>
              <w:rPr>
                <w:rFonts w:hint="eastAsia"/>
                <w:b/>
                <w:bCs/>
                <w:color w:val="auto"/>
                <w:sz w:val="24"/>
              </w:rPr>
              <w:t>土壤环境影响分析</w:t>
            </w:r>
          </w:p>
          <w:p>
            <w:pPr>
              <w:spacing w:line="360" w:lineRule="auto"/>
              <w:ind w:firstLine="480" w:firstLineChars="200"/>
              <w:rPr>
                <w:rFonts w:hint="eastAsia" w:hAnsi="宋体"/>
                <w:color w:val="auto"/>
                <w:sz w:val="24"/>
                <w:lang w:eastAsia="zh-CN"/>
              </w:rPr>
            </w:pPr>
            <w:r>
              <w:rPr>
                <w:rFonts w:hint="eastAsia" w:hAnsi="宋体"/>
                <w:color w:val="auto"/>
                <w:sz w:val="24"/>
                <w:lang w:eastAsia="zh-CN"/>
              </w:rPr>
              <w:t>本项目</w:t>
            </w:r>
            <w:r>
              <w:rPr>
                <w:rFonts w:hint="eastAsia"/>
                <w:bCs/>
                <w:color w:val="auto"/>
                <w:sz w:val="24"/>
                <w:shd w:val="clear" w:color="auto" w:fill="auto"/>
              </w:rPr>
              <w:t>主要从事</w:t>
            </w:r>
            <w:r>
              <w:rPr>
                <w:rFonts w:hint="eastAsia"/>
                <w:color w:val="auto"/>
                <w:sz w:val="24"/>
                <w:lang w:eastAsia="zh-CN"/>
              </w:rPr>
              <w:t>高压软管</w:t>
            </w:r>
            <w:r>
              <w:rPr>
                <w:rFonts w:hint="eastAsia"/>
                <w:bCs/>
                <w:color w:val="auto"/>
                <w:sz w:val="24"/>
                <w:shd w:val="clear" w:color="auto" w:fill="auto"/>
                <w:lang w:eastAsia="zh-CN"/>
              </w:rPr>
              <w:t>的加工生产</w:t>
            </w:r>
            <w:r>
              <w:rPr>
                <w:rFonts w:hint="eastAsia" w:hAnsi="宋体"/>
                <w:color w:val="auto"/>
                <w:sz w:val="24"/>
                <w:lang w:eastAsia="zh-CN"/>
              </w:rPr>
              <w:t>，属于塑料制品行业。根据《环境影响评价技术导则 土壤环境（试行）》（HJ 964-2018）附录A中有关建设项目所属土壤环境影响评价项目类别的划分，本项目属于其他行业，因此属于土壤环境影响评价IV类项目。根据《环境影响评价技术导则 土壤环境（试行）》（HJ 964-2018）中的相关要求，本项目可不开展土壤环境影响评价。</w:t>
            </w:r>
          </w:p>
          <w:p>
            <w:pPr>
              <w:spacing w:line="360" w:lineRule="auto"/>
              <w:ind w:firstLine="482" w:firstLineChars="200"/>
              <w:jc w:val="left"/>
              <w:rPr>
                <w:b/>
                <w:bCs/>
                <w:color w:val="auto"/>
                <w:sz w:val="24"/>
              </w:rPr>
            </w:pPr>
            <w:r>
              <w:rPr>
                <w:rFonts w:hint="eastAsia"/>
                <w:b/>
                <w:bCs/>
                <w:color w:val="auto"/>
                <w:sz w:val="24"/>
              </w:rPr>
              <w:t>七</w:t>
            </w:r>
            <w:r>
              <w:rPr>
                <w:b/>
                <w:bCs/>
                <w:color w:val="auto"/>
                <w:sz w:val="24"/>
              </w:rPr>
              <w:t>、环境管理和监测计划</w:t>
            </w:r>
          </w:p>
          <w:p>
            <w:pPr>
              <w:spacing w:line="360" w:lineRule="auto"/>
              <w:ind w:firstLine="480" w:firstLineChars="200"/>
              <w:jc w:val="left"/>
              <w:rPr>
                <w:color w:val="auto"/>
                <w:sz w:val="24"/>
              </w:rPr>
            </w:pPr>
            <w:r>
              <w:rPr>
                <w:color w:val="auto"/>
                <w:sz w:val="24"/>
              </w:rPr>
              <w:t>为了及时反映企业排污状况，提供环境管理和污染防治的依据，必须认真落实环境监测工作。开展此工作的环境监测机构，除环保行政主管部门的环境监测站对项目的排污状况和处理设施进行监督性监测、技术指导和考核外，建设单位应设立人员负责开展常规性的工作。根据《排污单位自行监测技术指南总则》（HJ819-2017）相关要求以及针对本项目的特点和环境管理的要求，对气、声等环境要素分别制订出环境监测计划。</w:t>
            </w:r>
          </w:p>
          <w:p>
            <w:pPr>
              <w:pStyle w:val="138"/>
              <w:numPr>
                <w:ilvl w:val="0"/>
                <w:numId w:val="5"/>
              </w:numPr>
              <w:tabs>
                <w:tab w:val="left" w:pos="420"/>
              </w:tabs>
              <w:spacing w:line="360" w:lineRule="auto"/>
              <w:ind w:left="0" w:firstLine="471"/>
              <w:rPr>
                <w:rFonts w:cs="Times New Roman" w:eastAsiaTheme="minorEastAsia"/>
                <w:b/>
                <w:bCs/>
                <w:color w:val="auto"/>
                <w:sz w:val="21"/>
                <w:szCs w:val="21"/>
              </w:rPr>
            </w:pPr>
            <w:r>
              <w:rPr>
                <w:rFonts w:cs="Times New Roman" w:eastAsiaTheme="minorEastAsia"/>
                <w:b/>
                <w:bCs/>
                <w:color w:val="auto"/>
                <w:sz w:val="21"/>
                <w:szCs w:val="21"/>
              </w:rPr>
              <w:t>环境监测计划及记录信息表</w:t>
            </w:r>
          </w:p>
          <w:tbl>
            <w:tblPr>
              <w:tblStyle w:val="44"/>
              <w:tblW w:w="90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652"/>
              <w:gridCol w:w="1262"/>
              <w:gridCol w:w="1350"/>
              <w:gridCol w:w="3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Align w:val="center"/>
                </w:tcPr>
                <w:p>
                  <w:pPr>
                    <w:spacing w:line="276" w:lineRule="auto"/>
                    <w:jc w:val="center"/>
                    <w:rPr>
                      <w:rFonts w:eastAsiaTheme="minorEastAsia"/>
                      <w:color w:val="auto"/>
                      <w:szCs w:val="21"/>
                    </w:rPr>
                  </w:pPr>
                  <w:r>
                    <w:rPr>
                      <w:rFonts w:eastAsiaTheme="minorEastAsia"/>
                      <w:color w:val="auto"/>
                      <w:szCs w:val="21"/>
                    </w:rPr>
                    <w:t>污染物</w:t>
                  </w:r>
                </w:p>
              </w:tc>
              <w:tc>
                <w:tcPr>
                  <w:tcW w:w="1652"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监测点位</w:t>
                  </w:r>
                </w:p>
              </w:tc>
              <w:tc>
                <w:tcPr>
                  <w:tcW w:w="1262"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检测指标</w:t>
                  </w:r>
                </w:p>
              </w:tc>
              <w:tc>
                <w:tcPr>
                  <w:tcW w:w="1350"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监测频次</w:t>
                  </w:r>
                </w:p>
              </w:tc>
              <w:tc>
                <w:tcPr>
                  <w:tcW w:w="3967"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restart"/>
                  <w:vAlign w:val="center"/>
                </w:tcPr>
                <w:p>
                  <w:pPr>
                    <w:spacing w:line="276" w:lineRule="auto"/>
                    <w:jc w:val="center"/>
                    <w:rPr>
                      <w:rFonts w:eastAsiaTheme="minorEastAsia"/>
                      <w:color w:val="auto"/>
                      <w:szCs w:val="21"/>
                    </w:rPr>
                  </w:pPr>
                  <w:r>
                    <w:rPr>
                      <w:rFonts w:eastAsiaTheme="minorEastAsia"/>
                      <w:color w:val="auto"/>
                      <w:szCs w:val="21"/>
                    </w:rPr>
                    <w:t>废气</w:t>
                  </w:r>
                </w:p>
              </w:tc>
              <w:tc>
                <w:tcPr>
                  <w:tcW w:w="1652"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排气筒G1</w:t>
                  </w:r>
                </w:p>
              </w:tc>
              <w:tc>
                <w:tcPr>
                  <w:tcW w:w="1262" w:type="dxa"/>
                  <w:shd w:val="clear" w:color="auto" w:fill="auto"/>
                  <w:vAlign w:val="center"/>
                </w:tcPr>
                <w:p>
                  <w:pPr>
                    <w:spacing w:line="276" w:lineRule="auto"/>
                    <w:jc w:val="center"/>
                    <w:rPr>
                      <w:rFonts w:eastAsiaTheme="minorEastAsia"/>
                      <w:color w:val="auto"/>
                      <w:szCs w:val="21"/>
                    </w:rPr>
                  </w:pPr>
                  <w:r>
                    <w:rPr>
                      <w:color w:val="auto"/>
                      <w:szCs w:val="16"/>
                    </w:rPr>
                    <w:t>非甲烷总烃</w:t>
                  </w:r>
                </w:p>
              </w:tc>
              <w:tc>
                <w:tcPr>
                  <w:tcW w:w="1350"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每年一次</w:t>
                  </w:r>
                </w:p>
              </w:tc>
              <w:tc>
                <w:tcPr>
                  <w:tcW w:w="3967"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《合成树脂工业污染物排放标准》（GB 31572-2015）中表4规定的大气污染物排放标准限值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continue"/>
                  <w:vAlign w:val="center"/>
                </w:tcPr>
                <w:p>
                  <w:pPr>
                    <w:spacing w:line="276" w:lineRule="auto"/>
                    <w:jc w:val="center"/>
                    <w:rPr>
                      <w:rFonts w:eastAsiaTheme="minorEastAsia"/>
                      <w:color w:val="auto"/>
                      <w:szCs w:val="21"/>
                    </w:rPr>
                  </w:pPr>
                </w:p>
              </w:tc>
              <w:tc>
                <w:tcPr>
                  <w:tcW w:w="1652" w:type="dxa"/>
                  <w:shd w:val="clear" w:color="auto" w:fill="auto"/>
                  <w:vAlign w:val="center"/>
                </w:tcPr>
                <w:p>
                  <w:pPr>
                    <w:jc w:val="center"/>
                    <w:rPr>
                      <w:rFonts w:eastAsiaTheme="minorEastAsia"/>
                      <w:color w:val="auto"/>
                      <w:szCs w:val="21"/>
                    </w:rPr>
                  </w:pPr>
                  <w:r>
                    <w:rPr>
                      <w:rFonts w:eastAsiaTheme="minorEastAsia"/>
                      <w:color w:val="auto"/>
                      <w:szCs w:val="21"/>
                    </w:rPr>
                    <w:t>厂界上风向1个，下风向3个</w:t>
                  </w:r>
                </w:p>
              </w:tc>
              <w:tc>
                <w:tcPr>
                  <w:tcW w:w="1262" w:type="dxa"/>
                  <w:shd w:val="clear" w:color="auto" w:fill="auto"/>
                  <w:vAlign w:val="center"/>
                </w:tcPr>
                <w:p>
                  <w:pPr>
                    <w:jc w:val="center"/>
                    <w:rPr>
                      <w:rFonts w:eastAsiaTheme="minorEastAsia"/>
                      <w:color w:val="auto"/>
                      <w:szCs w:val="21"/>
                    </w:rPr>
                  </w:pPr>
                  <w:r>
                    <w:rPr>
                      <w:color w:val="auto"/>
                      <w:szCs w:val="16"/>
                    </w:rPr>
                    <w:t>非甲烷总烃</w:t>
                  </w:r>
                </w:p>
              </w:tc>
              <w:tc>
                <w:tcPr>
                  <w:tcW w:w="1350" w:type="dxa"/>
                  <w:shd w:val="clear" w:color="auto" w:fill="auto"/>
                  <w:vAlign w:val="center"/>
                </w:tcPr>
                <w:p>
                  <w:pPr>
                    <w:jc w:val="center"/>
                    <w:rPr>
                      <w:rFonts w:eastAsiaTheme="minorEastAsia"/>
                      <w:color w:val="auto"/>
                      <w:szCs w:val="21"/>
                    </w:rPr>
                  </w:pPr>
                  <w:r>
                    <w:rPr>
                      <w:rFonts w:eastAsiaTheme="minorEastAsia"/>
                      <w:color w:val="auto"/>
                      <w:szCs w:val="21"/>
                    </w:rPr>
                    <w:t>每年一次</w:t>
                  </w:r>
                </w:p>
              </w:tc>
              <w:tc>
                <w:tcPr>
                  <w:tcW w:w="3967" w:type="dxa"/>
                  <w:shd w:val="clear" w:color="auto" w:fill="auto"/>
                  <w:vAlign w:val="center"/>
                </w:tcPr>
                <w:p>
                  <w:pPr>
                    <w:jc w:val="center"/>
                    <w:rPr>
                      <w:rFonts w:eastAsiaTheme="minorEastAsia"/>
                      <w:color w:val="auto"/>
                      <w:szCs w:val="21"/>
                    </w:rPr>
                  </w:pPr>
                  <w:r>
                    <w:rPr>
                      <w:color w:val="auto"/>
                      <w:szCs w:val="21"/>
                    </w:rPr>
                    <w:t>《合成树脂工业污染物排放标准》（GB31572-2015）中的表9企业边界大气污染物浓度限值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continue"/>
                  <w:vAlign w:val="center"/>
                </w:tcPr>
                <w:p>
                  <w:pPr>
                    <w:spacing w:line="276" w:lineRule="auto"/>
                    <w:jc w:val="center"/>
                    <w:rPr>
                      <w:rFonts w:eastAsiaTheme="minorEastAsia"/>
                      <w:color w:val="auto"/>
                      <w:szCs w:val="21"/>
                    </w:rPr>
                  </w:pPr>
                </w:p>
              </w:tc>
              <w:tc>
                <w:tcPr>
                  <w:tcW w:w="1652" w:type="dxa"/>
                  <w:shd w:val="clear" w:color="auto" w:fill="auto"/>
                  <w:vAlign w:val="center"/>
                </w:tcPr>
                <w:p>
                  <w:pPr>
                    <w:jc w:val="center"/>
                    <w:rPr>
                      <w:rFonts w:eastAsiaTheme="minorEastAsia"/>
                      <w:color w:val="auto"/>
                      <w:szCs w:val="21"/>
                    </w:rPr>
                  </w:pPr>
                  <w:r>
                    <w:rPr>
                      <w:rFonts w:eastAsiaTheme="minorEastAsia"/>
                      <w:color w:val="auto"/>
                      <w:szCs w:val="21"/>
                    </w:rPr>
                    <w:t>厂界上风向1个，下风向3个</w:t>
                  </w:r>
                </w:p>
              </w:tc>
              <w:tc>
                <w:tcPr>
                  <w:tcW w:w="1262" w:type="dxa"/>
                  <w:shd w:val="clear" w:color="auto" w:fill="auto"/>
                  <w:vAlign w:val="center"/>
                </w:tcPr>
                <w:p>
                  <w:pPr>
                    <w:jc w:val="center"/>
                    <w:rPr>
                      <w:rFonts w:hint="eastAsia" w:eastAsia="宋体"/>
                      <w:color w:val="auto"/>
                      <w:szCs w:val="16"/>
                      <w:lang w:eastAsia="zh-CN"/>
                    </w:rPr>
                  </w:pPr>
                  <w:r>
                    <w:rPr>
                      <w:rFonts w:hint="eastAsia"/>
                      <w:color w:val="auto"/>
                      <w:szCs w:val="16"/>
                    </w:rPr>
                    <w:t>TSP</w:t>
                  </w:r>
                </w:p>
              </w:tc>
              <w:tc>
                <w:tcPr>
                  <w:tcW w:w="1350" w:type="dxa"/>
                  <w:shd w:val="clear" w:color="auto" w:fill="auto"/>
                  <w:vAlign w:val="center"/>
                </w:tcPr>
                <w:p>
                  <w:pPr>
                    <w:jc w:val="center"/>
                    <w:rPr>
                      <w:rFonts w:eastAsiaTheme="minorEastAsia"/>
                      <w:color w:val="auto"/>
                      <w:szCs w:val="21"/>
                    </w:rPr>
                  </w:pPr>
                  <w:r>
                    <w:rPr>
                      <w:rFonts w:eastAsiaTheme="minorEastAsia"/>
                      <w:color w:val="auto"/>
                      <w:szCs w:val="21"/>
                    </w:rPr>
                    <w:t>每年一次</w:t>
                  </w:r>
                </w:p>
              </w:tc>
              <w:tc>
                <w:tcPr>
                  <w:tcW w:w="3967" w:type="dxa"/>
                  <w:shd w:val="clear" w:color="auto" w:fill="auto"/>
                  <w:vAlign w:val="center"/>
                </w:tcPr>
                <w:p>
                  <w:pPr>
                    <w:jc w:val="center"/>
                    <w:rPr>
                      <w:color w:val="auto"/>
                      <w:szCs w:val="21"/>
                    </w:rPr>
                  </w:pPr>
                  <w:r>
                    <w:rPr>
                      <w:color w:val="auto"/>
                      <w:szCs w:val="21"/>
                    </w:rPr>
                    <w:t>广东省地方标准《大气污染物排放限值》（DB44/27－2001）第二时段无组织排放监控浓度限值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867" w:type="dxa"/>
                  <w:vAlign w:val="center"/>
                </w:tcPr>
                <w:p>
                  <w:pPr>
                    <w:jc w:val="center"/>
                    <w:rPr>
                      <w:rFonts w:eastAsiaTheme="minorEastAsia"/>
                      <w:color w:val="auto"/>
                      <w:szCs w:val="21"/>
                    </w:rPr>
                  </w:pPr>
                  <w:r>
                    <w:rPr>
                      <w:rFonts w:eastAsiaTheme="minorEastAsia"/>
                      <w:color w:val="auto"/>
                      <w:szCs w:val="21"/>
                    </w:rPr>
                    <w:t>废水</w:t>
                  </w:r>
                </w:p>
              </w:tc>
              <w:tc>
                <w:tcPr>
                  <w:tcW w:w="1652" w:type="dxa"/>
                  <w:shd w:val="clear" w:color="auto" w:fill="auto"/>
                  <w:vAlign w:val="center"/>
                </w:tcPr>
                <w:p>
                  <w:pPr>
                    <w:jc w:val="center"/>
                    <w:rPr>
                      <w:rFonts w:eastAsiaTheme="minorEastAsia"/>
                      <w:color w:val="auto"/>
                      <w:szCs w:val="21"/>
                    </w:rPr>
                  </w:pPr>
                  <w:r>
                    <w:rPr>
                      <w:rFonts w:hint="eastAsia" w:eastAsiaTheme="minorEastAsia"/>
                      <w:color w:val="auto"/>
                      <w:szCs w:val="21"/>
                      <w:lang w:eastAsia="zh-CN"/>
                    </w:rPr>
                    <w:t>冷却废水与</w:t>
                  </w:r>
                  <w:r>
                    <w:rPr>
                      <w:rFonts w:eastAsiaTheme="minorEastAsia"/>
                      <w:color w:val="auto"/>
                      <w:szCs w:val="21"/>
                    </w:rPr>
                    <w:t>生活污水处理设施出口</w:t>
                  </w:r>
                </w:p>
              </w:tc>
              <w:tc>
                <w:tcPr>
                  <w:tcW w:w="1262" w:type="dxa"/>
                  <w:shd w:val="clear" w:color="auto" w:fill="auto"/>
                  <w:vAlign w:val="center"/>
                </w:tcPr>
                <w:p>
                  <w:pPr>
                    <w:jc w:val="center"/>
                    <w:rPr>
                      <w:rFonts w:eastAsiaTheme="minorEastAsia"/>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、SS、NH</w:t>
                  </w:r>
                  <w:r>
                    <w:rPr>
                      <w:color w:val="auto"/>
                      <w:szCs w:val="21"/>
                      <w:vertAlign w:val="subscript"/>
                    </w:rPr>
                    <w:t>3</w:t>
                  </w:r>
                  <w:r>
                    <w:rPr>
                      <w:color w:val="auto"/>
                      <w:szCs w:val="21"/>
                    </w:rPr>
                    <w:t>-N</w:t>
                  </w:r>
                </w:p>
              </w:tc>
              <w:tc>
                <w:tcPr>
                  <w:tcW w:w="1350" w:type="dxa"/>
                  <w:shd w:val="clear" w:color="auto" w:fill="auto"/>
                  <w:vAlign w:val="center"/>
                </w:tcPr>
                <w:p>
                  <w:pPr>
                    <w:jc w:val="center"/>
                    <w:rPr>
                      <w:rFonts w:eastAsiaTheme="minorEastAsia"/>
                      <w:color w:val="auto"/>
                      <w:szCs w:val="21"/>
                    </w:rPr>
                  </w:pPr>
                  <w:r>
                    <w:rPr>
                      <w:rFonts w:eastAsiaTheme="minorEastAsia"/>
                      <w:color w:val="auto"/>
                      <w:szCs w:val="21"/>
                    </w:rPr>
                    <w:t>每年一次</w:t>
                  </w:r>
                </w:p>
              </w:tc>
              <w:tc>
                <w:tcPr>
                  <w:tcW w:w="3967" w:type="dxa"/>
                  <w:shd w:val="clear" w:color="auto" w:fill="auto"/>
                  <w:vAlign w:val="center"/>
                </w:tcPr>
                <w:p>
                  <w:pPr>
                    <w:jc w:val="center"/>
                    <w:rPr>
                      <w:rFonts w:eastAsiaTheme="minorEastAsia"/>
                      <w:color w:val="auto"/>
                      <w:szCs w:val="21"/>
                    </w:rPr>
                  </w:pPr>
                  <w:r>
                    <w:rPr>
                      <w:rFonts w:eastAsiaTheme="minorEastAsia"/>
                      <w:color w:val="auto"/>
                      <w:szCs w:val="21"/>
                    </w:rPr>
                    <w:t>广东省地方标准《水污染物排放限值》（DB44/26-2001）第二时段三级标准和《污水排入城镇下水道水质标准》（CJ343-2010）较严者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Align w:val="center"/>
                </w:tcPr>
                <w:p>
                  <w:pPr>
                    <w:spacing w:line="276" w:lineRule="auto"/>
                    <w:jc w:val="center"/>
                    <w:rPr>
                      <w:rFonts w:eastAsiaTheme="minorEastAsia"/>
                      <w:color w:val="auto"/>
                      <w:szCs w:val="21"/>
                    </w:rPr>
                  </w:pPr>
                  <w:r>
                    <w:rPr>
                      <w:rFonts w:eastAsiaTheme="minorEastAsia"/>
                      <w:color w:val="auto"/>
                      <w:szCs w:val="21"/>
                    </w:rPr>
                    <w:t>噪声</w:t>
                  </w:r>
                </w:p>
              </w:tc>
              <w:tc>
                <w:tcPr>
                  <w:tcW w:w="1652"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厂界四周</w:t>
                  </w:r>
                </w:p>
              </w:tc>
              <w:tc>
                <w:tcPr>
                  <w:tcW w:w="1262"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等效连续A声级</w:t>
                  </w:r>
                </w:p>
              </w:tc>
              <w:tc>
                <w:tcPr>
                  <w:tcW w:w="1350"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每年一次</w:t>
                  </w:r>
                </w:p>
              </w:tc>
              <w:tc>
                <w:tcPr>
                  <w:tcW w:w="3967" w:type="dxa"/>
                  <w:shd w:val="clear" w:color="auto" w:fill="auto"/>
                  <w:vAlign w:val="center"/>
                </w:tcPr>
                <w:p>
                  <w:pPr>
                    <w:spacing w:line="276" w:lineRule="auto"/>
                    <w:jc w:val="center"/>
                    <w:rPr>
                      <w:rFonts w:eastAsiaTheme="minorEastAsia"/>
                      <w:color w:val="auto"/>
                      <w:szCs w:val="21"/>
                    </w:rPr>
                  </w:pPr>
                  <w:r>
                    <w:rPr>
                      <w:rFonts w:eastAsiaTheme="minorEastAsia"/>
                      <w:color w:val="auto"/>
                      <w:szCs w:val="21"/>
                    </w:rPr>
                    <w:t>《工业企业厂界环境噪声排放标准》(GB12348—2008)2类</w:t>
                  </w:r>
                  <w:r>
                    <w:rPr>
                      <w:color w:val="auto"/>
                      <w:sz w:val="21"/>
                      <w:szCs w:val="21"/>
                      <w:highlight w:val="none"/>
                    </w:rPr>
                    <w:t>和4类</w:t>
                  </w:r>
                  <w:r>
                    <w:rPr>
                      <w:rFonts w:eastAsiaTheme="minorEastAsia"/>
                      <w:color w:val="auto"/>
                      <w:szCs w:val="21"/>
                    </w:rPr>
                    <w:t>标准</w:t>
                  </w:r>
                </w:p>
              </w:tc>
            </w:tr>
          </w:tbl>
          <w:p>
            <w:pPr>
              <w:pStyle w:val="34"/>
              <w:spacing w:line="360" w:lineRule="auto"/>
              <w:ind w:firstLine="501" w:firstLineChars="208"/>
              <w:rPr>
                <w:b/>
                <w:color w:val="auto"/>
                <w:kern w:val="2"/>
                <w:szCs w:val="24"/>
              </w:rPr>
            </w:pPr>
            <w:r>
              <w:rPr>
                <w:rFonts w:hint="eastAsia"/>
                <w:b/>
                <w:color w:val="auto"/>
                <w:szCs w:val="24"/>
              </w:rPr>
              <w:t>八</w:t>
            </w:r>
            <w:r>
              <w:rPr>
                <w:rFonts w:hint="eastAsia"/>
                <w:b/>
                <w:color w:val="auto"/>
                <w:kern w:val="2"/>
                <w:szCs w:val="24"/>
              </w:rPr>
              <w:t>、环保投资</w:t>
            </w:r>
          </w:p>
          <w:p>
            <w:pPr>
              <w:spacing w:line="360" w:lineRule="auto"/>
              <w:ind w:firstLine="480" w:firstLineChars="200"/>
              <w:rPr>
                <w:color w:val="auto"/>
                <w:sz w:val="24"/>
              </w:rPr>
            </w:pPr>
            <w:r>
              <w:rPr>
                <w:rFonts w:hint="eastAsia"/>
                <w:color w:val="auto"/>
                <w:sz w:val="24"/>
              </w:rPr>
              <w:t>根据项目投资及行业特性，本项目拟环保投资总额为11万元，具体项目见下表。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本项目环保投资一览表</w:t>
            </w:r>
          </w:p>
          <w:tbl>
            <w:tblPr>
              <w:tblStyle w:val="44"/>
              <w:tblW w:w="92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1257"/>
              <w:gridCol w:w="1546"/>
              <w:gridCol w:w="4765"/>
              <w:gridCol w:w="1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jc w:val="center"/>
                    <w:rPr>
                      <w:b/>
                      <w:color w:val="auto"/>
                      <w:kern w:val="0"/>
                      <w:szCs w:val="21"/>
                    </w:rPr>
                  </w:pPr>
                  <w:r>
                    <w:rPr>
                      <w:rFonts w:hint="eastAsia" w:hAnsi="宋体"/>
                      <w:b/>
                      <w:color w:val="auto"/>
                      <w:kern w:val="0"/>
                      <w:szCs w:val="21"/>
                    </w:rPr>
                    <w:t>序号</w:t>
                  </w:r>
                </w:p>
              </w:tc>
              <w:tc>
                <w:tcPr>
                  <w:tcW w:w="2803" w:type="dxa"/>
                  <w:gridSpan w:val="2"/>
                  <w:tcBorders>
                    <w:top w:val="single" w:color="auto" w:sz="4" w:space="0"/>
                    <w:left w:val="single" w:color="auto" w:sz="4" w:space="0"/>
                    <w:bottom w:val="single" w:color="auto" w:sz="4" w:space="0"/>
                    <w:right w:val="single" w:color="auto" w:sz="4" w:space="0"/>
                  </w:tcBorders>
                  <w:vAlign w:val="center"/>
                </w:tcPr>
                <w:p>
                  <w:pPr>
                    <w:jc w:val="center"/>
                    <w:rPr>
                      <w:b/>
                      <w:color w:val="auto"/>
                      <w:kern w:val="0"/>
                      <w:szCs w:val="21"/>
                    </w:rPr>
                  </w:pPr>
                  <w:r>
                    <w:rPr>
                      <w:rFonts w:hint="eastAsia"/>
                      <w:b/>
                      <w:color w:val="auto"/>
                      <w:kern w:val="0"/>
                      <w:szCs w:val="21"/>
                    </w:rPr>
                    <w:t>污染源</w:t>
                  </w:r>
                </w:p>
              </w:tc>
              <w:tc>
                <w:tcPr>
                  <w:tcW w:w="4765"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rFonts w:hint="eastAsia" w:hAnsi="宋体"/>
                      <w:b/>
                      <w:color w:val="auto"/>
                      <w:kern w:val="0"/>
                      <w:szCs w:val="21"/>
                    </w:rPr>
                    <w:t>主要环保措施</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rFonts w:hint="eastAsia" w:hAnsi="宋体"/>
                      <w:b/>
                      <w:color w:val="auto"/>
                      <w:kern w:val="0"/>
                      <w:szCs w:val="21"/>
                    </w:rPr>
                    <w:t>投资金额（万元）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457" w:type="dxa"/>
                  <w:vMerge w:val="restart"/>
                  <w:tcBorders>
                    <w:top w:val="single" w:color="auto" w:sz="4" w:space="0"/>
                    <w:left w:val="single" w:color="auto" w:sz="4" w:space="0"/>
                    <w:right w:val="single" w:color="auto" w:sz="4" w:space="0"/>
                  </w:tcBorders>
                  <w:vAlign w:val="center"/>
                </w:tcPr>
                <w:p>
                  <w:pPr>
                    <w:jc w:val="center"/>
                    <w:rPr>
                      <w:color w:val="auto"/>
                      <w:kern w:val="0"/>
                      <w:szCs w:val="21"/>
                    </w:rPr>
                  </w:pPr>
                  <w:r>
                    <w:rPr>
                      <w:color w:val="auto"/>
                      <w:kern w:val="0"/>
                      <w:szCs w:val="21"/>
                    </w:rPr>
                    <w:t>1</w:t>
                  </w:r>
                </w:p>
              </w:tc>
              <w:tc>
                <w:tcPr>
                  <w:tcW w:w="1257" w:type="dxa"/>
                  <w:vMerge w:val="restart"/>
                  <w:tcBorders>
                    <w:top w:val="single" w:color="auto" w:sz="4" w:space="0"/>
                    <w:left w:val="single" w:color="auto" w:sz="4" w:space="0"/>
                    <w:right w:val="single" w:color="auto" w:sz="4" w:space="0"/>
                  </w:tcBorders>
                  <w:vAlign w:val="center"/>
                </w:tcPr>
                <w:p>
                  <w:pPr>
                    <w:jc w:val="center"/>
                    <w:rPr>
                      <w:color w:val="auto"/>
                      <w:szCs w:val="21"/>
                    </w:rPr>
                  </w:pPr>
                  <w:r>
                    <w:rPr>
                      <w:rFonts w:hint="eastAsia"/>
                      <w:color w:val="auto"/>
                      <w:szCs w:val="21"/>
                    </w:rPr>
                    <w:t>大气污染物</w:t>
                  </w:r>
                </w:p>
              </w:tc>
              <w:tc>
                <w:tcPr>
                  <w:tcW w:w="1546" w:type="dxa"/>
                  <w:tcBorders>
                    <w:top w:val="single" w:color="auto" w:sz="4" w:space="0"/>
                    <w:left w:val="single" w:color="auto" w:sz="4" w:space="0"/>
                    <w:bottom w:val="single" w:color="auto" w:sz="4" w:space="0"/>
                    <w:right w:val="single" w:color="auto" w:sz="4" w:space="0"/>
                  </w:tcBorders>
                  <w:vAlign w:val="center"/>
                </w:tcPr>
                <w:p>
                  <w:pPr>
                    <w:pStyle w:val="56"/>
                    <w:rPr>
                      <w:rFonts w:ascii="Times New Roman" w:hAnsi="Times New Roman"/>
                      <w:color w:val="auto"/>
                      <w:kern w:val="2"/>
                      <w:sz w:val="21"/>
                      <w:szCs w:val="21"/>
                    </w:rPr>
                  </w:pPr>
                  <w:r>
                    <w:rPr>
                      <w:rFonts w:hint="eastAsia" w:ascii="Times New Roman" w:hAnsi="Times New Roman"/>
                      <w:color w:val="auto"/>
                      <w:kern w:val="2"/>
                      <w:sz w:val="21"/>
                      <w:szCs w:val="21"/>
                    </w:rPr>
                    <w:t>混料工序</w:t>
                  </w:r>
                </w:p>
              </w:tc>
              <w:tc>
                <w:tcPr>
                  <w:tcW w:w="4765"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加强车间机械通风措施</w:t>
                  </w:r>
                </w:p>
              </w:tc>
              <w:tc>
                <w:tcPr>
                  <w:tcW w:w="1243" w:type="dxa"/>
                  <w:tcBorders>
                    <w:top w:val="single" w:color="auto" w:sz="4" w:space="0"/>
                    <w:left w:val="single" w:color="auto" w:sz="4" w:space="0"/>
                    <w:right w:val="single" w:color="auto" w:sz="4" w:space="0"/>
                  </w:tcBorders>
                  <w:vAlign w:val="center"/>
                </w:tcPr>
                <w:p>
                  <w:pPr>
                    <w:spacing w:line="360" w:lineRule="auto"/>
                    <w:jc w:val="center"/>
                    <w:rPr>
                      <w:color w:val="auto"/>
                      <w:kern w:val="0"/>
                      <w:szCs w:val="21"/>
                    </w:rPr>
                  </w:pPr>
                  <w:r>
                    <w:rPr>
                      <w:rFonts w:hint="eastAsia"/>
                      <w:color w:val="auto"/>
                      <w:kern w:val="0"/>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457" w:type="dxa"/>
                  <w:vMerge w:val="continue"/>
                  <w:tcBorders>
                    <w:left w:val="single" w:color="auto" w:sz="4" w:space="0"/>
                    <w:right w:val="single" w:color="auto" w:sz="4" w:space="0"/>
                  </w:tcBorders>
                  <w:vAlign w:val="center"/>
                </w:tcPr>
                <w:p>
                  <w:pPr>
                    <w:jc w:val="center"/>
                    <w:rPr>
                      <w:color w:val="auto"/>
                      <w:kern w:val="0"/>
                      <w:szCs w:val="21"/>
                    </w:rPr>
                  </w:pPr>
                </w:p>
              </w:tc>
              <w:tc>
                <w:tcPr>
                  <w:tcW w:w="1257" w:type="dxa"/>
                  <w:vMerge w:val="continue"/>
                  <w:tcBorders>
                    <w:left w:val="single" w:color="auto" w:sz="4" w:space="0"/>
                    <w:right w:val="single" w:color="auto" w:sz="4" w:space="0"/>
                  </w:tcBorders>
                  <w:vAlign w:val="center"/>
                </w:tcPr>
                <w:p>
                  <w:pPr>
                    <w:jc w:val="center"/>
                    <w:rPr>
                      <w:color w:val="auto"/>
                      <w:szCs w:val="21"/>
                    </w:rPr>
                  </w:pPr>
                </w:p>
              </w:tc>
              <w:tc>
                <w:tcPr>
                  <w:tcW w:w="1546" w:type="dxa"/>
                  <w:tcBorders>
                    <w:top w:val="single" w:color="auto" w:sz="4" w:space="0"/>
                    <w:left w:val="single" w:color="auto" w:sz="4" w:space="0"/>
                    <w:bottom w:val="single" w:color="auto" w:sz="4" w:space="0"/>
                    <w:right w:val="single" w:color="auto" w:sz="4" w:space="0"/>
                  </w:tcBorders>
                  <w:vAlign w:val="center"/>
                </w:tcPr>
                <w:p>
                  <w:pPr>
                    <w:pStyle w:val="56"/>
                    <w:rPr>
                      <w:color w:val="auto"/>
                      <w:sz w:val="21"/>
                      <w:szCs w:val="21"/>
                    </w:rPr>
                  </w:pPr>
                  <w:r>
                    <w:rPr>
                      <w:rFonts w:hint="eastAsia" w:ascii="Times New Roman" w:hAnsi="Times New Roman"/>
                      <w:color w:val="auto"/>
                      <w:kern w:val="2"/>
                      <w:sz w:val="21"/>
                      <w:szCs w:val="21"/>
                    </w:rPr>
                    <w:t>造粒、挤出成型</w:t>
                  </w:r>
                  <w:r>
                    <w:rPr>
                      <w:rFonts w:ascii="Times New Roman" w:hAnsi="Times New Roman"/>
                      <w:color w:val="auto"/>
                      <w:kern w:val="2"/>
                      <w:sz w:val="21"/>
                      <w:szCs w:val="21"/>
                    </w:rPr>
                    <w:t>工序</w:t>
                  </w:r>
                </w:p>
              </w:tc>
              <w:tc>
                <w:tcPr>
                  <w:tcW w:w="4765" w:type="dxa"/>
                  <w:tcBorders>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设置集气装置将废气进行收集后引至UV光解+活性炭吸附装置进行处理后</w:t>
                  </w:r>
                  <w:r>
                    <w:rPr>
                      <w:rFonts w:hint="eastAsia"/>
                      <w:color w:val="auto"/>
                      <w:szCs w:val="21"/>
                      <w:lang w:eastAsia="zh-CN"/>
                    </w:rPr>
                    <w:t>经</w:t>
                  </w:r>
                  <w:r>
                    <w:rPr>
                      <w:rFonts w:hint="eastAsia"/>
                      <w:color w:val="auto"/>
                      <w:szCs w:val="21"/>
                    </w:rPr>
                    <w:t>15m排气筒高空排放</w:t>
                  </w:r>
                </w:p>
              </w:tc>
              <w:tc>
                <w:tcPr>
                  <w:tcW w:w="1243" w:type="dxa"/>
                  <w:tcBorders>
                    <w:left w:val="single" w:color="auto" w:sz="4" w:space="0"/>
                    <w:right w:val="single" w:color="auto" w:sz="4" w:space="0"/>
                  </w:tcBorders>
                  <w:vAlign w:val="center"/>
                </w:tcPr>
                <w:p>
                  <w:pPr>
                    <w:spacing w:line="360" w:lineRule="auto"/>
                    <w:jc w:val="center"/>
                    <w:rPr>
                      <w:color w:val="auto"/>
                      <w:kern w:val="0"/>
                      <w:szCs w:val="21"/>
                    </w:rPr>
                  </w:pPr>
                  <w:r>
                    <w:rPr>
                      <w:rFonts w:hint="eastAsia"/>
                      <w:color w:val="auto"/>
                      <w:kern w:val="0"/>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57" w:type="dxa"/>
                  <w:tcBorders>
                    <w:left w:val="single" w:color="auto" w:sz="4" w:space="0"/>
                    <w:right w:val="single" w:color="auto" w:sz="4" w:space="0"/>
                  </w:tcBorders>
                  <w:vAlign w:val="center"/>
                </w:tcPr>
                <w:p>
                  <w:pPr>
                    <w:jc w:val="center"/>
                    <w:rPr>
                      <w:color w:val="auto"/>
                      <w:kern w:val="0"/>
                      <w:szCs w:val="21"/>
                    </w:rPr>
                  </w:pPr>
                  <w:r>
                    <w:rPr>
                      <w:color w:val="auto"/>
                      <w:kern w:val="0"/>
                      <w:szCs w:val="21"/>
                    </w:rPr>
                    <w:t>2</w:t>
                  </w:r>
                </w:p>
              </w:tc>
              <w:tc>
                <w:tcPr>
                  <w:tcW w:w="1257" w:type="dxa"/>
                  <w:tcBorders>
                    <w:left w:val="single" w:color="auto" w:sz="4" w:space="0"/>
                    <w:right w:val="single" w:color="auto" w:sz="4" w:space="0"/>
                  </w:tcBorders>
                  <w:vAlign w:val="center"/>
                </w:tcPr>
                <w:p>
                  <w:pPr>
                    <w:jc w:val="center"/>
                    <w:rPr>
                      <w:color w:val="auto"/>
                      <w:szCs w:val="21"/>
                    </w:rPr>
                  </w:pPr>
                  <w:r>
                    <w:rPr>
                      <w:rFonts w:hint="eastAsia" w:hAnsi="宋体"/>
                      <w:color w:val="auto"/>
                      <w:kern w:val="0"/>
                      <w:szCs w:val="21"/>
                    </w:rPr>
                    <w:t>水污染物</w:t>
                  </w:r>
                </w:p>
              </w:tc>
              <w:tc>
                <w:tcPr>
                  <w:tcW w:w="1546"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Times New Roman" w:eastAsia="宋体" w:cs="Times New Roman"/>
                      <w:color w:val="auto"/>
                      <w:kern w:val="2"/>
                      <w:sz w:val="21"/>
                      <w:szCs w:val="21"/>
                      <w:lang w:val="en-US" w:eastAsia="zh-CN" w:bidi="ar-SA"/>
                    </w:rPr>
                  </w:pPr>
                  <w:r>
                    <w:rPr>
                      <w:rFonts w:hint="eastAsia" w:ascii="宋体" w:hAnsi="宋体"/>
                      <w:color w:val="auto"/>
                      <w:szCs w:val="21"/>
                      <w:lang w:eastAsia="zh-CN"/>
                    </w:rPr>
                    <w:t>冷却废水和</w:t>
                  </w:r>
                  <w:r>
                    <w:rPr>
                      <w:rFonts w:hint="eastAsia" w:ascii="宋体" w:hAnsi="宋体"/>
                      <w:color w:val="auto"/>
                      <w:szCs w:val="21"/>
                    </w:rPr>
                    <w:t>生活污水</w:t>
                  </w:r>
                </w:p>
              </w:tc>
              <w:tc>
                <w:tcPr>
                  <w:tcW w:w="476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hAnsi="宋体"/>
                      <w:color w:val="auto"/>
                      <w:szCs w:val="21"/>
                    </w:rPr>
                    <w:t>生活污水经</w:t>
                  </w:r>
                  <w:r>
                    <w:rPr>
                      <w:rFonts w:hAnsi="宋体"/>
                      <w:color w:val="auto"/>
                      <w:szCs w:val="21"/>
                    </w:rPr>
                    <w:t>三级化粪池</w:t>
                  </w:r>
                  <w:r>
                    <w:rPr>
                      <w:rFonts w:hint="eastAsia" w:hAnsi="宋体"/>
                      <w:color w:val="auto"/>
                      <w:szCs w:val="21"/>
                    </w:rPr>
                    <w:t>预</w:t>
                  </w:r>
                  <w:r>
                    <w:rPr>
                      <w:rFonts w:hAnsi="宋体"/>
                      <w:color w:val="auto"/>
                      <w:szCs w:val="21"/>
                    </w:rPr>
                    <w:t>处理</w:t>
                  </w:r>
                  <w:r>
                    <w:rPr>
                      <w:rFonts w:hint="eastAsia" w:hAnsi="宋体"/>
                      <w:color w:val="auto"/>
                      <w:szCs w:val="21"/>
                    </w:rPr>
                    <w:t>后排入市政污水管网</w:t>
                  </w:r>
                </w:p>
              </w:tc>
              <w:tc>
                <w:tcPr>
                  <w:tcW w:w="124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eastAsia="宋体" w:cs="Times New Roman"/>
                      <w:color w:val="auto"/>
                      <w:kern w:val="0"/>
                      <w:sz w:val="21"/>
                      <w:szCs w:val="21"/>
                      <w:lang w:val="en-US" w:eastAsia="zh-CN" w:bidi="ar-SA"/>
                    </w:rPr>
                  </w:pPr>
                  <w:r>
                    <w:rPr>
                      <w:rFonts w:hint="eastAsia"/>
                      <w:color w:val="auto"/>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457" w:type="dxa"/>
                  <w:vMerge w:val="restart"/>
                  <w:tcBorders>
                    <w:top w:val="single" w:color="auto" w:sz="4" w:space="0"/>
                    <w:left w:val="single" w:color="auto" w:sz="4" w:space="0"/>
                    <w:right w:val="single" w:color="auto" w:sz="4" w:space="0"/>
                  </w:tcBorders>
                  <w:vAlign w:val="center"/>
                </w:tcPr>
                <w:p>
                  <w:pPr>
                    <w:jc w:val="center"/>
                    <w:rPr>
                      <w:color w:val="auto"/>
                      <w:kern w:val="0"/>
                      <w:szCs w:val="21"/>
                    </w:rPr>
                  </w:pPr>
                  <w:r>
                    <w:rPr>
                      <w:color w:val="auto"/>
                      <w:kern w:val="0"/>
                      <w:szCs w:val="21"/>
                    </w:rPr>
                    <w:t>3</w:t>
                  </w:r>
                </w:p>
              </w:tc>
              <w:tc>
                <w:tcPr>
                  <w:tcW w:w="1257" w:type="dxa"/>
                  <w:vMerge w:val="restart"/>
                  <w:tcBorders>
                    <w:top w:val="single" w:color="auto" w:sz="4" w:space="0"/>
                    <w:left w:val="single" w:color="auto" w:sz="4" w:space="0"/>
                    <w:right w:val="single" w:color="auto" w:sz="4" w:space="0"/>
                  </w:tcBorders>
                  <w:vAlign w:val="center"/>
                </w:tcPr>
                <w:p>
                  <w:pPr>
                    <w:jc w:val="center"/>
                    <w:rPr>
                      <w:rFonts w:hAnsi="宋体"/>
                      <w:color w:val="auto"/>
                      <w:kern w:val="0"/>
                      <w:szCs w:val="21"/>
                    </w:rPr>
                  </w:pPr>
                  <w:r>
                    <w:rPr>
                      <w:rFonts w:hint="eastAsia" w:hAnsi="宋体"/>
                      <w:color w:val="auto"/>
                      <w:kern w:val="0"/>
                      <w:szCs w:val="21"/>
                    </w:rPr>
                    <w:t>固体废物</w:t>
                  </w:r>
                </w:p>
              </w:tc>
              <w:tc>
                <w:tcPr>
                  <w:tcW w:w="1546"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生活垃圾</w:t>
                  </w:r>
                </w:p>
              </w:tc>
              <w:tc>
                <w:tcPr>
                  <w:tcW w:w="4765"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环卫部门处理</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rFonts w:hint="eastAsia"/>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57" w:type="dxa"/>
                  <w:vMerge w:val="continue"/>
                  <w:tcBorders>
                    <w:left w:val="single" w:color="auto" w:sz="4" w:space="0"/>
                    <w:right w:val="single" w:color="auto" w:sz="4" w:space="0"/>
                  </w:tcBorders>
                  <w:vAlign w:val="center"/>
                </w:tcPr>
                <w:p>
                  <w:pPr>
                    <w:rPr>
                      <w:color w:val="auto"/>
                      <w:kern w:val="0"/>
                      <w:szCs w:val="21"/>
                    </w:rPr>
                  </w:pPr>
                </w:p>
              </w:tc>
              <w:tc>
                <w:tcPr>
                  <w:tcW w:w="1257" w:type="dxa"/>
                  <w:vMerge w:val="continue"/>
                  <w:tcBorders>
                    <w:left w:val="single" w:color="auto" w:sz="4" w:space="0"/>
                    <w:right w:val="single" w:color="auto" w:sz="4" w:space="0"/>
                  </w:tcBorders>
                  <w:vAlign w:val="center"/>
                </w:tcPr>
                <w:p>
                  <w:pPr>
                    <w:rPr>
                      <w:rFonts w:hAnsi="宋体"/>
                      <w:color w:val="auto"/>
                      <w:kern w:val="0"/>
                      <w:szCs w:val="21"/>
                    </w:rPr>
                  </w:pPr>
                </w:p>
              </w:tc>
              <w:tc>
                <w:tcPr>
                  <w:tcW w:w="1546" w:type="dxa"/>
                  <w:tcBorders>
                    <w:top w:val="single" w:color="auto" w:sz="4" w:space="0"/>
                    <w:left w:val="single" w:color="auto" w:sz="4" w:space="0"/>
                    <w:right w:val="single" w:color="auto" w:sz="4" w:space="0"/>
                  </w:tcBorders>
                  <w:vAlign w:val="center"/>
                </w:tcPr>
                <w:p>
                  <w:pPr>
                    <w:jc w:val="center"/>
                    <w:rPr>
                      <w:color w:val="auto"/>
                      <w:szCs w:val="21"/>
                    </w:rPr>
                  </w:pPr>
                  <w:r>
                    <w:rPr>
                      <w:rFonts w:hint="eastAsia"/>
                      <w:color w:val="auto"/>
                      <w:szCs w:val="21"/>
                    </w:rPr>
                    <w:t>一般工业固废</w:t>
                  </w:r>
                </w:p>
              </w:tc>
              <w:tc>
                <w:tcPr>
                  <w:tcW w:w="4765"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交专业公司回收处理</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rFonts w:hint="eastAsia"/>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57" w:type="dxa"/>
                  <w:vMerge w:val="continue"/>
                  <w:tcBorders>
                    <w:left w:val="single" w:color="auto" w:sz="4" w:space="0"/>
                    <w:right w:val="single" w:color="auto" w:sz="4" w:space="0"/>
                  </w:tcBorders>
                  <w:vAlign w:val="center"/>
                </w:tcPr>
                <w:p>
                  <w:pPr>
                    <w:rPr>
                      <w:color w:val="auto"/>
                      <w:kern w:val="0"/>
                      <w:szCs w:val="21"/>
                    </w:rPr>
                  </w:pPr>
                </w:p>
              </w:tc>
              <w:tc>
                <w:tcPr>
                  <w:tcW w:w="1257" w:type="dxa"/>
                  <w:vMerge w:val="continue"/>
                  <w:tcBorders>
                    <w:left w:val="single" w:color="auto" w:sz="4" w:space="0"/>
                    <w:right w:val="single" w:color="auto" w:sz="4" w:space="0"/>
                  </w:tcBorders>
                  <w:vAlign w:val="center"/>
                </w:tcPr>
                <w:p>
                  <w:pPr>
                    <w:rPr>
                      <w:rFonts w:hAnsi="宋体"/>
                      <w:color w:val="auto"/>
                      <w:kern w:val="0"/>
                      <w:szCs w:val="21"/>
                    </w:rPr>
                  </w:pPr>
                </w:p>
              </w:tc>
              <w:tc>
                <w:tcPr>
                  <w:tcW w:w="1546" w:type="dxa"/>
                  <w:tcBorders>
                    <w:top w:val="single" w:color="auto" w:sz="4" w:space="0"/>
                    <w:left w:val="single" w:color="auto" w:sz="4" w:space="0"/>
                    <w:right w:val="single" w:color="auto" w:sz="4" w:space="0"/>
                  </w:tcBorders>
                  <w:vAlign w:val="center"/>
                </w:tcPr>
                <w:p>
                  <w:pPr>
                    <w:jc w:val="center"/>
                    <w:rPr>
                      <w:color w:val="auto"/>
                      <w:szCs w:val="21"/>
                    </w:rPr>
                  </w:pPr>
                  <w:r>
                    <w:rPr>
                      <w:rFonts w:hint="eastAsia"/>
                      <w:color w:val="auto"/>
                      <w:szCs w:val="21"/>
                    </w:rPr>
                    <w:t>中转物</w:t>
                  </w:r>
                </w:p>
              </w:tc>
              <w:tc>
                <w:tcPr>
                  <w:tcW w:w="4765" w:type="dxa"/>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color w:val="auto"/>
                      <w:szCs w:val="21"/>
                      <w:lang w:eastAsia="zh-CN"/>
                    </w:rPr>
                  </w:pPr>
                  <w:r>
                    <w:rPr>
                      <w:rFonts w:hint="eastAsia"/>
                      <w:color w:val="auto"/>
                      <w:szCs w:val="21"/>
                    </w:rPr>
                    <w:t>交给供应商回用</w:t>
                  </w:r>
                  <w:r>
                    <w:rPr>
                      <w:rFonts w:hint="eastAsia"/>
                      <w:color w:val="auto"/>
                      <w:szCs w:val="21"/>
                      <w:lang w:eastAsia="zh-CN"/>
                    </w:rPr>
                    <w:t>，</w:t>
                  </w:r>
                  <w:r>
                    <w:rPr>
                      <w:rFonts w:hint="eastAsia"/>
                      <w:color w:val="auto"/>
                      <w:szCs w:val="21"/>
                    </w:rPr>
                    <w:t>若供应商不愿回收，则作为危险废物</w:t>
                  </w:r>
                  <w:r>
                    <w:rPr>
                      <w:rFonts w:hint="eastAsia"/>
                      <w:color w:val="auto"/>
                      <w:szCs w:val="21"/>
                      <w:lang w:eastAsia="zh-CN"/>
                    </w:rPr>
                    <w:t>交给有危险废物处置资质单位处置</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rFonts w:hint="eastAsia"/>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457" w:type="dxa"/>
                  <w:vMerge w:val="continue"/>
                  <w:tcBorders>
                    <w:left w:val="single" w:color="auto" w:sz="4" w:space="0"/>
                    <w:right w:val="single" w:color="auto" w:sz="4" w:space="0"/>
                  </w:tcBorders>
                  <w:vAlign w:val="center"/>
                </w:tcPr>
                <w:p>
                  <w:pPr>
                    <w:rPr>
                      <w:color w:val="auto"/>
                      <w:kern w:val="0"/>
                      <w:szCs w:val="21"/>
                    </w:rPr>
                  </w:pPr>
                </w:p>
              </w:tc>
              <w:tc>
                <w:tcPr>
                  <w:tcW w:w="1257" w:type="dxa"/>
                  <w:vMerge w:val="continue"/>
                  <w:tcBorders>
                    <w:left w:val="single" w:color="auto" w:sz="4" w:space="0"/>
                    <w:right w:val="single" w:color="auto" w:sz="4" w:space="0"/>
                  </w:tcBorders>
                  <w:vAlign w:val="center"/>
                </w:tcPr>
                <w:p>
                  <w:pPr>
                    <w:rPr>
                      <w:rFonts w:hAnsi="宋体"/>
                      <w:color w:val="auto"/>
                      <w:kern w:val="0"/>
                      <w:szCs w:val="21"/>
                    </w:rPr>
                  </w:pPr>
                </w:p>
              </w:tc>
              <w:tc>
                <w:tcPr>
                  <w:tcW w:w="1546" w:type="dxa"/>
                  <w:tcBorders>
                    <w:top w:val="single" w:color="auto" w:sz="4" w:space="0"/>
                    <w:left w:val="single" w:color="auto" w:sz="4" w:space="0"/>
                    <w:right w:val="single" w:color="auto" w:sz="4" w:space="0"/>
                  </w:tcBorders>
                  <w:vAlign w:val="center"/>
                </w:tcPr>
                <w:p>
                  <w:pPr>
                    <w:spacing w:line="336" w:lineRule="auto"/>
                    <w:jc w:val="center"/>
                    <w:rPr>
                      <w:color w:val="auto"/>
                      <w:szCs w:val="21"/>
                    </w:rPr>
                  </w:pPr>
                  <w:r>
                    <w:rPr>
                      <w:color w:val="auto"/>
                      <w:szCs w:val="21"/>
                    </w:rPr>
                    <w:t>危险废物</w:t>
                  </w:r>
                </w:p>
              </w:tc>
              <w:tc>
                <w:tcPr>
                  <w:tcW w:w="4765"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szCs w:val="21"/>
                    </w:rPr>
                  </w:pPr>
                  <w:r>
                    <w:rPr>
                      <w:color w:val="auto"/>
                      <w:szCs w:val="21"/>
                    </w:rPr>
                    <w:t>交给有危险废物处置资质单位处置</w:t>
                  </w:r>
                </w:p>
              </w:tc>
              <w:tc>
                <w:tcPr>
                  <w:tcW w:w="1243" w:type="dxa"/>
                  <w:tcBorders>
                    <w:top w:val="single" w:color="auto" w:sz="4" w:space="0"/>
                    <w:left w:val="single" w:color="auto" w:sz="4" w:space="0"/>
                    <w:bottom w:val="single" w:color="auto" w:sz="4" w:space="0"/>
                    <w:right w:val="single" w:color="auto" w:sz="4" w:space="0"/>
                  </w:tcBorders>
                  <w:vAlign w:val="center"/>
                </w:tcPr>
                <w:p>
                  <w:pPr>
                    <w:spacing w:line="336" w:lineRule="auto"/>
                    <w:jc w:val="center"/>
                    <w:rPr>
                      <w:color w:val="auto"/>
                      <w:kern w:val="0"/>
                      <w:szCs w:val="21"/>
                    </w:rPr>
                  </w:pPr>
                  <w:r>
                    <w:rPr>
                      <w:rFonts w:hint="eastAsia"/>
                      <w:color w:val="auto"/>
                      <w:kern w:val="0"/>
                      <w:szCs w:val="21"/>
                    </w:rPr>
                    <w:t>1</w:t>
                  </w:r>
                  <w:r>
                    <w:rPr>
                      <w:color w:val="auto"/>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color w:val="auto"/>
                      <w:kern w:val="0"/>
                      <w:szCs w:val="21"/>
                    </w:rPr>
                    <w:t>4</w:t>
                  </w:r>
                </w:p>
              </w:tc>
              <w:tc>
                <w:tcPr>
                  <w:tcW w:w="2803"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hAnsi="宋体"/>
                      <w:color w:val="auto"/>
                      <w:kern w:val="0"/>
                      <w:szCs w:val="21"/>
                    </w:rPr>
                    <w:t>噪声</w:t>
                  </w:r>
                </w:p>
              </w:tc>
              <w:tc>
                <w:tcPr>
                  <w:tcW w:w="4765" w:type="dxa"/>
                  <w:tcBorders>
                    <w:top w:val="single" w:color="auto" w:sz="4" w:space="0"/>
                    <w:left w:val="single" w:color="auto" w:sz="4" w:space="0"/>
                    <w:bottom w:val="single" w:color="auto" w:sz="4" w:space="0"/>
                    <w:right w:val="single" w:color="auto" w:sz="4" w:space="0"/>
                  </w:tcBorders>
                  <w:vAlign w:val="center"/>
                </w:tcPr>
                <w:p>
                  <w:pPr>
                    <w:pStyle w:val="56"/>
                    <w:rPr>
                      <w:rFonts w:hAnsi="宋体"/>
                      <w:color w:val="auto"/>
                      <w:kern w:val="2"/>
                      <w:sz w:val="21"/>
                      <w:szCs w:val="21"/>
                    </w:rPr>
                  </w:pPr>
                  <w:r>
                    <w:rPr>
                      <w:rFonts w:hint="eastAsia" w:hAnsi="宋体"/>
                      <w:bCs/>
                      <w:color w:val="auto"/>
                      <w:kern w:val="2"/>
                      <w:sz w:val="21"/>
                      <w:szCs w:val="21"/>
                    </w:rPr>
                    <w:t>稳固设备，安装消声器，设置隔音门窗，设置单独隔声间，</w:t>
                  </w:r>
                  <w:r>
                    <w:rPr>
                      <w:rFonts w:hint="eastAsia" w:hAnsi="宋体"/>
                      <w:color w:val="auto"/>
                      <w:kern w:val="2"/>
                      <w:sz w:val="21"/>
                      <w:szCs w:val="21"/>
                    </w:rPr>
                    <w:t>定期对各种机械设备进行维护与保养，适时添加液压油</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rFonts w:hint="eastAsia"/>
                      <w:color w:val="auto"/>
                      <w:kern w:val="0"/>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color w:val="auto"/>
                      <w:kern w:val="0"/>
                      <w:szCs w:val="21"/>
                    </w:rPr>
                    <w:t>5</w:t>
                  </w:r>
                </w:p>
              </w:tc>
              <w:tc>
                <w:tcPr>
                  <w:tcW w:w="7568" w:type="dxa"/>
                  <w:gridSpan w:val="3"/>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hAnsi="宋体"/>
                      <w:color w:val="auto"/>
                      <w:kern w:val="0"/>
                      <w:szCs w:val="21"/>
                    </w:rPr>
                    <w:t>合计</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rPr>
                  </w:pPr>
                  <w:r>
                    <w:rPr>
                      <w:rFonts w:hint="eastAsia"/>
                      <w:color w:val="auto"/>
                      <w:kern w:val="0"/>
                      <w:szCs w:val="21"/>
                    </w:rPr>
                    <w:t>11.0</w:t>
                  </w:r>
                </w:p>
              </w:tc>
            </w:tr>
          </w:tbl>
          <w:p>
            <w:pPr>
              <w:adjustRightInd w:val="0"/>
              <w:snapToGrid w:val="0"/>
              <w:spacing w:line="360" w:lineRule="auto"/>
              <w:ind w:firstLine="482" w:firstLineChars="200"/>
              <w:rPr>
                <w:color w:val="auto"/>
              </w:rPr>
            </w:pPr>
            <w:r>
              <w:rPr>
                <w:rFonts w:hint="eastAsia" w:ascii="宋体" w:hAnsi="宋体"/>
                <w:b/>
                <w:color w:val="auto"/>
                <w:sz w:val="24"/>
              </w:rPr>
              <w:t>九、项目 “三同时”环境保护验收情况见下表：</w:t>
            </w:r>
          </w:p>
          <w:p>
            <w:pPr>
              <w:pStyle w:val="138"/>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建设项目“三同时”环境保护验收一览表</w:t>
            </w:r>
          </w:p>
          <w:tbl>
            <w:tblPr>
              <w:tblStyle w:val="44"/>
              <w:tblW w:w="932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57" w:type="dxa"/>
                <w:bottom w:w="57" w:type="dxa"/>
                <w:right w:w="57" w:type="dxa"/>
              </w:tblCellMar>
            </w:tblPr>
            <w:tblGrid>
              <w:gridCol w:w="543"/>
              <w:gridCol w:w="2014"/>
              <w:gridCol w:w="2655"/>
              <w:gridCol w:w="1361"/>
              <w:gridCol w:w="27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192" w:hRule="atLeast"/>
                <w:jc w:val="center"/>
              </w:trPr>
              <w:tc>
                <w:tcPr>
                  <w:tcW w:w="543" w:type="dxa"/>
                  <w:tcBorders>
                    <w:top w:val="single" w:color="auto" w:sz="4" w:space="0"/>
                    <w:left w:val="single" w:color="auto" w:sz="4" w:space="0"/>
                  </w:tcBorders>
                  <w:vAlign w:val="center"/>
                </w:tcPr>
                <w:p>
                  <w:pPr>
                    <w:spacing w:line="360" w:lineRule="auto"/>
                    <w:jc w:val="center"/>
                    <w:rPr>
                      <w:b/>
                      <w:color w:val="auto"/>
                      <w:szCs w:val="21"/>
                    </w:rPr>
                  </w:pPr>
                  <w:r>
                    <w:rPr>
                      <w:b/>
                      <w:color w:val="auto"/>
                      <w:szCs w:val="21"/>
                    </w:rPr>
                    <w:t>项目</w:t>
                  </w:r>
                </w:p>
              </w:tc>
              <w:tc>
                <w:tcPr>
                  <w:tcW w:w="2014" w:type="dxa"/>
                  <w:tcBorders>
                    <w:top w:val="single" w:color="auto" w:sz="4" w:space="0"/>
                  </w:tcBorders>
                  <w:vAlign w:val="center"/>
                </w:tcPr>
                <w:p>
                  <w:pPr>
                    <w:spacing w:line="360" w:lineRule="auto"/>
                    <w:jc w:val="center"/>
                    <w:rPr>
                      <w:b/>
                      <w:color w:val="auto"/>
                      <w:szCs w:val="21"/>
                    </w:rPr>
                  </w:pPr>
                  <w:r>
                    <w:rPr>
                      <w:b/>
                      <w:color w:val="auto"/>
                      <w:szCs w:val="21"/>
                    </w:rPr>
                    <w:t>污染源</w:t>
                  </w:r>
                </w:p>
              </w:tc>
              <w:tc>
                <w:tcPr>
                  <w:tcW w:w="2655" w:type="dxa"/>
                  <w:tcBorders>
                    <w:top w:val="single" w:color="auto" w:sz="4" w:space="0"/>
                  </w:tcBorders>
                  <w:vAlign w:val="center"/>
                </w:tcPr>
                <w:p>
                  <w:pPr>
                    <w:spacing w:line="360" w:lineRule="auto"/>
                    <w:jc w:val="center"/>
                    <w:rPr>
                      <w:b/>
                      <w:color w:val="auto"/>
                      <w:szCs w:val="21"/>
                    </w:rPr>
                  </w:pPr>
                  <w:r>
                    <w:rPr>
                      <w:b/>
                      <w:color w:val="auto"/>
                      <w:szCs w:val="21"/>
                    </w:rPr>
                    <w:t>防治措施</w:t>
                  </w:r>
                </w:p>
              </w:tc>
              <w:tc>
                <w:tcPr>
                  <w:tcW w:w="1361" w:type="dxa"/>
                  <w:tcBorders>
                    <w:top w:val="single" w:color="auto" w:sz="4" w:space="0"/>
                  </w:tcBorders>
                  <w:vAlign w:val="center"/>
                </w:tcPr>
                <w:p>
                  <w:pPr>
                    <w:spacing w:line="360" w:lineRule="auto"/>
                    <w:jc w:val="center"/>
                    <w:rPr>
                      <w:b/>
                      <w:color w:val="auto"/>
                      <w:szCs w:val="21"/>
                    </w:rPr>
                  </w:pPr>
                  <w:r>
                    <w:rPr>
                      <w:b/>
                      <w:color w:val="auto"/>
                      <w:szCs w:val="21"/>
                    </w:rPr>
                    <w:t>规模</w:t>
                  </w:r>
                </w:p>
              </w:tc>
              <w:tc>
                <w:tcPr>
                  <w:tcW w:w="2752" w:type="dxa"/>
                  <w:tcBorders>
                    <w:top w:val="single" w:color="auto" w:sz="4" w:space="0"/>
                    <w:right w:val="single" w:color="auto" w:sz="4" w:space="0"/>
                  </w:tcBorders>
                  <w:vAlign w:val="center"/>
                </w:tcPr>
                <w:p>
                  <w:pPr>
                    <w:spacing w:line="360" w:lineRule="auto"/>
                    <w:jc w:val="center"/>
                    <w:rPr>
                      <w:b/>
                      <w:color w:val="auto"/>
                      <w:szCs w:val="21"/>
                    </w:rPr>
                  </w:pPr>
                  <w:r>
                    <w:rPr>
                      <w:b/>
                      <w:color w:val="auto"/>
                      <w:szCs w:val="21"/>
                    </w:rPr>
                    <w:t>验收要求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666" w:hRule="atLeast"/>
                <w:jc w:val="center"/>
              </w:trPr>
              <w:tc>
                <w:tcPr>
                  <w:tcW w:w="543" w:type="dxa"/>
                  <w:vMerge w:val="restart"/>
                  <w:tcBorders>
                    <w:left w:val="single" w:color="auto" w:sz="4" w:space="0"/>
                  </w:tcBorders>
                  <w:vAlign w:val="center"/>
                </w:tcPr>
                <w:p>
                  <w:pPr>
                    <w:rPr>
                      <w:color w:val="auto"/>
                      <w:szCs w:val="21"/>
                    </w:rPr>
                  </w:pPr>
                  <w:r>
                    <w:rPr>
                      <w:color w:val="auto"/>
                      <w:szCs w:val="21"/>
                    </w:rPr>
                    <w:t>废气</w:t>
                  </w:r>
                </w:p>
              </w:tc>
              <w:tc>
                <w:tcPr>
                  <w:tcW w:w="2014" w:type="dxa"/>
                  <w:tcBorders>
                    <w:bottom w:val="single" w:color="auto" w:sz="4" w:space="0"/>
                  </w:tcBorders>
                  <w:vAlign w:val="center"/>
                </w:tcPr>
                <w:p>
                  <w:pPr>
                    <w:pStyle w:val="56"/>
                    <w:rPr>
                      <w:rFonts w:ascii="Times New Roman" w:hAnsi="Times New Roman"/>
                      <w:color w:val="auto"/>
                      <w:sz w:val="21"/>
                      <w:szCs w:val="21"/>
                    </w:rPr>
                  </w:pPr>
                  <w:r>
                    <w:rPr>
                      <w:rFonts w:hint="eastAsia" w:ascii="Times New Roman" w:hAnsi="Times New Roman"/>
                      <w:color w:val="auto"/>
                      <w:kern w:val="2"/>
                      <w:sz w:val="21"/>
                      <w:szCs w:val="21"/>
                    </w:rPr>
                    <w:t>混料工序</w:t>
                  </w:r>
                </w:p>
              </w:tc>
              <w:tc>
                <w:tcPr>
                  <w:tcW w:w="2655" w:type="dxa"/>
                  <w:tcBorders>
                    <w:bottom w:val="single" w:color="auto" w:sz="4" w:space="0"/>
                  </w:tcBorders>
                  <w:vAlign w:val="center"/>
                </w:tcPr>
                <w:p>
                  <w:pPr>
                    <w:jc w:val="center"/>
                    <w:rPr>
                      <w:color w:val="auto"/>
                      <w:szCs w:val="21"/>
                    </w:rPr>
                  </w:pPr>
                  <w:r>
                    <w:rPr>
                      <w:rFonts w:hint="eastAsia"/>
                      <w:color w:val="auto"/>
                      <w:szCs w:val="21"/>
                    </w:rPr>
                    <w:t>加强车间机械通风措施</w:t>
                  </w:r>
                </w:p>
              </w:tc>
              <w:tc>
                <w:tcPr>
                  <w:tcW w:w="1361" w:type="dxa"/>
                  <w:tcBorders>
                    <w:bottom w:val="single" w:color="auto" w:sz="4" w:space="0"/>
                  </w:tcBorders>
                  <w:vAlign w:val="center"/>
                </w:tcPr>
                <w:p>
                  <w:pPr>
                    <w:pStyle w:val="55"/>
                    <w:snapToGrid w:val="0"/>
                    <w:rPr>
                      <w:color w:val="auto"/>
                      <w:szCs w:val="21"/>
                    </w:rPr>
                  </w:pPr>
                  <w:r>
                    <w:rPr>
                      <w:rFonts w:hint="eastAsia" w:ascii="Times New Roman" w:hAnsi="Times New Roman"/>
                      <w:color w:val="auto"/>
                      <w:szCs w:val="21"/>
                    </w:rPr>
                    <w:t>无组织排放：</w:t>
                  </w:r>
                  <w:r>
                    <w:rPr>
                      <w:rFonts w:ascii="Times New Roman" w:hAnsi="Times New Roman"/>
                      <w:color w:val="auto"/>
                      <w:szCs w:val="21"/>
                    </w:rPr>
                    <w:t>0.0325t/a</w:t>
                  </w:r>
                </w:p>
              </w:tc>
              <w:tc>
                <w:tcPr>
                  <w:tcW w:w="2752" w:type="dxa"/>
                  <w:tcBorders>
                    <w:bottom w:val="single" w:color="auto" w:sz="4" w:space="0"/>
                    <w:right w:val="single" w:color="auto" w:sz="4" w:space="0"/>
                  </w:tcBorders>
                  <w:vAlign w:val="center"/>
                </w:tcPr>
                <w:p>
                  <w:pPr>
                    <w:spacing w:line="216" w:lineRule="auto"/>
                    <w:jc w:val="center"/>
                    <w:rPr>
                      <w:color w:val="auto"/>
                      <w:szCs w:val="21"/>
                    </w:rPr>
                  </w:pPr>
                  <w:r>
                    <w:rPr>
                      <w:rFonts w:hint="eastAsia"/>
                      <w:color w:val="auto"/>
                      <w:szCs w:val="21"/>
                    </w:rPr>
                    <w:t>达到广东省地方标准《大气污染物排放限值》（DB44/ 77-2001）第二时段无组织排放监控浓度限值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749" w:hRule="atLeast"/>
                <w:jc w:val="center"/>
              </w:trPr>
              <w:tc>
                <w:tcPr>
                  <w:tcW w:w="543" w:type="dxa"/>
                  <w:vMerge w:val="continue"/>
                  <w:tcBorders>
                    <w:left w:val="single" w:color="auto" w:sz="4" w:space="0"/>
                  </w:tcBorders>
                  <w:vAlign w:val="center"/>
                </w:tcPr>
                <w:p>
                  <w:pPr>
                    <w:rPr>
                      <w:color w:val="auto"/>
                      <w:szCs w:val="21"/>
                    </w:rPr>
                  </w:pPr>
                </w:p>
              </w:tc>
              <w:tc>
                <w:tcPr>
                  <w:tcW w:w="2014" w:type="dxa"/>
                  <w:vMerge w:val="restart"/>
                  <w:vAlign w:val="center"/>
                </w:tcPr>
                <w:p>
                  <w:pPr>
                    <w:pStyle w:val="56"/>
                    <w:rPr>
                      <w:rFonts w:ascii="Times New Roman" w:hAnsi="Times New Roman"/>
                      <w:color w:val="auto"/>
                      <w:sz w:val="21"/>
                      <w:szCs w:val="21"/>
                    </w:rPr>
                  </w:pPr>
                  <w:r>
                    <w:rPr>
                      <w:rFonts w:hint="eastAsia" w:ascii="Times New Roman" w:hAnsi="Times New Roman"/>
                      <w:color w:val="auto"/>
                      <w:kern w:val="2"/>
                      <w:sz w:val="21"/>
                      <w:szCs w:val="21"/>
                    </w:rPr>
                    <w:t>造粒、挤出成型</w:t>
                  </w:r>
                  <w:r>
                    <w:rPr>
                      <w:rFonts w:ascii="Times New Roman" w:hAnsi="Times New Roman"/>
                      <w:color w:val="auto"/>
                      <w:kern w:val="2"/>
                      <w:sz w:val="21"/>
                      <w:szCs w:val="21"/>
                    </w:rPr>
                    <w:t>工序</w:t>
                  </w:r>
                </w:p>
              </w:tc>
              <w:tc>
                <w:tcPr>
                  <w:tcW w:w="2655" w:type="dxa"/>
                  <w:vMerge w:val="restart"/>
                  <w:vAlign w:val="center"/>
                </w:tcPr>
                <w:p>
                  <w:pPr>
                    <w:jc w:val="center"/>
                    <w:rPr>
                      <w:color w:val="auto"/>
                      <w:szCs w:val="21"/>
                    </w:rPr>
                  </w:pPr>
                  <w:r>
                    <w:rPr>
                      <w:rFonts w:hint="eastAsia"/>
                      <w:color w:val="auto"/>
                      <w:szCs w:val="21"/>
                    </w:rPr>
                    <w:t>设置集气装置将废气进行收集后引至UV光解+活性炭吸附装置进行处理后</w:t>
                  </w:r>
                  <w:r>
                    <w:rPr>
                      <w:rFonts w:hint="eastAsia"/>
                      <w:color w:val="auto"/>
                      <w:szCs w:val="21"/>
                      <w:lang w:eastAsia="zh-CN"/>
                    </w:rPr>
                    <w:t>经</w:t>
                  </w:r>
                  <w:r>
                    <w:rPr>
                      <w:rFonts w:hint="eastAsia"/>
                      <w:color w:val="auto"/>
                      <w:szCs w:val="21"/>
                    </w:rPr>
                    <w:t>15m排气筒高空排放</w:t>
                  </w:r>
                </w:p>
              </w:tc>
              <w:tc>
                <w:tcPr>
                  <w:tcW w:w="1361" w:type="dxa"/>
                  <w:tcBorders>
                    <w:bottom w:val="single" w:color="auto" w:sz="4" w:space="0"/>
                  </w:tcBorders>
                  <w:vAlign w:val="center"/>
                </w:tcPr>
                <w:p>
                  <w:pPr>
                    <w:jc w:val="center"/>
                    <w:rPr>
                      <w:color w:val="auto"/>
                      <w:szCs w:val="21"/>
                      <w:vertAlign w:val="superscript"/>
                    </w:rPr>
                  </w:pPr>
                  <w:r>
                    <w:rPr>
                      <w:rFonts w:hint="eastAsia"/>
                      <w:color w:val="auto"/>
                      <w:szCs w:val="21"/>
                      <w:lang w:eastAsia="zh-CN"/>
                    </w:rPr>
                    <w:t>非甲烷总烃</w:t>
                  </w:r>
                  <w:r>
                    <w:rPr>
                      <w:color w:val="auto"/>
                      <w:szCs w:val="21"/>
                    </w:rPr>
                    <w:t>有组织：</w:t>
                  </w:r>
                  <w:r>
                    <w:rPr>
                      <w:rFonts w:hint="eastAsia"/>
                      <w:color w:val="auto"/>
                      <w:szCs w:val="21"/>
                      <w:lang w:val="en-US" w:eastAsia="zh-CN"/>
                    </w:rPr>
                    <w:t>1.085</w:t>
                  </w:r>
                  <w:r>
                    <w:rPr>
                      <w:color w:val="auto"/>
                      <w:szCs w:val="21"/>
                    </w:rPr>
                    <w:t>mg/m</w:t>
                  </w:r>
                  <w:r>
                    <w:rPr>
                      <w:color w:val="auto"/>
                      <w:szCs w:val="21"/>
                      <w:vertAlign w:val="superscript"/>
                    </w:rPr>
                    <w:t>3</w:t>
                  </w:r>
                </w:p>
                <w:p>
                  <w:pPr>
                    <w:jc w:val="center"/>
                    <w:rPr>
                      <w:color w:val="auto"/>
                      <w:szCs w:val="21"/>
                    </w:rPr>
                  </w:pPr>
                  <w:r>
                    <w:rPr>
                      <w:rFonts w:hint="eastAsia"/>
                      <w:color w:val="auto"/>
                      <w:szCs w:val="21"/>
                      <w:lang w:val="en-US" w:eastAsia="zh-CN"/>
                    </w:rPr>
                    <w:t>0.022</w:t>
                  </w:r>
                  <w:r>
                    <w:rPr>
                      <w:color w:val="auto"/>
                      <w:szCs w:val="21"/>
                    </w:rPr>
                    <w:t>t/a</w:t>
                  </w:r>
                </w:p>
                <w:p>
                  <w:pPr>
                    <w:jc w:val="center"/>
                    <w:rPr>
                      <w:color w:val="auto"/>
                      <w:szCs w:val="21"/>
                    </w:rPr>
                  </w:pPr>
                  <w:r>
                    <w:rPr>
                      <w:color w:val="auto"/>
                      <w:szCs w:val="21"/>
                    </w:rPr>
                    <w:t>无组织：</w:t>
                  </w:r>
                  <w:r>
                    <w:rPr>
                      <w:rFonts w:hint="eastAsia"/>
                      <w:color w:val="auto"/>
                      <w:szCs w:val="21"/>
                      <w:lang w:val="en-US" w:eastAsia="zh-CN"/>
                    </w:rPr>
                    <w:t>0.028</w:t>
                  </w:r>
                  <w:r>
                    <w:rPr>
                      <w:color w:val="auto"/>
                      <w:szCs w:val="21"/>
                    </w:rPr>
                    <w:t>t/a</w:t>
                  </w:r>
                </w:p>
              </w:tc>
              <w:tc>
                <w:tcPr>
                  <w:tcW w:w="2752" w:type="dxa"/>
                  <w:tcBorders>
                    <w:bottom w:val="single" w:color="auto" w:sz="4" w:space="0"/>
                    <w:right w:val="single" w:color="auto" w:sz="4" w:space="0"/>
                  </w:tcBorders>
                  <w:vAlign w:val="center"/>
                </w:tcPr>
                <w:p>
                  <w:pPr>
                    <w:spacing w:line="216" w:lineRule="auto"/>
                    <w:jc w:val="center"/>
                    <w:rPr>
                      <w:color w:val="auto"/>
                      <w:szCs w:val="21"/>
                    </w:rPr>
                  </w:pPr>
                  <w:r>
                    <w:rPr>
                      <w:rFonts w:hint="eastAsia"/>
                      <w:color w:val="auto"/>
                      <w:szCs w:val="21"/>
                    </w:rPr>
                    <w:t>达到《合成树脂工业污染物排放标准》(GB 31572-2015)表5规定的大气污染物特别排放标准限值和表9企业边界大气污染物浓度限值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649" w:hRule="atLeast"/>
                <w:jc w:val="center"/>
              </w:trPr>
              <w:tc>
                <w:tcPr>
                  <w:tcW w:w="543" w:type="dxa"/>
                  <w:vMerge w:val="continue"/>
                  <w:tcBorders>
                    <w:left w:val="single" w:color="auto" w:sz="4" w:space="0"/>
                  </w:tcBorders>
                  <w:vAlign w:val="center"/>
                </w:tcPr>
                <w:p>
                  <w:pPr>
                    <w:rPr>
                      <w:color w:val="auto"/>
                      <w:szCs w:val="21"/>
                    </w:rPr>
                  </w:pPr>
                </w:p>
              </w:tc>
              <w:tc>
                <w:tcPr>
                  <w:tcW w:w="2014" w:type="dxa"/>
                  <w:vMerge w:val="continue"/>
                  <w:vAlign w:val="center"/>
                </w:tcPr>
                <w:p>
                  <w:pPr>
                    <w:pStyle w:val="56"/>
                    <w:rPr>
                      <w:rFonts w:hint="eastAsia" w:ascii="Times New Roman" w:hAnsi="Times New Roman"/>
                      <w:color w:val="auto"/>
                      <w:kern w:val="2"/>
                      <w:sz w:val="21"/>
                      <w:szCs w:val="21"/>
                    </w:rPr>
                  </w:pPr>
                </w:p>
              </w:tc>
              <w:tc>
                <w:tcPr>
                  <w:tcW w:w="2655" w:type="dxa"/>
                  <w:vMerge w:val="continue"/>
                  <w:vAlign w:val="center"/>
                </w:tcPr>
                <w:p>
                  <w:pPr>
                    <w:jc w:val="center"/>
                    <w:rPr>
                      <w:rFonts w:hint="eastAsia"/>
                      <w:color w:val="auto"/>
                      <w:szCs w:val="21"/>
                    </w:rPr>
                  </w:pPr>
                </w:p>
              </w:tc>
              <w:tc>
                <w:tcPr>
                  <w:tcW w:w="1361" w:type="dxa"/>
                  <w:tcBorders>
                    <w:top w:val="single" w:color="auto" w:sz="4" w:space="0"/>
                  </w:tcBorders>
                  <w:vAlign w:val="center"/>
                </w:tcPr>
                <w:p>
                  <w:pPr>
                    <w:jc w:val="center"/>
                    <w:rPr>
                      <w:rFonts w:hint="eastAsia" w:eastAsia="宋体"/>
                      <w:color w:val="auto"/>
                      <w:szCs w:val="21"/>
                      <w:lang w:eastAsia="zh-CN"/>
                    </w:rPr>
                  </w:pPr>
                  <w:r>
                    <w:rPr>
                      <w:rFonts w:hint="eastAsia"/>
                      <w:color w:val="auto"/>
                      <w:szCs w:val="21"/>
                      <w:lang w:eastAsia="zh-CN"/>
                    </w:rPr>
                    <w:t>臭气浓度：少量</w:t>
                  </w:r>
                </w:p>
              </w:tc>
              <w:tc>
                <w:tcPr>
                  <w:tcW w:w="2752" w:type="dxa"/>
                  <w:tcBorders>
                    <w:top w:val="single" w:color="auto" w:sz="4" w:space="0"/>
                    <w:right w:val="single" w:color="auto" w:sz="4" w:space="0"/>
                  </w:tcBorders>
                  <w:vAlign w:val="center"/>
                </w:tcPr>
                <w:p>
                  <w:pPr>
                    <w:spacing w:line="216" w:lineRule="auto"/>
                    <w:jc w:val="center"/>
                    <w:rPr>
                      <w:rFonts w:hint="eastAsia"/>
                      <w:color w:val="auto"/>
                      <w:szCs w:val="21"/>
                    </w:rPr>
                  </w:pPr>
                  <w:r>
                    <w:rPr>
                      <w:rFonts w:hint="eastAsia"/>
                      <w:color w:val="auto"/>
                      <w:szCs w:val="21"/>
                    </w:rPr>
                    <w:t>达到《恶臭污染物排放标准》（GB 14554—93）表1恶臭污染物厂界标准值二级新扩改建臭气浓度：≤20（无纲量）要求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345" w:hRule="atLeast"/>
                <w:jc w:val="center"/>
              </w:trPr>
              <w:tc>
                <w:tcPr>
                  <w:tcW w:w="543" w:type="dxa"/>
                  <w:tcBorders>
                    <w:left w:val="single" w:color="auto" w:sz="4" w:space="0"/>
                  </w:tcBorders>
                  <w:vAlign w:val="center"/>
                </w:tcPr>
                <w:p>
                  <w:pPr>
                    <w:rPr>
                      <w:color w:val="auto"/>
                      <w:szCs w:val="21"/>
                    </w:rPr>
                  </w:pPr>
                  <w:r>
                    <w:rPr>
                      <w:color w:val="auto"/>
                      <w:szCs w:val="21"/>
                    </w:rPr>
                    <w:t>废水</w:t>
                  </w:r>
                </w:p>
              </w:tc>
              <w:tc>
                <w:tcPr>
                  <w:tcW w:w="2014"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宋体" w:hAnsi="宋体"/>
                      <w:color w:val="auto"/>
                      <w:szCs w:val="21"/>
                    </w:rPr>
                    <w:t>冷却废水</w:t>
                  </w:r>
                  <w:r>
                    <w:rPr>
                      <w:rFonts w:hint="eastAsia" w:ascii="宋体" w:hAnsi="宋体"/>
                      <w:color w:val="auto"/>
                      <w:szCs w:val="21"/>
                      <w:lang w:eastAsia="zh-CN"/>
                    </w:rPr>
                    <w:t>和</w:t>
                  </w:r>
                  <w:r>
                    <w:rPr>
                      <w:rFonts w:hint="eastAsia" w:ascii="宋体" w:hAnsi="宋体"/>
                      <w:color w:val="auto"/>
                      <w:szCs w:val="21"/>
                    </w:rPr>
                    <w:t>生活污水</w:t>
                  </w:r>
                </w:p>
              </w:tc>
              <w:tc>
                <w:tcPr>
                  <w:tcW w:w="2655" w:type="dxa"/>
                  <w:vAlign w:val="center"/>
                </w:tcPr>
                <w:p>
                  <w:pPr>
                    <w:jc w:val="center"/>
                    <w:rPr>
                      <w:rFonts w:ascii="Times New Roman" w:hAnsi="Times New Roman" w:eastAsia="宋体" w:cs="Times New Roman"/>
                      <w:bCs/>
                      <w:color w:val="auto"/>
                      <w:kern w:val="0"/>
                      <w:sz w:val="21"/>
                      <w:szCs w:val="21"/>
                      <w:lang w:val="en-US" w:eastAsia="zh-CN" w:bidi="ar-SA"/>
                    </w:rPr>
                  </w:pPr>
                  <w:r>
                    <w:rPr>
                      <w:rFonts w:hint="eastAsia" w:hAnsi="宋体"/>
                      <w:color w:val="auto"/>
                      <w:szCs w:val="21"/>
                    </w:rPr>
                    <w:t>生活污水经</w:t>
                  </w:r>
                  <w:r>
                    <w:rPr>
                      <w:rFonts w:hAnsi="宋体"/>
                      <w:color w:val="auto"/>
                      <w:szCs w:val="21"/>
                    </w:rPr>
                    <w:t>三级化粪池</w:t>
                  </w:r>
                  <w:r>
                    <w:rPr>
                      <w:rFonts w:hint="eastAsia" w:hAnsi="宋体"/>
                      <w:color w:val="auto"/>
                      <w:szCs w:val="21"/>
                    </w:rPr>
                    <w:t>预</w:t>
                  </w:r>
                  <w:r>
                    <w:rPr>
                      <w:rFonts w:hAnsi="宋体"/>
                      <w:color w:val="auto"/>
                      <w:szCs w:val="21"/>
                    </w:rPr>
                    <w:t>处理</w:t>
                  </w:r>
                  <w:r>
                    <w:rPr>
                      <w:rFonts w:hint="eastAsia" w:hAnsi="宋体"/>
                      <w:color w:val="auto"/>
                      <w:szCs w:val="21"/>
                    </w:rPr>
                    <w:t>后排入市政污水管网</w:t>
                  </w:r>
                </w:p>
              </w:tc>
              <w:tc>
                <w:tcPr>
                  <w:tcW w:w="1361" w:type="dxa"/>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170</w:t>
                  </w:r>
                  <w:r>
                    <w:rPr>
                      <w:color w:val="auto"/>
                      <w:szCs w:val="21"/>
                    </w:rPr>
                    <w:t>t/a</w:t>
                  </w:r>
                </w:p>
              </w:tc>
              <w:tc>
                <w:tcPr>
                  <w:tcW w:w="2752" w:type="dxa"/>
                  <w:tcBorders>
                    <w:right w:val="single" w:color="auto" w:sz="4" w:space="0"/>
                  </w:tcBorders>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达到广东省地方标准《水污染物排放限值》（DB44/26-2001）第二时段三级标准和《污水排入城镇下水道水质标准》（CJ343-2010）较严者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290" w:hRule="atLeast"/>
                <w:jc w:val="center"/>
              </w:trPr>
              <w:tc>
                <w:tcPr>
                  <w:tcW w:w="543" w:type="dxa"/>
                  <w:vMerge w:val="restart"/>
                  <w:tcBorders>
                    <w:left w:val="single" w:color="auto" w:sz="4" w:space="0"/>
                  </w:tcBorders>
                  <w:vAlign w:val="center"/>
                </w:tcPr>
                <w:p>
                  <w:pPr>
                    <w:rPr>
                      <w:color w:val="auto"/>
                      <w:szCs w:val="21"/>
                    </w:rPr>
                  </w:pPr>
                  <w:r>
                    <w:rPr>
                      <w:color w:val="auto"/>
                      <w:szCs w:val="21"/>
                    </w:rPr>
                    <w:t>固废</w:t>
                  </w:r>
                </w:p>
              </w:tc>
              <w:tc>
                <w:tcPr>
                  <w:tcW w:w="2014" w:type="dxa"/>
                  <w:vAlign w:val="center"/>
                </w:tcPr>
                <w:p>
                  <w:pPr>
                    <w:snapToGrid w:val="0"/>
                    <w:jc w:val="center"/>
                    <w:rPr>
                      <w:color w:val="auto"/>
                      <w:szCs w:val="21"/>
                    </w:rPr>
                  </w:pPr>
                  <w:r>
                    <w:rPr>
                      <w:color w:val="auto"/>
                      <w:szCs w:val="21"/>
                    </w:rPr>
                    <w:t>生活垃圾</w:t>
                  </w:r>
                </w:p>
              </w:tc>
              <w:tc>
                <w:tcPr>
                  <w:tcW w:w="2655" w:type="dxa"/>
                  <w:vAlign w:val="center"/>
                </w:tcPr>
                <w:p>
                  <w:pPr>
                    <w:keepNext/>
                    <w:topLinePunct/>
                    <w:autoSpaceDE w:val="0"/>
                    <w:autoSpaceDN w:val="0"/>
                    <w:adjustRightInd w:val="0"/>
                    <w:jc w:val="center"/>
                    <w:textAlignment w:val="baseline"/>
                    <w:rPr>
                      <w:color w:val="auto"/>
                      <w:kern w:val="0"/>
                      <w:position w:val="-28"/>
                      <w:szCs w:val="21"/>
                    </w:rPr>
                  </w:pPr>
                  <w:r>
                    <w:rPr>
                      <w:color w:val="auto"/>
                      <w:kern w:val="0"/>
                      <w:szCs w:val="21"/>
                    </w:rPr>
                    <w:t>交环卫部门处理</w:t>
                  </w:r>
                </w:p>
              </w:tc>
              <w:tc>
                <w:tcPr>
                  <w:tcW w:w="1361" w:type="dxa"/>
                  <w:vAlign w:val="center"/>
                </w:tcPr>
                <w:p>
                  <w:pPr>
                    <w:keepNext/>
                    <w:topLinePunct/>
                    <w:autoSpaceDE w:val="0"/>
                    <w:autoSpaceDN w:val="0"/>
                    <w:adjustRightInd w:val="0"/>
                    <w:jc w:val="center"/>
                    <w:textAlignment w:val="baseline"/>
                    <w:rPr>
                      <w:color w:val="auto"/>
                      <w:kern w:val="0"/>
                      <w:szCs w:val="21"/>
                    </w:rPr>
                  </w:pPr>
                  <w:r>
                    <w:rPr>
                      <w:rFonts w:hint="eastAsia"/>
                      <w:color w:val="auto"/>
                      <w:szCs w:val="21"/>
                    </w:rPr>
                    <w:t>2.25</w:t>
                  </w:r>
                  <w:r>
                    <w:rPr>
                      <w:color w:val="auto"/>
                      <w:kern w:val="0"/>
                      <w:szCs w:val="21"/>
                    </w:rPr>
                    <w:t>t/a</w:t>
                  </w:r>
                </w:p>
              </w:tc>
              <w:tc>
                <w:tcPr>
                  <w:tcW w:w="2752" w:type="dxa"/>
                  <w:vMerge w:val="restart"/>
                  <w:tcBorders>
                    <w:right w:val="single" w:color="auto" w:sz="4" w:space="0"/>
                  </w:tcBorders>
                  <w:vAlign w:val="center"/>
                </w:tcPr>
                <w:p>
                  <w:pPr>
                    <w:widowControl/>
                    <w:adjustRightInd w:val="0"/>
                    <w:spacing w:before="60"/>
                    <w:jc w:val="center"/>
                    <w:textAlignment w:val="baseline"/>
                    <w:rPr>
                      <w:bCs/>
                      <w:color w:val="auto"/>
                      <w:szCs w:val="21"/>
                    </w:rPr>
                  </w:pPr>
                  <w:r>
                    <w:rPr>
                      <w:color w:val="auto"/>
                      <w:kern w:val="0"/>
                      <w:szCs w:val="21"/>
                    </w:rPr>
                    <w:t>符合环保要求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672" w:hRule="atLeast"/>
                <w:jc w:val="center"/>
              </w:trPr>
              <w:tc>
                <w:tcPr>
                  <w:tcW w:w="543" w:type="dxa"/>
                  <w:vMerge w:val="continue"/>
                  <w:tcBorders>
                    <w:left w:val="single" w:color="auto" w:sz="4" w:space="0"/>
                  </w:tcBorders>
                  <w:vAlign w:val="center"/>
                </w:tcPr>
                <w:p>
                  <w:pPr>
                    <w:rPr>
                      <w:color w:val="auto"/>
                      <w:szCs w:val="21"/>
                    </w:rPr>
                  </w:pPr>
                </w:p>
              </w:tc>
              <w:tc>
                <w:tcPr>
                  <w:tcW w:w="2014" w:type="dxa"/>
                  <w:vAlign w:val="center"/>
                </w:tcPr>
                <w:p>
                  <w:pPr>
                    <w:jc w:val="center"/>
                    <w:rPr>
                      <w:color w:val="auto"/>
                      <w:szCs w:val="21"/>
                    </w:rPr>
                  </w:pPr>
                  <w:r>
                    <w:rPr>
                      <w:rFonts w:hint="eastAsia"/>
                      <w:color w:val="auto"/>
                      <w:szCs w:val="21"/>
                    </w:rPr>
                    <w:t>边角料、不合格品、废包装材料</w:t>
                  </w:r>
                </w:p>
              </w:tc>
              <w:tc>
                <w:tcPr>
                  <w:tcW w:w="2655" w:type="dxa"/>
                  <w:vAlign w:val="center"/>
                </w:tcPr>
                <w:p>
                  <w:pPr>
                    <w:adjustRightInd w:val="0"/>
                    <w:jc w:val="center"/>
                    <w:rPr>
                      <w:color w:val="auto"/>
                      <w:szCs w:val="21"/>
                    </w:rPr>
                  </w:pPr>
                  <w:r>
                    <w:rPr>
                      <w:color w:val="auto"/>
                      <w:szCs w:val="21"/>
                    </w:rPr>
                    <w:t>交专业公司回收处理</w:t>
                  </w:r>
                </w:p>
              </w:tc>
              <w:tc>
                <w:tcPr>
                  <w:tcW w:w="1361" w:type="dxa"/>
                  <w:vAlign w:val="center"/>
                </w:tcPr>
                <w:p>
                  <w:pPr>
                    <w:keepNext/>
                    <w:topLinePunct/>
                    <w:autoSpaceDE w:val="0"/>
                    <w:autoSpaceDN w:val="0"/>
                    <w:adjustRightInd w:val="0"/>
                    <w:jc w:val="center"/>
                    <w:textAlignment w:val="baseline"/>
                    <w:rPr>
                      <w:color w:val="auto"/>
                      <w:kern w:val="0"/>
                      <w:szCs w:val="21"/>
                    </w:rPr>
                  </w:pPr>
                  <w:r>
                    <w:rPr>
                      <w:rFonts w:hint="eastAsia"/>
                      <w:color w:val="auto"/>
                      <w:szCs w:val="21"/>
                    </w:rPr>
                    <w:t>5.3</w:t>
                  </w:r>
                  <w:r>
                    <w:rPr>
                      <w:color w:val="auto"/>
                      <w:kern w:val="0"/>
                      <w:szCs w:val="21"/>
                    </w:rPr>
                    <w:t>t/a</w:t>
                  </w:r>
                </w:p>
              </w:tc>
              <w:tc>
                <w:tcPr>
                  <w:tcW w:w="2752" w:type="dxa"/>
                  <w:vMerge w:val="continue"/>
                  <w:tcBorders>
                    <w:right w:val="single" w:color="auto" w:sz="4" w:space="0"/>
                  </w:tcBorders>
                  <w:vAlign w:val="center"/>
                </w:tcPr>
                <w:p>
                  <w:pPr>
                    <w:widowControl/>
                    <w:adjustRightInd w:val="0"/>
                    <w:spacing w:before="60"/>
                    <w:jc w:val="center"/>
                    <w:textAlignment w:val="baseline"/>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18" w:hRule="atLeast"/>
                <w:jc w:val="center"/>
              </w:trPr>
              <w:tc>
                <w:tcPr>
                  <w:tcW w:w="543" w:type="dxa"/>
                  <w:vMerge w:val="continue"/>
                  <w:tcBorders>
                    <w:left w:val="single" w:color="auto" w:sz="4" w:space="0"/>
                  </w:tcBorders>
                  <w:vAlign w:val="center"/>
                </w:tcPr>
                <w:p>
                  <w:pPr>
                    <w:rPr>
                      <w:color w:val="auto"/>
                      <w:szCs w:val="21"/>
                    </w:rPr>
                  </w:pPr>
                </w:p>
              </w:tc>
              <w:tc>
                <w:tcPr>
                  <w:tcW w:w="2014" w:type="dxa"/>
                  <w:vAlign w:val="center"/>
                </w:tcPr>
                <w:p>
                  <w:pPr>
                    <w:jc w:val="center"/>
                    <w:rPr>
                      <w:color w:val="auto"/>
                      <w:szCs w:val="21"/>
                    </w:rPr>
                  </w:pPr>
                  <w:r>
                    <w:rPr>
                      <w:rFonts w:hint="eastAsia"/>
                      <w:color w:val="auto"/>
                      <w:szCs w:val="21"/>
                    </w:rPr>
                    <w:t>中转物</w:t>
                  </w:r>
                </w:p>
              </w:tc>
              <w:tc>
                <w:tcPr>
                  <w:tcW w:w="2655" w:type="dxa"/>
                  <w:vAlign w:val="center"/>
                </w:tcPr>
                <w:p>
                  <w:pPr>
                    <w:adjustRightInd w:val="0"/>
                    <w:jc w:val="center"/>
                    <w:rPr>
                      <w:rFonts w:hint="eastAsia" w:eastAsia="宋体"/>
                      <w:color w:val="auto"/>
                      <w:szCs w:val="21"/>
                      <w:lang w:eastAsia="zh-CN"/>
                    </w:rPr>
                  </w:pPr>
                  <w:r>
                    <w:rPr>
                      <w:rFonts w:hint="eastAsia"/>
                      <w:color w:val="auto"/>
                      <w:szCs w:val="21"/>
                    </w:rPr>
                    <w:t>交给供应商回用</w:t>
                  </w:r>
                  <w:r>
                    <w:rPr>
                      <w:rFonts w:hint="eastAsia"/>
                      <w:color w:val="auto"/>
                      <w:szCs w:val="21"/>
                      <w:lang w:eastAsia="zh-CN"/>
                    </w:rPr>
                    <w:t>，</w:t>
                  </w:r>
                  <w:r>
                    <w:rPr>
                      <w:rFonts w:hint="eastAsia"/>
                      <w:color w:val="auto"/>
                      <w:szCs w:val="21"/>
                    </w:rPr>
                    <w:t>若供应商不愿回收，</w:t>
                  </w:r>
                  <w:r>
                    <w:rPr>
                      <w:rFonts w:hint="eastAsia"/>
                      <w:color w:val="auto"/>
                      <w:szCs w:val="21"/>
                      <w:lang w:eastAsia="zh-CN"/>
                    </w:rPr>
                    <w:t>则作为危险废物交给有危险废物处置资质单位处置</w:t>
                  </w:r>
                </w:p>
              </w:tc>
              <w:tc>
                <w:tcPr>
                  <w:tcW w:w="1361" w:type="dxa"/>
                  <w:vAlign w:val="center"/>
                </w:tcPr>
                <w:p>
                  <w:pPr>
                    <w:keepNext/>
                    <w:topLinePunct/>
                    <w:autoSpaceDE w:val="0"/>
                    <w:autoSpaceDN w:val="0"/>
                    <w:adjustRightInd w:val="0"/>
                    <w:jc w:val="center"/>
                    <w:textAlignment w:val="baseline"/>
                    <w:rPr>
                      <w:color w:val="auto"/>
                      <w:szCs w:val="21"/>
                    </w:rPr>
                  </w:pPr>
                  <w:r>
                    <w:rPr>
                      <w:rFonts w:hint="eastAsia"/>
                      <w:color w:val="auto"/>
                      <w:szCs w:val="21"/>
                    </w:rPr>
                    <w:t>1</w:t>
                  </w:r>
                  <w:r>
                    <w:rPr>
                      <w:color w:val="auto"/>
                      <w:szCs w:val="21"/>
                    </w:rPr>
                    <w:t>t/a</w:t>
                  </w:r>
                </w:p>
              </w:tc>
              <w:tc>
                <w:tcPr>
                  <w:tcW w:w="2752" w:type="dxa"/>
                  <w:vMerge w:val="continue"/>
                  <w:tcBorders>
                    <w:right w:val="single" w:color="auto" w:sz="4" w:space="0"/>
                  </w:tcBorders>
                  <w:vAlign w:val="center"/>
                </w:tcPr>
                <w:p>
                  <w:pPr>
                    <w:widowControl/>
                    <w:adjustRightInd w:val="0"/>
                    <w:spacing w:before="60"/>
                    <w:jc w:val="center"/>
                    <w:textAlignment w:val="baseline"/>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422" w:hRule="atLeast"/>
                <w:jc w:val="center"/>
              </w:trPr>
              <w:tc>
                <w:tcPr>
                  <w:tcW w:w="543" w:type="dxa"/>
                  <w:vMerge w:val="continue"/>
                  <w:tcBorders>
                    <w:left w:val="single" w:color="auto" w:sz="4" w:space="0"/>
                  </w:tcBorders>
                  <w:vAlign w:val="center"/>
                </w:tcPr>
                <w:p>
                  <w:pPr>
                    <w:rPr>
                      <w:color w:val="auto"/>
                      <w:szCs w:val="21"/>
                    </w:rPr>
                  </w:pPr>
                </w:p>
              </w:tc>
              <w:tc>
                <w:tcPr>
                  <w:tcW w:w="2014" w:type="dxa"/>
                  <w:tcBorders>
                    <w:bottom w:val="single" w:color="auto" w:sz="4" w:space="0"/>
                  </w:tcBorders>
                  <w:vAlign w:val="center"/>
                </w:tcPr>
                <w:p>
                  <w:pPr>
                    <w:jc w:val="center"/>
                    <w:rPr>
                      <w:color w:val="auto"/>
                      <w:szCs w:val="21"/>
                    </w:rPr>
                  </w:pPr>
                  <w:r>
                    <w:rPr>
                      <w:rFonts w:hint="eastAsia"/>
                      <w:color w:val="auto"/>
                      <w:szCs w:val="21"/>
                    </w:rPr>
                    <w:t>废UV灯管</w:t>
                  </w:r>
                </w:p>
              </w:tc>
              <w:tc>
                <w:tcPr>
                  <w:tcW w:w="2655" w:type="dxa"/>
                  <w:vMerge w:val="restart"/>
                  <w:vAlign w:val="center"/>
                </w:tcPr>
                <w:p>
                  <w:pPr>
                    <w:pStyle w:val="55"/>
                    <w:rPr>
                      <w:color w:val="auto"/>
                      <w:szCs w:val="21"/>
                    </w:rPr>
                  </w:pPr>
                  <w:r>
                    <w:rPr>
                      <w:rFonts w:hint="eastAsia"/>
                      <w:color w:val="auto"/>
                      <w:szCs w:val="21"/>
                    </w:rPr>
                    <w:t>交给有危险废物处置资质单位处置</w:t>
                  </w:r>
                </w:p>
              </w:tc>
              <w:tc>
                <w:tcPr>
                  <w:tcW w:w="1361" w:type="dxa"/>
                  <w:tcBorders>
                    <w:bottom w:val="single" w:color="auto" w:sz="4" w:space="0"/>
                  </w:tcBorders>
                  <w:vAlign w:val="center"/>
                </w:tcPr>
                <w:p>
                  <w:pPr>
                    <w:topLinePunct/>
                    <w:adjustRightInd w:val="0"/>
                    <w:snapToGrid w:val="0"/>
                    <w:jc w:val="center"/>
                    <w:rPr>
                      <w:color w:val="auto"/>
                      <w:szCs w:val="21"/>
                    </w:rPr>
                  </w:pPr>
                  <w:r>
                    <w:rPr>
                      <w:rFonts w:hint="eastAsia"/>
                      <w:color w:val="auto"/>
                      <w:kern w:val="0"/>
                      <w:szCs w:val="21"/>
                    </w:rPr>
                    <w:t>23根</w:t>
                  </w:r>
                  <w:r>
                    <w:rPr>
                      <w:color w:val="auto"/>
                      <w:kern w:val="0"/>
                      <w:szCs w:val="21"/>
                    </w:rPr>
                    <w:t>/</w:t>
                  </w:r>
                  <w:r>
                    <w:rPr>
                      <w:rFonts w:hint="eastAsia"/>
                      <w:color w:val="auto"/>
                      <w:kern w:val="0"/>
                      <w:szCs w:val="21"/>
                    </w:rPr>
                    <w:t>a</w:t>
                  </w:r>
                </w:p>
              </w:tc>
              <w:tc>
                <w:tcPr>
                  <w:tcW w:w="2752" w:type="dxa"/>
                  <w:vMerge w:val="continue"/>
                  <w:tcBorders>
                    <w:right w:val="single" w:color="auto" w:sz="4" w:space="0"/>
                  </w:tcBorders>
                  <w:vAlign w:val="center"/>
                </w:tcPr>
                <w:p>
                  <w:pPr>
                    <w:widowControl/>
                    <w:adjustRightInd w:val="0"/>
                    <w:spacing w:before="60"/>
                    <w:jc w:val="center"/>
                    <w:textAlignment w:val="baseline"/>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403" w:hRule="atLeast"/>
                <w:jc w:val="center"/>
              </w:trPr>
              <w:tc>
                <w:tcPr>
                  <w:tcW w:w="543" w:type="dxa"/>
                  <w:vMerge w:val="continue"/>
                  <w:tcBorders>
                    <w:left w:val="single" w:color="auto" w:sz="4" w:space="0"/>
                  </w:tcBorders>
                  <w:vAlign w:val="center"/>
                </w:tcPr>
                <w:p>
                  <w:pPr>
                    <w:rPr>
                      <w:color w:val="auto"/>
                      <w:szCs w:val="21"/>
                    </w:rPr>
                  </w:pPr>
                </w:p>
              </w:tc>
              <w:tc>
                <w:tcPr>
                  <w:tcW w:w="2014" w:type="dxa"/>
                  <w:tcBorders>
                    <w:top w:val="single" w:color="auto" w:sz="4" w:space="0"/>
                  </w:tcBorders>
                  <w:vAlign w:val="center"/>
                </w:tcPr>
                <w:p>
                  <w:pPr>
                    <w:jc w:val="center"/>
                    <w:rPr>
                      <w:color w:val="auto"/>
                      <w:szCs w:val="21"/>
                    </w:rPr>
                  </w:pPr>
                  <w:r>
                    <w:rPr>
                      <w:rFonts w:hint="eastAsia"/>
                      <w:color w:val="auto"/>
                      <w:szCs w:val="21"/>
                    </w:rPr>
                    <w:t>废活性炭</w:t>
                  </w:r>
                </w:p>
              </w:tc>
              <w:tc>
                <w:tcPr>
                  <w:tcW w:w="2655" w:type="dxa"/>
                  <w:vMerge w:val="continue"/>
                  <w:vAlign w:val="center"/>
                </w:tcPr>
                <w:p>
                  <w:pPr>
                    <w:pStyle w:val="55"/>
                    <w:rPr>
                      <w:color w:val="auto"/>
                      <w:szCs w:val="21"/>
                    </w:rPr>
                  </w:pPr>
                </w:p>
              </w:tc>
              <w:tc>
                <w:tcPr>
                  <w:tcW w:w="1361" w:type="dxa"/>
                  <w:tcBorders>
                    <w:top w:val="single" w:color="auto" w:sz="4" w:space="0"/>
                  </w:tcBorders>
                  <w:vAlign w:val="center"/>
                </w:tcPr>
                <w:p>
                  <w:pPr>
                    <w:topLinePunct/>
                    <w:adjustRightInd w:val="0"/>
                    <w:snapToGrid w:val="0"/>
                    <w:jc w:val="center"/>
                    <w:rPr>
                      <w:color w:val="auto"/>
                      <w:szCs w:val="21"/>
                    </w:rPr>
                  </w:pPr>
                  <w:r>
                    <w:rPr>
                      <w:rFonts w:hint="eastAsia"/>
                      <w:color w:val="auto"/>
                      <w:kern w:val="0"/>
                      <w:szCs w:val="21"/>
                    </w:rPr>
                    <w:t>0.376t</w:t>
                  </w:r>
                  <w:r>
                    <w:rPr>
                      <w:color w:val="auto"/>
                      <w:kern w:val="0"/>
                      <w:szCs w:val="21"/>
                    </w:rPr>
                    <w:t>/</w:t>
                  </w:r>
                  <w:r>
                    <w:rPr>
                      <w:rFonts w:hint="eastAsia"/>
                      <w:color w:val="auto"/>
                      <w:kern w:val="0"/>
                      <w:szCs w:val="21"/>
                    </w:rPr>
                    <w:t>a</w:t>
                  </w:r>
                </w:p>
              </w:tc>
              <w:tc>
                <w:tcPr>
                  <w:tcW w:w="2752" w:type="dxa"/>
                  <w:vMerge w:val="continue"/>
                  <w:tcBorders>
                    <w:right w:val="single" w:color="auto" w:sz="4" w:space="0"/>
                  </w:tcBorders>
                  <w:vAlign w:val="center"/>
                </w:tcPr>
                <w:p>
                  <w:pPr>
                    <w:widowControl/>
                    <w:adjustRightInd w:val="0"/>
                    <w:spacing w:before="60"/>
                    <w:jc w:val="center"/>
                    <w:textAlignment w:val="baseline"/>
                    <w:rPr>
                      <w:color w:val="auto"/>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898" w:hRule="atLeast"/>
                <w:jc w:val="center"/>
              </w:trPr>
              <w:tc>
                <w:tcPr>
                  <w:tcW w:w="543" w:type="dxa"/>
                  <w:tcBorders>
                    <w:left w:val="single" w:color="auto" w:sz="4" w:space="0"/>
                    <w:bottom w:val="single" w:color="auto" w:sz="4" w:space="0"/>
                  </w:tcBorders>
                  <w:vAlign w:val="center"/>
                </w:tcPr>
                <w:p>
                  <w:pPr>
                    <w:rPr>
                      <w:color w:val="auto"/>
                      <w:szCs w:val="21"/>
                    </w:rPr>
                  </w:pPr>
                  <w:r>
                    <w:rPr>
                      <w:color w:val="auto"/>
                      <w:szCs w:val="21"/>
                    </w:rPr>
                    <w:t>噪声</w:t>
                  </w:r>
                </w:p>
              </w:tc>
              <w:tc>
                <w:tcPr>
                  <w:tcW w:w="2014" w:type="dxa"/>
                  <w:tcBorders>
                    <w:bottom w:val="single" w:color="auto" w:sz="4" w:space="0"/>
                  </w:tcBorders>
                  <w:vAlign w:val="center"/>
                </w:tcPr>
                <w:p>
                  <w:pPr>
                    <w:jc w:val="center"/>
                    <w:rPr>
                      <w:bCs/>
                      <w:color w:val="auto"/>
                      <w:szCs w:val="21"/>
                    </w:rPr>
                  </w:pPr>
                  <w:r>
                    <w:rPr>
                      <w:color w:val="auto"/>
                      <w:szCs w:val="21"/>
                    </w:rPr>
                    <w:t>设备、机械噪声</w:t>
                  </w:r>
                </w:p>
              </w:tc>
              <w:tc>
                <w:tcPr>
                  <w:tcW w:w="2655" w:type="dxa"/>
                  <w:tcBorders>
                    <w:bottom w:val="single" w:color="auto" w:sz="4" w:space="0"/>
                  </w:tcBorders>
                  <w:vAlign w:val="center"/>
                </w:tcPr>
                <w:p>
                  <w:pPr>
                    <w:jc w:val="center"/>
                    <w:rPr>
                      <w:color w:val="auto"/>
                      <w:szCs w:val="21"/>
                    </w:rPr>
                  </w:pPr>
                  <w:r>
                    <w:rPr>
                      <w:color w:val="auto"/>
                      <w:szCs w:val="21"/>
                    </w:rPr>
                    <w:t>使用低噪声设备，合理安排高噪声设备作业时段，采用隔声、消声、减振等措施</w:t>
                  </w:r>
                </w:p>
              </w:tc>
              <w:tc>
                <w:tcPr>
                  <w:tcW w:w="1361" w:type="dxa"/>
                  <w:tcBorders>
                    <w:bottom w:val="single" w:color="auto" w:sz="4" w:space="0"/>
                  </w:tcBorders>
                  <w:vAlign w:val="center"/>
                </w:tcPr>
                <w:p>
                  <w:pPr>
                    <w:jc w:val="center"/>
                    <w:rPr>
                      <w:color w:val="auto"/>
                      <w:szCs w:val="21"/>
                    </w:rPr>
                  </w:pPr>
                  <w:r>
                    <w:rPr>
                      <w:color w:val="auto"/>
                      <w:szCs w:val="21"/>
                    </w:rPr>
                    <w:t>噪声值约为50~55dB(A)</w:t>
                  </w:r>
                </w:p>
              </w:tc>
              <w:tc>
                <w:tcPr>
                  <w:tcW w:w="2752" w:type="dxa"/>
                  <w:tcBorders>
                    <w:bottom w:val="single" w:color="auto" w:sz="4" w:space="0"/>
                    <w:right w:val="single" w:color="auto" w:sz="4" w:space="0"/>
                  </w:tcBorders>
                  <w:vAlign w:val="center"/>
                </w:tcPr>
                <w:p>
                  <w:pPr>
                    <w:jc w:val="center"/>
                    <w:rPr>
                      <w:bCs/>
                      <w:color w:val="auto"/>
                      <w:szCs w:val="21"/>
                    </w:rPr>
                  </w:pPr>
                  <w:r>
                    <w:rPr>
                      <w:bCs/>
                      <w:color w:val="auto"/>
                      <w:szCs w:val="21"/>
                    </w:rPr>
                    <w:t>达到《工业企业厂界环境噪声排放标准》（GB12348-2008）2类</w:t>
                  </w:r>
                  <w:r>
                    <w:rPr>
                      <w:color w:val="auto"/>
                      <w:sz w:val="21"/>
                      <w:szCs w:val="21"/>
                      <w:highlight w:val="none"/>
                    </w:rPr>
                    <w:t>和4类</w:t>
                  </w:r>
                  <w:r>
                    <w:rPr>
                      <w:bCs/>
                      <w:color w:val="auto"/>
                      <w:szCs w:val="21"/>
                    </w:rPr>
                    <w:t>标准</w:t>
                  </w:r>
                </w:p>
              </w:tc>
            </w:tr>
          </w:tbl>
          <w:p>
            <w:pPr>
              <w:ind w:firstLine="480" w:firstLineChars="200"/>
              <w:rPr>
                <w:color w:val="auto"/>
                <w:sz w:val="24"/>
              </w:rPr>
            </w:pPr>
          </w:p>
        </w:tc>
      </w:tr>
    </w:tbl>
    <w:p>
      <w:pPr>
        <w:pStyle w:val="42"/>
        <w:jc w:val="left"/>
        <w:rPr>
          <w:rFonts w:ascii="Times New Roman" w:hAnsi="Times New Roman"/>
          <w:color w:val="auto"/>
        </w:rPr>
      </w:pPr>
      <w:r>
        <w:rPr>
          <w:rFonts w:ascii="Times New Roman" w:hAnsi="Times New Roman"/>
          <w:color w:val="auto"/>
        </w:rPr>
        <w:t>建设项目拟采取的防治措施及预期治理效果</w:t>
      </w:r>
    </w:p>
    <w:tbl>
      <w:tblPr>
        <w:tblStyle w:val="44"/>
        <w:tblW w:w="101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772"/>
        <w:gridCol w:w="1912"/>
        <w:gridCol w:w="2758"/>
        <w:gridCol w:w="3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33" w:hRule="atLeast"/>
          <w:jc w:val="center"/>
        </w:trPr>
        <w:tc>
          <w:tcPr>
            <w:tcW w:w="675" w:type="dxa"/>
            <w:tcBorders>
              <w:tl2br w:val="single" w:color="auto" w:sz="4" w:space="0"/>
            </w:tcBorders>
            <w:textDirection w:val="tbRlV"/>
            <w:vAlign w:val="center"/>
          </w:tcPr>
          <w:p>
            <w:pPr>
              <w:ind w:left="113" w:right="113"/>
              <w:rPr>
                <w:color w:val="auto"/>
                <w:sz w:val="24"/>
              </w:rPr>
            </w:pPr>
            <w:r>
              <w:rPr>
                <w:rFonts w:hAnsi="宋体"/>
                <w:color w:val="auto"/>
                <w:sz w:val="24"/>
              </w:rPr>
              <w:t>内容</w:t>
            </w:r>
          </w:p>
          <w:p>
            <w:pPr>
              <w:ind w:left="113" w:right="113"/>
              <w:jc w:val="center"/>
              <w:rPr>
                <w:color w:val="auto"/>
                <w:sz w:val="24"/>
              </w:rPr>
            </w:pPr>
            <w:r>
              <w:rPr>
                <w:color w:val="auto"/>
                <w:sz w:val="24"/>
              </w:rPr>
              <w:t xml:space="preserve"> </w:t>
            </w:r>
            <w:r>
              <w:rPr>
                <w:rFonts w:hAnsi="宋体"/>
                <w:color w:val="auto"/>
                <w:sz w:val="24"/>
              </w:rPr>
              <w:t>类型</w:t>
            </w:r>
          </w:p>
        </w:tc>
        <w:tc>
          <w:tcPr>
            <w:tcW w:w="1772" w:type="dxa"/>
            <w:vAlign w:val="center"/>
          </w:tcPr>
          <w:p>
            <w:pPr>
              <w:jc w:val="center"/>
              <w:rPr>
                <w:color w:val="auto"/>
                <w:sz w:val="24"/>
              </w:rPr>
            </w:pPr>
            <w:r>
              <w:rPr>
                <w:rFonts w:hAnsi="宋体"/>
                <w:color w:val="auto"/>
                <w:sz w:val="24"/>
              </w:rPr>
              <w:t>排放源</w:t>
            </w:r>
          </w:p>
          <w:p>
            <w:pPr>
              <w:jc w:val="center"/>
              <w:rPr>
                <w:color w:val="auto"/>
                <w:sz w:val="24"/>
              </w:rPr>
            </w:pPr>
            <w:r>
              <w:rPr>
                <w:rFonts w:hAnsi="宋体"/>
                <w:color w:val="auto"/>
                <w:sz w:val="24"/>
              </w:rPr>
              <w:t>（编号）</w:t>
            </w:r>
          </w:p>
        </w:tc>
        <w:tc>
          <w:tcPr>
            <w:tcW w:w="1912" w:type="dxa"/>
            <w:vAlign w:val="center"/>
          </w:tcPr>
          <w:p>
            <w:pPr>
              <w:jc w:val="center"/>
              <w:rPr>
                <w:color w:val="auto"/>
                <w:sz w:val="24"/>
              </w:rPr>
            </w:pPr>
            <w:r>
              <w:rPr>
                <w:rFonts w:hAnsi="宋体"/>
                <w:color w:val="auto"/>
                <w:sz w:val="24"/>
              </w:rPr>
              <w:t>污染物</w:t>
            </w:r>
          </w:p>
          <w:p>
            <w:pPr>
              <w:jc w:val="center"/>
              <w:rPr>
                <w:color w:val="auto"/>
                <w:sz w:val="24"/>
              </w:rPr>
            </w:pPr>
            <w:r>
              <w:rPr>
                <w:rFonts w:hAnsi="宋体"/>
                <w:color w:val="auto"/>
                <w:sz w:val="24"/>
              </w:rPr>
              <w:t>名称</w:t>
            </w:r>
          </w:p>
        </w:tc>
        <w:tc>
          <w:tcPr>
            <w:tcW w:w="2758" w:type="dxa"/>
            <w:vAlign w:val="center"/>
          </w:tcPr>
          <w:p>
            <w:pPr>
              <w:jc w:val="center"/>
              <w:rPr>
                <w:color w:val="auto"/>
                <w:sz w:val="24"/>
              </w:rPr>
            </w:pPr>
            <w:r>
              <w:rPr>
                <w:rFonts w:hAnsi="宋体"/>
                <w:color w:val="auto"/>
                <w:sz w:val="24"/>
              </w:rPr>
              <w:t>防治措施</w:t>
            </w:r>
          </w:p>
        </w:tc>
        <w:tc>
          <w:tcPr>
            <w:tcW w:w="3070" w:type="dxa"/>
            <w:vAlign w:val="center"/>
          </w:tcPr>
          <w:p>
            <w:pPr>
              <w:jc w:val="center"/>
              <w:rPr>
                <w:color w:val="auto"/>
                <w:sz w:val="24"/>
              </w:rPr>
            </w:pPr>
            <w:r>
              <w:rPr>
                <w:rFonts w:hAnsi="宋体"/>
                <w:color w:val="auto"/>
                <w:sz w:val="24"/>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jc w:val="center"/>
        </w:trPr>
        <w:tc>
          <w:tcPr>
            <w:tcW w:w="675" w:type="dxa"/>
            <w:vMerge w:val="restart"/>
            <w:vAlign w:val="center"/>
          </w:tcPr>
          <w:p>
            <w:pPr>
              <w:ind w:firstLine="120" w:firstLineChars="50"/>
              <w:rPr>
                <w:color w:val="auto"/>
                <w:sz w:val="24"/>
              </w:rPr>
            </w:pPr>
            <w:r>
              <w:rPr>
                <w:rFonts w:hAnsi="宋体"/>
                <w:color w:val="auto"/>
                <w:sz w:val="24"/>
              </w:rPr>
              <w:t>大</w:t>
            </w:r>
          </w:p>
          <w:p>
            <w:pPr>
              <w:jc w:val="center"/>
              <w:rPr>
                <w:color w:val="auto"/>
                <w:sz w:val="24"/>
              </w:rPr>
            </w:pPr>
            <w:r>
              <w:rPr>
                <w:rFonts w:hAnsi="宋体"/>
                <w:color w:val="auto"/>
                <w:sz w:val="24"/>
              </w:rPr>
              <w:t>气</w:t>
            </w:r>
          </w:p>
          <w:p>
            <w:pPr>
              <w:jc w:val="center"/>
              <w:rPr>
                <w:color w:val="auto"/>
                <w:sz w:val="24"/>
              </w:rPr>
            </w:pPr>
            <w:r>
              <w:rPr>
                <w:rFonts w:hAnsi="宋体"/>
                <w:color w:val="auto"/>
                <w:sz w:val="24"/>
              </w:rPr>
              <w:t>污</w:t>
            </w:r>
          </w:p>
          <w:p>
            <w:pPr>
              <w:jc w:val="center"/>
              <w:rPr>
                <w:color w:val="auto"/>
                <w:sz w:val="24"/>
              </w:rPr>
            </w:pPr>
            <w:r>
              <w:rPr>
                <w:rFonts w:hAnsi="宋体"/>
                <w:color w:val="auto"/>
                <w:sz w:val="24"/>
              </w:rPr>
              <w:t>染</w:t>
            </w:r>
          </w:p>
          <w:p>
            <w:pPr>
              <w:jc w:val="center"/>
              <w:rPr>
                <w:color w:val="auto"/>
                <w:sz w:val="24"/>
              </w:rPr>
            </w:pPr>
            <w:r>
              <w:rPr>
                <w:rFonts w:hAnsi="宋体"/>
                <w:color w:val="auto"/>
                <w:sz w:val="24"/>
              </w:rPr>
              <w:t>物</w:t>
            </w:r>
          </w:p>
        </w:tc>
        <w:tc>
          <w:tcPr>
            <w:tcW w:w="1772" w:type="dxa"/>
            <w:vAlign w:val="center"/>
          </w:tcPr>
          <w:p>
            <w:pPr>
              <w:pStyle w:val="56"/>
              <w:rPr>
                <w:color w:val="auto"/>
                <w:kern w:val="2"/>
                <w:szCs w:val="24"/>
              </w:rPr>
            </w:pPr>
            <w:r>
              <w:rPr>
                <w:rFonts w:hint="eastAsia"/>
                <w:color w:val="auto"/>
                <w:szCs w:val="24"/>
              </w:rPr>
              <w:t>混料工序</w:t>
            </w:r>
          </w:p>
        </w:tc>
        <w:tc>
          <w:tcPr>
            <w:tcW w:w="1912" w:type="dxa"/>
            <w:vAlign w:val="center"/>
          </w:tcPr>
          <w:p>
            <w:pPr>
              <w:pStyle w:val="56"/>
              <w:rPr>
                <w:rFonts w:ascii="Times New Roman"/>
                <w:color w:val="auto"/>
                <w:szCs w:val="24"/>
              </w:rPr>
            </w:pPr>
            <w:r>
              <w:rPr>
                <w:rFonts w:hint="eastAsia"/>
                <w:color w:val="auto"/>
                <w:kern w:val="2"/>
                <w:szCs w:val="24"/>
              </w:rPr>
              <w:t>粉尘</w:t>
            </w:r>
          </w:p>
        </w:tc>
        <w:tc>
          <w:tcPr>
            <w:tcW w:w="2758" w:type="dxa"/>
            <w:vAlign w:val="center"/>
          </w:tcPr>
          <w:p>
            <w:pPr>
              <w:jc w:val="center"/>
              <w:rPr>
                <w:color w:val="auto"/>
                <w:sz w:val="24"/>
              </w:rPr>
            </w:pPr>
            <w:r>
              <w:rPr>
                <w:rFonts w:hint="eastAsia"/>
                <w:color w:val="auto"/>
                <w:sz w:val="24"/>
              </w:rPr>
              <w:t>加强车间机械通风措施</w:t>
            </w:r>
          </w:p>
        </w:tc>
        <w:tc>
          <w:tcPr>
            <w:tcW w:w="3070" w:type="dxa"/>
            <w:vAlign w:val="center"/>
          </w:tcPr>
          <w:p>
            <w:pPr>
              <w:jc w:val="center"/>
              <w:rPr>
                <w:rFonts w:hAnsi="宋体"/>
                <w:color w:val="auto"/>
                <w:sz w:val="24"/>
              </w:rPr>
            </w:pPr>
            <w:r>
              <w:rPr>
                <w:rFonts w:hint="eastAsia" w:hAnsi="宋体"/>
                <w:color w:val="auto"/>
                <w:sz w:val="24"/>
              </w:rPr>
              <w:t>达到广东省地方标准《大气污染物排放限值》（DB44/ 77-2001）第二时段无组织排放监控浓度限值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5" w:type="dxa"/>
            <w:vMerge w:val="continue"/>
            <w:vAlign w:val="center"/>
          </w:tcPr>
          <w:p>
            <w:pPr>
              <w:ind w:firstLine="120" w:firstLineChars="50"/>
              <w:rPr>
                <w:rFonts w:hAnsi="宋体"/>
                <w:color w:val="auto"/>
                <w:sz w:val="24"/>
              </w:rPr>
            </w:pPr>
          </w:p>
        </w:tc>
        <w:tc>
          <w:tcPr>
            <w:tcW w:w="1772" w:type="dxa"/>
            <w:vMerge w:val="restart"/>
            <w:vAlign w:val="center"/>
          </w:tcPr>
          <w:p>
            <w:pPr>
              <w:pStyle w:val="56"/>
              <w:rPr>
                <w:rFonts w:ascii="Times New Roman" w:hAnsi="Times New Roman"/>
                <w:color w:val="auto"/>
                <w:szCs w:val="24"/>
              </w:rPr>
            </w:pPr>
            <w:r>
              <w:rPr>
                <w:rFonts w:hint="eastAsia" w:ascii="Times New Roman" w:hAnsi="Times New Roman"/>
                <w:color w:val="auto"/>
                <w:kern w:val="2"/>
                <w:szCs w:val="24"/>
              </w:rPr>
              <w:t>造粒、挤出成型</w:t>
            </w:r>
            <w:r>
              <w:rPr>
                <w:rFonts w:ascii="Times New Roman" w:hAnsi="Times New Roman"/>
                <w:color w:val="auto"/>
                <w:kern w:val="2"/>
                <w:szCs w:val="24"/>
              </w:rPr>
              <w:t>工序</w:t>
            </w:r>
          </w:p>
        </w:tc>
        <w:tc>
          <w:tcPr>
            <w:tcW w:w="1912" w:type="dxa"/>
            <w:vAlign w:val="center"/>
          </w:tcPr>
          <w:p>
            <w:pPr>
              <w:adjustRightInd w:val="0"/>
              <w:snapToGrid w:val="0"/>
              <w:jc w:val="center"/>
              <w:rPr>
                <w:rFonts w:hint="eastAsia" w:eastAsia="宋体"/>
                <w:color w:val="auto"/>
                <w:sz w:val="24"/>
                <w:lang w:eastAsia="zh-CN"/>
              </w:rPr>
            </w:pPr>
            <w:r>
              <w:rPr>
                <w:rFonts w:hint="eastAsia" w:hAnsi="宋体"/>
                <w:color w:val="auto"/>
                <w:sz w:val="24"/>
                <w:lang w:eastAsia="zh-CN"/>
              </w:rPr>
              <w:t>臭气浓度</w:t>
            </w:r>
          </w:p>
        </w:tc>
        <w:tc>
          <w:tcPr>
            <w:tcW w:w="2758" w:type="dxa"/>
            <w:vMerge w:val="restart"/>
            <w:vAlign w:val="center"/>
          </w:tcPr>
          <w:p>
            <w:pPr>
              <w:jc w:val="center"/>
              <w:rPr>
                <w:color w:val="auto"/>
                <w:sz w:val="24"/>
              </w:rPr>
            </w:pPr>
            <w:r>
              <w:rPr>
                <w:rFonts w:hint="eastAsia"/>
                <w:color w:val="auto"/>
                <w:sz w:val="24"/>
              </w:rPr>
              <w:t>设置集气装置将废气进行收集后引至UV光解+活性炭吸附装置进行处理后</w:t>
            </w:r>
            <w:r>
              <w:rPr>
                <w:rFonts w:hint="eastAsia"/>
                <w:color w:val="auto"/>
                <w:sz w:val="24"/>
                <w:lang w:eastAsia="zh-CN"/>
              </w:rPr>
              <w:t>经</w:t>
            </w:r>
            <w:r>
              <w:rPr>
                <w:rFonts w:hint="eastAsia"/>
                <w:color w:val="auto"/>
                <w:sz w:val="24"/>
                <w:lang w:val="en-US" w:eastAsia="zh-CN"/>
              </w:rPr>
              <w:t>15m排气筒</w:t>
            </w:r>
            <w:r>
              <w:rPr>
                <w:rFonts w:hint="eastAsia"/>
                <w:color w:val="auto"/>
                <w:sz w:val="24"/>
              </w:rPr>
              <w:t>高空排放</w:t>
            </w:r>
          </w:p>
        </w:tc>
        <w:tc>
          <w:tcPr>
            <w:tcW w:w="3070" w:type="dxa"/>
            <w:vAlign w:val="center"/>
          </w:tcPr>
          <w:p>
            <w:pPr>
              <w:jc w:val="center"/>
              <w:rPr>
                <w:rFonts w:hAnsi="宋体"/>
                <w:color w:val="auto"/>
                <w:sz w:val="24"/>
              </w:rPr>
            </w:pPr>
            <w:r>
              <w:rPr>
                <w:rFonts w:hint="eastAsia" w:hAnsi="宋体"/>
                <w:color w:val="auto"/>
                <w:sz w:val="24"/>
                <w:lang w:val="en-US" w:eastAsia="zh-CN"/>
              </w:rPr>
              <w:t>达到《</w:t>
            </w:r>
            <w:r>
              <w:rPr>
                <w:rFonts w:hint="eastAsia" w:hAnsi="宋体"/>
                <w:color w:val="auto"/>
                <w:sz w:val="24"/>
              </w:rPr>
              <w:t>恶臭污染物排放标准</w:t>
            </w:r>
            <w:r>
              <w:rPr>
                <w:rFonts w:hint="eastAsia" w:hAnsi="宋体"/>
                <w:color w:val="auto"/>
                <w:sz w:val="24"/>
                <w:lang w:val="en-US" w:eastAsia="zh-CN"/>
              </w:rPr>
              <w:t>》（GB 14554—93）表1恶臭污染物厂界标准值二级新扩改建臭气浓度：≤20（无纲量）要求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9" w:hRule="atLeast"/>
          <w:jc w:val="center"/>
        </w:trPr>
        <w:tc>
          <w:tcPr>
            <w:tcW w:w="675" w:type="dxa"/>
            <w:vMerge w:val="continue"/>
            <w:vAlign w:val="center"/>
          </w:tcPr>
          <w:p>
            <w:pPr>
              <w:ind w:firstLine="120" w:firstLineChars="50"/>
              <w:rPr>
                <w:rFonts w:hAnsi="宋体"/>
                <w:color w:val="auto"/>
                <w:sz w:val="24"/>
              </w:rPr>
            </w:pPr>
          </w:p>
        </w:tc>
        <w:tc>
          <w:tcPr>
            <w:tcW w:w="1772" w:type="dxa"/>
            <w:vMerge w:val="continue"/>
            <w:vAlign w:val="center"/>
          </w:tcPr>
          <w:p>
            <w:pPr>
              <w:pStyle w:val="56"/>
              <w:rPr>
                <w:rFonts w:hint="eastAsia" w:ascii="Times New Roman" w:hAnsi="Times New Roman"/>
                <w:color w:val="auto"/>
                <w:kern w:val="2"/>
                <w:szCs w:val="24"/>
              </w:rPr>
            </w:pPr>
          </w:p>
        </w:tc>
        <w:tc>
          <w:tcPr>
            <w:tcW w:w="1912" w:type="dxa"/>
            <w:vAlign w:val="center"/>
          </w:tcPr>
          <w:p>
            <w:pPr>
              <w:adjustRightInd w:val="0"/>
              <w:snapToGrid w:val="0"/>
              <w:jc w:val="center"/>
              <w:rPr>
                <w:rFonts w:hint="eastAsia" w:hAnsi="宋体" w:eastAsia="宋体"/>
                <w:color w:val="auto"/>
                <w:sz w:val="24"/>
                <w:lang w:eastAsia="zh-CN"/>
              </w:rPr>
            </w:pPr>
            <w:r>
              <w:rPr>
                <w:rFonts w:hAnsi="宋体"/>
                <w:color w:val="auto"/>
                <w:sz w:val="24"/>
              </w:rPr>
              <w:t>非甲烷总烃</w:t>
            </w:r>
          </w:p>
        </w:tc>
        <w:tc>
          <w:tcPr>
            <w:tcW w:w="2758" w:type="dxa"/>
            <w:vMerge w:val="continue"/>
            <w:vAlign w:val="center"/>
          </w:tcPr>
          <w:p>
            <w:pPr>
              <w:jc w:val="center"/>
              <w:rPr>
                <w:rFonts w:hint="eastAsia"/>
                <w:color w:val="auto"/>
                <w:sz w:val="24"/>
              </w:rPr>
            </w:pPr>
          </w:p>
        </w:tc>
        <w:tc>
          <w:tcPr>
            <w:tcW w:w="3070" w:type="dxa"/>
            <w:vAlign w:val="center"/>
          </w:tcPr>
          <w:p>
            <w:pPr>
              <w:jc w:val="center"/>
              <w:rPr>
                <w:rFonts w:hint="eastAsia" w:ascii="Times New Roman" w:hAnsi="宋体" w:eastAsia="宋体" w:cs="Times New Roman"/>
                <w:color w:val="auto"/>
                <w:kern w:val="2"/>
                <w:sz w:val="24"/>
                <w:szCs w:val="24"/>
                <w:lang w:val="en-US" w:eastAsia="zh-CN" w:bidi="ar-SA"/>
              </w:rPr>
            </w:pPr>
            <w:r>
              <w:rPr>
                <w:rFonts w:hint="eastAsia" w:hAnsi="宋体"/>
                <w:color w:val="auto"/>
                <w:sz w:val="24"/>
              </w:rPr>
              <w:t>达到《合成树脂工业污染物排放标准》(GB 31572-2015)表4规定的大气污染物排放标准限值和表9企业边界大气污染物浓度限值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40" w:hRule="atLeast"/>
          <w:jc w:val="center"/>
        </w:trPr>
        <w:tc>
          <w:tcPr>
            <w:tcW w:w="675" w:type="dxa"/>
            <w:vAlign w:val="center"/>
          </w:tcPr>
          <w:p>
            <w:pPr>
              <w:jc w:val="center"/>
              <w:rPr>
                <w:color w:val="auto"/>
                <w:sz w:val="24"/>
              </w:rPr>
            </w:pPr>
            <w:r>
              <w:rPr>
                <w:rFonts w:hAnsi="宋体"/>
                <w:color w:val="auto"/>
                <w:sz w:val="24"/>
              </w:rPr>
              <w:t>水</w:t>
            </w:r>
          </w:p>
          <w:p>
            <w:pPr>
              <w:jc w:val="center"/>
              <w:rPr>
                <w:color w:val="auto"/>
                <w:sz w:val="24"/>
              </w:rPr>
            </w:pPr>
            <w:r>
              <w:rPr>
                <w:rFonts w:hAnsi="宋体"/>
                <w:color w:val="auto"/>
                <w:sz w:val="24"/>
              </w:rPr>
              <w:t>污</w:t>
            </w:r>
          </w:p>
          <w:p>
            <w:pPr>
              <w:jc w:val="center"/>
              <w:rPr>
                <w:color w:val="auto"/>
                <w:sz w:val="24"/>
              </w:rPr>
            </w:pPr>
            <w:r>
              <w:rPr>
                <w:rFonts w:hAnsi="宋体"/>
                <w:color w:val="auto"/>
                <w:sz w:val="24"/>
              </w:rPr>
              <w:t>染</w:t>
            </w:r>
          </w:p>
          <w:p>
            <w:pPr>
              <w:jc w:val="center"/>
              <w:rPr>
                <w:color w:val="auto"/>
                <w:sz w:val="24"/>
              </w:rPr>
            </w:pPr>
            <w:r>
              <w:rPr>
                <w:rFonts w:hAnsi="宋体"/>
                <w:color w:val="auto"/>
                <w:sz w:val="24"/>
              </w:rPr>
              <w:t>物</w:t>
            </w:r>
          </w:p>
        </w:tc>
        <w:tc>
          <w:tcPr>
            <w:tcW w:w="1772" w:type="dxa"/>
            <w:vAlign w:val="center"/>
          </w:tcPr>
          <w:p>
            <w:pPr>
              <w:jc w:val="center"/>
              <w:rPr>
                <w:color w:val="auto"/>
                <w:sz w:val="24"/>
              </w:rPr>
            </w:pPr>
            <w:r>
              <w:rPr>
                <w:rFonts w:hint="eastAsia" w:hAnsi="宋体"/>
                <w:color w:val="auto"/>
                <w:sz w:val="24"/>
                <w:lang w:eastAsia="zh-CN"/>
              </w:rPr>
              <w:t>冷却废水和</w:t>
            </w:r>
            <w:r>
              <w:rPr>
                <w:rFonts w:hAnsi="宋体"/>
                <w:color w:val="auto"/>
                <w:sz w:val="24"/>
              </w:rPr>
              <w:t>生活污水</w:t>
            </w:r>
          </w:p>
        </w:tc>
        <w:tc>
          <w:tcPr>
            <w:tcW w:w="1912" w:type="dxa"/>
            <w:vAlign w:val="center"/>
          </w:tcPr>
          <w:p>
            <w:pPr>
              <w:pStyle w:val="55"/>
              <w:rPr>
                <w:rFonts w:ascii="Times New Roman" w:hAnsi="Times New Roman"/>
                <w:color w:val="auto"/>
                <w:position w:val="0"/>
                <w:sz w:val="24"/>
                <w:szCs w:val="24"/>
              </w:rPr>
            </w:pPr>
            <w:r>
              <w:rPr>
                <w:rFonts w:ascii="Times New Roman" w:hAnsi="Times New Roman"/>
                <w:color w:val="auto"/>
                <w:position w:val="0"/>
                <w:sz w:val="24"/>
                <w:szCs w:val="24"/>
              </w:rPr>
              <w:t>COD</w:t>
            </w:r>
            <w:r>
              <w:rPr>
                <w:rFonts w:ascii="Times New Roman" w:hAnsi="Times New Roman"/>
                <w:color w:val="auto"/>
                <w:position w:val="0"/>
                <w:sz w:val="24"/>
                <w:szCs w:val="24"/>
                <w:vertAlign w:val="subscript"/>
              </w:rPr>
              <w:t>cr</w:t>
            </w:r>
          </w:p>
          <w:p>
            <w:pPr>
              <w:pStyle w:val="55"/>
              <w:rPr>
                <w:rFonts w:ascii="Times New Roman" w:hAnsi="Times New Roman"/>
                <w:color w:val="auto"/>
                <w:position w:val="0"/>
                <w:sz w:val="24"/>
                <w:szCs w:val="24"/>
              </w:rPr>
            </w:pPr>
            <w:r>
              <w:rPr>
                <w:rFonts w:ascii="Times New Roman" w:hAnsi="Times New Roman"/>
                <w:color w:val="auto"/>
                <w:position w:val="0"/>
                <w:sz w:val="24"/>
                <w:szCs w:val="24"/>
              </w:rPr>
              <w:t>BOD</w:t>
            </w:r>
            <w:r>
              <w:rPr>
                <w:rFonts w:ascii="Times New Roman" w:hAnsi="Times New Roman"/>
                <w:color w:val="auto"/>
                <w:position w:val="0"/>
                <w:sz w:val="24"/>
                <w:szCs w:val="24"/>
                <w:vertAlign w:val="subscript"/>
              </w:rPr>
              <w:t>5</w:t>
            </w:r>
          </w:p>
          <w:p>
            <w:pPr>
              <w:jc w:val="center"/>
              <w:rPr>
                <w:color w:val="auto"/>
                <w:sz w:val="24"/>
              </w:rPr>
            </w:pPr>
            <w:r>
              <w:rPr>
                <w:color w:val="auto"/>
                <w:sz w:val="24"/>
              </w:rPr>
              <w:t>SS</w:t>
            </w:r>
          </w:p>
          <w:p>
            <w:pPr>
              <w:jc w:val="center"/>
              <w:rPr>
                <w:color w:val="auto"/>
                <w:sz w:val="24"/>
              </w:rPr>
            </w:pPr>
            <w:r>
              <w:rPr>
                <w:color w:val="auto"/>
                <w:sz w:val="24"/>
              </w:rPr>
              <w:t>NH</w:t>
            </w:r>
            <w:r>
              <w:rPr>
                <w:color w:val="auto"/>
                <w:sz w:val="24"/>
                <w:vertAlign w:val="subscript"/>
              </w:rPr>
              <w:t>3</w:t>
            </w:r>
            <w:r>
              <w:rPr>
                <w:color w:val="auto"/>
                <w:sz w:val="24"/>
              </w:rPr>
              <w:t xml:space="preserve">-N </w:t>
            </w:r>
          </w:p>
          <w:p>
            <w:pPr>
              <w:jc w:val="center"/>
              <w:rPr>
                <w:color w:val="auto"/>
                <w:sz w:val="24"/>
              </w:rPr>
            </w:pPr>
          </w:p>
        </w:tc>
        <w:tc>
          <w:tcPr>
            <w:tcW w:w="2758" w:type="dxa"/>
            <w:vAlign w:val="center"/>
          </w:tcPr>
          <w:p>
            <w:pPr>
              <w:jc w:val="center"/>
              <w:rPr>
                <w:color w:val="auto"/>
                <w:sz w:val="24"/>
              </w:rPr>
            </w:pPr>
            <w:r>
              <w:rPr>
                <w:rFonts w:hAnsi="宋体"/>
                <w:color w:val="auto"/>
                <w:sz w:val="24"/>
              </w:rPr>
              <w:t>经</w:t>
            </w:r>
            <w:r>
              <w:rPr>
                <w:rFonts w:hint="eastAsia" w:hAnsi="宋体"/>
                <w:color w:val="auto"/>
                <w:sz w:val="24"/>
              </w:rPr>
              <w:t>三级化粪池</w:t>
            </w:r>
            <w:r>
              <w:rPr>
                <w:rFonts w:hAnsi="宋体"/>
                <w:color w:val="auto"/>
                <w:sz w:val="24"/>
              </w:rPr>
              <w:t>处理后排放到市政</w:t>
            </w:r>
            <w:r>
              <w:rPr>
                <w:rFonts w:hint="eastAsia" w:hAnsi="宋体"/>
                <w:color w:val="auto"/>
                <w:sz w:val="24"/>
              </w:rPr>
              <w:t>污水</w:t>
            </w:r>
            <w:r>
              <w:rPr>
                <w:rFonts w:hAnsi="宋体"/>
                <w:color w:val="auto"/>
                <w:spacing w:val="15"/>
                <w:sz w:val="24"/>
              </w:rPr>
              <w:t>管网</w:t>
            </w:r>
            <w:r>
              <w:rPr>
                <w:rFonts w:hAnsi="宋体"/>
                <w:color w:val="auto"/>
                <w:sz w:val="24"/>
              </w:rPr>
              <w:t>，引至</w:t>
            </w:r>
            <w:r>
              <w:rPr>
                <w:rFonts w:hint="eastAsia" w:hAnsi="宋体"/>
                <w:color w:val="auto"/>
                <w:sz w:val="24"/>
              </w:rPr>
              <w:t>开平市水口污水处理厂</w:t>
            </w:r>
          </w:p>
        </w:tc>
        <w:tc>
          <w:tcPr>
            <w:tcW w:w="3070" w:type="dxa"/>
            <w:vAlign w:val="center"/>
          </w:tcPr>
          <w:p>
            <w:pPr>
              <w:jc w:val="center"/>
              <w:rPr>
                <w:color w:val="auto"/>
                <w:sz w:val="24"/>
              </w:rPr>
            </w:pPr>
            <w:r>
              <w:rPr>
                <w:rFonts w:hAnsi="宋体"/>
                <w:color w:val="auto"/>
                <w:sz w:val="24"/>
              </w:rPr>
              <w:t>达到</w:t>
            </w:r>
            <w:r>
              <w:rPr>
                <w:rFonts w:hint="eastAsia"/>
                <w:color w:val="auto"/>
                <w:sz w:val="24"/>
              </w:rPr>
              <w:t>广东省地方标准《水污染物排放限值》</w:t>
            </w:r>
            <w:r>
              <w:rPr>
                <w:color w:val="auto"/>
                <w:sz w:val="24"/>
              </w:rPr>
              <w:t>（DB44/26-2001）第二时段三级标准</w:t>
            </w:r>
            <w:r>
              <w:rPr>
                <w:rFonts w:hint="eastAsia"/>
                <w:color w:val="auto"/>
                <w:sz w:val="24"/>
              </w:rPr>
              <w:t>和《污水排入城镇下水道水质标准》（CJ343-2010）较严者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atLeast"/>
          <w:jc w:val="center"/>
        </w:trPr>
        <w:tc>
          <w:tcPr>
            <w:tcW w:w="675" w:type="dxa"/>
            <w:vMerge w:val="restart"/>
            <w:vAlign w:val="center"/>
          </w:tcPr>
          <w:p>
            <w:pPr>
              <w:jc w:val="center"/>
              <w:rPr>
                <w:color w:val="auto"/>
                <w:sz w:val="24"/>
              </w:rPr>
            </w:pPr>
            <w:r>
              <w:rPr>
                <w:rFonts w:hAnsi="宋体"/>
                <w:color w:val="auto"/>
                <w:sz w:val="24"/>
              </w:rPr>
              <w:t>固</w:t>
            </w:r>
          </w:p>
          <w:p>
            <w:pPr>
              <w:jc w:val="center"/>
              <w:rPr>
                <w:color w:val="auto"/>
                <w:sz w:val="24"/>
              </w:rPr>
            </w:pPr>
            <w:r>
              <w:rPr>
                <w:rFonts w:hAnsi="宋体"/>
                <w:color w:val="auto"/>
                <w:sz w:val="24"/>
              </w:rPr>
              <w:t>体</w:t>
            </w:r>
          </w:p>
          <w:p>
            <w:pPr>
              <w:jc w:val="center"/>
              <w:rPr>
                <w:color w:val="auto"/>
                <w:sz w:val="24"/>
              </w:rPr>
            </w:pPr>
            <w:r>
              <w:rPr>
                <w:rFonts w:hAnsi="宋体"/>
                <w:color w:val="auto"/>
                <w:sz w:val="24"/>
              </w:rPr>
              <w:t>废</w:t>
            </w:r>
          </w:p>
          <w:p>
            <w:pPr>
              <w:jc w:val="center"/>
              <w:rPr>
                <w:color w:val="auto"/>
                <w:sz w:val="24"/>
              </w:rPr>
            </w:pPr>
            <w:r>
              <w:rPr>
                <w:rFonts w:hAnsi="宋体"/>
                <w:color w:val="auto"/>
                <w:sz w:val="24"/>
              </w:rPr>
              <w:t>物</w:t>
            </w:r>
          </w:p>
        </w:tc>
        <w:tc>
          <w:tcPr>
            <w:tcW w:w="1772" w:type="dxa"/>
            <w:vAlign w:val="center"/>
          </w:tcPr>
          <w:p>
            <w:pPr>
              <w:pStyle w:val="55"/>
              <w:rPr>
                <w:rFonts w:ascii="Times New Roman" w:hAnsi="Times New Roman"/>
                <w:color w:val="auto"/>
                <w:position w:val="0"/>
                <w:sz w:val="24"/>
                <w:szCs w:val="24"/>
              </w:rPr>
            </w:pPr>
            <w:r>
              <w:rPr>
                <w:rFonts w:ascii="Times New Roman" w:hAnsi="宋体"/>
                <w:color w:val="auto"/>
                <w:position w:val="0"/>
                <w:sz w:val="24"/>
                <w:szCs w:val="24"/>
              </w:rPr>
              <w:t>生活垃圾</w:t>
            </w:r>
          </w:p>
        </w:tc>
        <w:tc>
          <w:tcPr>
            <w:tcW w:w="1912" w:type="dxa"/>
            <w:vAlign w:val="center"/>
          </w:tcPr>
          <w:p>
            <w:pPr>
              <w:pStyle w:val="55"/>
              <w:rPr>
                <w:rFonts w:ascii="Times New Roman" w:hAnsi="Times New Roman"/>
                <w:color w:val="auto"/>
                <w:position w:val="0"/>
                <w:sz w:val="24"/>
                <w:szCs w:val="24"/>
              </w:rPr>
            </w:pPr>
            <w:r>
              <w:rPr>
                <w:rFonts w:ascii="Times New Roman" w:hAnsi="宋体"/>
                <w:color w:val="auto"/>
                <w:position w:val="0"/>
                <w:sz w:val="24"/>
                <w:szCs w:val="24"/>
              </w:rPr>
              <w:t>生活垃圾</w:t>
            </w:r>
          </w:p>
        </w:tc>
        <w:tc>
          <w:tcPr>
            <w:tcW w:w="2758" w:type="dxa"/>
            <w:vAlign w:val="center"/>
          </w:tcPr>
          <w:p>
            <w:pPr>
              <w:jc w:val="center"/>
              <w:rPr>
                <w:color w:val="auto"/>
                <w:sz w:val="24"/>
              </w:rPr>
            </w:pPr>
            <w:r>
              <w:rPr>
                <w:rFonts w:hAnsi="宋体"/>
                <w:color w:val="auto"/>
                <w:sz w:val="24"/>
              </w:rPr>
              <w:t>交环卫部门处理</w:t>
            </w:r>
          </w:p>
        </w:tc>
        <w:tc>
          <w:tcPr>
            <w:tcW w:w="3070" w:type="dxa"/>
            <w:vMerge w:val="restart"/>
            <w:vAlign w:val="center"/>
          </w:tcPr>
          <w:p>
            <w:pPr>
              <w:spacing w:line="216" w:lineRule="auto"/>
              <w:jc w:val="center"/>
              <w:rPr>
                <w:color w:val="auto"/>
                <w:sz w:val="24"/>
              </w:rPr>
            </w:pPr>
            <w:r>
              <w:rPr>
                <w:rFonts w:hAnsi="宋体"/>
                <w:color w:val="auto"/>
                <w:sz w:val="24"/>
              </w:rPr>
              <w:t>符合环保有关要求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6" w:hRule="atLeast"/>
          <w:jc w:val="center"/>
        </w:trPr>
        <w:tc>
          <w:tcPr>
            <w:tcW w:w="675" w:type="dxa"/>
            <w:vMerge w:val="continue"/>
            <w:vAlign w:val="center"/>
          </w:tcPr>
          <w:p>
            <w:pPr>
              <w:jc w:val="center"/>
              <w:rPr>
                <w:color w:val="auto"/>
                <w:sz w:val="24"/>
              </w:rPr>
            </w:pPr>
          </w:p>
        </w:tc>
        <w:tc>
          <w:tcPr>
            <w:tcW w:w="1772" w:type="dxa"/>
            <w:vAlign w:val="center"/>
          </w:tcPr>
          <w:p>
            <w:pPr>
              <w:pStyle w:val="55"/>
              <w:rPr>
                <w:rFonts w:ascii="Times New Roman" w:hAnsi="Times New Roman"/>
                <w:color w:val="auto"/>
                <w:position w:val="0"/>
                <w:sz w:val="24"/>
                <w:szCs w:val="24"/>
              </w:rPr>
            </w:pPr>
            <w:r>
              <w:rPr>
                <w:rFonts w:ascii="Times New Roman" w:hAnsi="宋体"/>
                <w:color w:val="auto"/>
                <w:position w:val="0"/>
                <w:sz w:val="24"/>
                <w:szCs w:val="24"/>
              </w:rPr>
              <w:t>一般固体废物</w:t>
            </w:r>
          </w:p>
        </w:tc>
        <w:tc>
          <w:tcPr>
            <w:tcW w:w="1912" w:type="dxa"/>
            <w:vAlign w:val="center"/>
          </w:tcPr>
          <w:p>
            <w:pPr>
              <w:pStyle w:val="132"/>
              <w:rPr>
                <w:color w:val="auto"/>
                <w:sz w:val="24"/>
              </w:rPr>
            </w:pPr>
            <w:r>
              <w:rPr>
                <w:rFonts w:hint="eastAsia"/>
                <w:color w:val="auto"/>
                <w:spacing w:val="-2"/>
                <w:sz w:val="24"/>
              </w:rPr>
              <w:t>边角料、不合格品、废包装材料</w:t>
            </w:r>
          </w:p>
        </w:tc>
        <w:tc>
          <w:tcPr>
            <w:tcW w:w="2758" w:type="dxa"/>
            <w:vAlign w:val="center"/>
          </w:tcPr>
          <w:p>
            <w:pPr>
              <w:jc w:val="center"/>
              <w:rPr>
                <w:color w:val="auto"/>
                <w:sz w:val="24"/>
              </w:rPr>
            </w:pPr>
            <w:r>
              <w:rPr>
                <w:rFonts w:hAnsi="宋体"/>
                <w:color w:val="auto"/>
                <w:sz w:val="24"/>
              </w:rPr>
              <w:t>交专业公司回收处理</w:t>
            </w:r>
          </w:p>
        </w:tc>
        <w:tc>
          <w:tcPr>
            <w:tcW w:w="3070" w:type="dxa"/>
            <w:vMerge w:val="continue"/>
            <w:vAlign w:val="center"/>
          </w:tcPr>
          <w:p>
            <w:pPr>
              <w:spacing w:line="216" w:lineRule="auto"/>
              <w:jc w:val="center"/>
              <w:rPr>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6" w:hRule="atLeast"/>
          <w:jc w:val="center"/>
        </w:trPr>
        <w:tc>
          <w:tcPr>
            <w:tcW w:w="675" w:type="dxa"/>
            <w:vMerge w:val="continue"/>
            <w:vAlign w:val="center"/>
          </w:tcPr>
          <w:p>
            <w:pPr>
              <w:jc w:val="center"/>
              <w:rPr>
                <w:color w:val="auto"/>
                <w:sz w:val="24"/>
              </w:rPr>
            </w:pPr>
          </w:p>
        </w:tc>
        <w:tc>
          <w:tcPr>
            <w:tcW w:w="1772" w:type="dxa"/>
            <w:vAlign w:val="center"/>
          </w:tcPr>
          <w:p>
            <w:pPr>
              <w:jc w:val="center"/>
              <w:rPr>
                <w:rFonts w:hAnsi="宋体"/>
                <w:color w:val="auto"/>
                <w:sz w:val="24"/>
              </w:rPr>
            </w:pPr>
            <w:r>
              <w:rPr>
                <w:rFonts w:hint="eastAsia"/>
                <w:color w:val="auto"/>
                <w:sz w:val="24"/>
              </w:rPr>
              <w:t>中转物</w:t>
            </w:r>
          </w:p>
        </w:tc>
        <w:tc>
          <w:tcPr>
            <w:tcW w:w="1912" w:type="dxa"/>
            <w:vAlign w:val="center"/>
          </w:tcPr>
          <w:p>
            <w:pPr>
              <w:pStyle w:val="132"/>
              <w:rPr>
                <w:color w:val="auto"/>
                <w:spacing w:val="-2"/>
                <w:sz w:val="24"/>
              </w:rPr>
            </w:pPr>
            <w:r>
              <w:rPr>
                <w:rFonts w:hint="eastAsia"/>
                <w:color w:val="auto"/>
                <w:sz w:val="24"/>
              </w:rPr>
              <w:t>增塑剂包装桶</w:t>
            </w:r>
          </w:p>
        </w:tc>
        <w:tc>
          <w:tcPr>
            <w:tcW w:w="2758" w:type="dxa"/>
            <w:vAlign w:val="center"/>
          </w:tcPr>
          <w:p>
            <w:pPr>
              <w:jc w:val="center"/>
              <w:rPr>
                <w:rFonts w:hAnsi="宋体"/>
                <w:color w:val="auto"/>
                <w:sz w:val="24"/>
              </w:rPr>
            </w:pPr>
            <w:r>
              <w:rPr>
                <w:rFonts w:hint="eastAsia"/>
                <w:color w:val="auto"/>
                <w:sz w:val="24"/>
                <w:szCs w:val="24"/>
              </w:rPr>
              <w:t>交给供应商回用</w:t>
            </w:r>
            <w:r>
              <w:rPr>
                <w:rFonts w:hint="eastAsia"/>
                <w:color w:val="auto"/>
                <w:sz w:val="24"/>
                <w:szCs w:val="24"/>
                <w:lang w:eastAsia="zh-CN"/>
              </w:rPr>
              <w:t>，</w:t>
            </w:r>
            <w:r>
              <w:rPr>
                <w:rFonts w:hint="eastAsia"/>
                <w:color w:val="auto"/>
                <w:sz w:val="24"/>
                <w:szCs w:val="24"/>
              </w:rPr>
              <w:t>若供应商不愿回收，</w:t>
            </w:r>
            <w:r>
              <w:rPr>
                <w:rFonts w:hint="eastAsia"/>
                <w:color w:val="auto"/>
                <w:sz w:val="24"/>
                <w:szCs w:val="24"/>
                <w:lang w:eastAsia="zh-CN"/>
              </w:rPr>
              <w:t>则作为危险废物交给有危险废物处置资质单位处置</w:t>
            </w:r>
          </w:p>
        </w:tc>
        <w:tc>
          <w:tcPr>
            <w:tcW w:w="3070" w:type="dxa"/>
            <w:vMerge w:val="continue"/>
            <w:vAlign w:val="center"/>
          </w:tcPr>
          <w:p>
            <w:pPr>
              <w:spacing w:line="216" w:lineRule="auto"/>
              <w:jc w:val="center"/>
              <w:rPr>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1" w:hRule="atLeast"/>
          <w:jc w:val="center"/>
        </w:trPr>
        <w:tc>
          <w:tcPr>
            <w:tcW w:w="675" w:type="dxa"/>
            <w:vMerge w:val="continue"/>
            <w:vAlign w:val="center"/>
          </w:tcPr>
          <w:p>
            <w:pPr>
              <w:jc w:val="center"/>
              <w:rPr>
                <w:color w:val="auto"/>
                <w:sz w:val="24"/>
              </w:rPr>
            </w:pPr>
          </w:p>
        </w:tc>
        <w:tc>
          <w:tcPr>
            <w:tcW w:w="1772" w:type="dxa"/>
            <w:vAlign w:val="center"/>
          </w:tcPr>
          <w:p>
            <w:pPr>
              <w:pStyle w:val="55"/>
              <w:rPr>
                <w:rFonts w:ascii="Times New Roman" w:hAnsi="宋体"/>
                <w:color w:val="auto"/>
                <w:position w:val="0"/>
                <w:sz w:val="24"/>
                <w:szCs w:val="24"/>
              </w:rPr>
            </w:pPr>
            <w:r>
              <w:rPr>
                <w:rFonts w:ascii="Times New Roman" w:hAnsi="Times New Roman"/>
                <w:color w:val="auto"/>
                <w:position w:val="0"/>
                <w:sz w:val="24"/>
                <w:szCs w:val="24"/>
              </w:rPr>
              <w:t>危险废物</w:t>
            </w:r>
          </w:p>
        </w:tc>
        <w:tc>
          <w:tcPr>
            <w:tcW w:w="1912" w:type="dxa"/>
            <w:vAlign w:val="center"/>
          </w:tcPr>
          <w:p>
            <w:pPr>
              <w:pStyle w:val="55"/>
              <w:rPr>
                <w:color w:val="auto"/>
                <w:sz w:val="24"/>
              </w:rPr>
            </w:pPr>
            <w:r>
              <w:rPr>
                <w:rFonts w:hint="eastAsia" w:ascii="Times New Roman" w:hAnsi="Times New Roman"/>
                <w:color w:val="auto"/>
                <w:position w:val="0"/>
                <w:sz w:val="24"/>
                <w:szCs w:val="24"/>
              </w:rPr>
              <w:t>废UV灯管、废活性炭</w:t>
            </w:r>
          </w:p>
        </w:tc>
        <w:tc>
          <w:tcPr>
            <w:tcW w:w="2758" w:type="dxa"/>
            <w:vAlign w:val="center"/>
          </w:tcPr>
          <w:p>
            <w:pPr>
              <w:pStyle w:val="55"/>
              <w:rPr>
                <w:rFonts w:hAnsi="宋体"/>
                <w:color w:val="auto"/>
                <w:sz w:val="24"/>
              </w:rPr>
            </w:pPr>
            <w:r>
              <w:rPr>
                <w:rFonts w:ascii="Times New Roman" w:hAnsi="Times New Roman"/>
                <w:color w:val="auto"/>
                <w:sz w:val="24"/>
              </w:rPr>
              <w:t>交给有危险废物处置资质单位处置</w:t>
            </w:r>
          </w:p>
        </w:tc>
        <w:tc>
          <w:tcPr>
            <w:tcW w:w="3070" w:type="dxa"/>
            <w:vMerge w:val="continue"/>
            <w:vAlign w:val="center"/>
          </w:tcPr>
          <w:p>
            <w:pPr>
              <w:spacing w:line="216" w:lineRule="auto"/>
              <w:jc w:val="center"/>
              <w:rPr>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8" w:hRule="atLeast"/>
          <w:jc w:val="center"/>
        </w:trPr>
        <w:tc>
          <w:tcPr>
            <w:tcW w:w="675" w:type="dxa"/>
            <w:vAlign w:val="center"/>
          </w:tcPr>
          <w:p>
            <w:pPr>
              <w:spacing w:line="288" w:lineRule="auto"/>
              <w:jc w:val="center"/>
              <w:rPr>
                <w:color w:val="auto"/>
                <w:sz w:val="24"/>
              </w:rPr>
            </w:pPr>
            <w:r>
              <w:rPr>
                <w:rFonts w:hAnsi="宋体"/>
                <w:color w:val="auto"/>
                <w:sz w:val="24"/>
              </w:rPr>
              <w:t>噪</w:t>
            </w:r>
          </w:p>
          <w:p>
            <w:pPr>
              <w:spacing w:line="288" w:lineRule="auto"/>
              <w:jc w:val="center"/>
              <w:rPr>
                <w:color w:val="auto"/>
                <w:sz w:val="24"/>
              </w:rPr>
            </w:pPr>
            <w:r>
              <w:rPr>
                <w:rFonts w:hAnsi="宋体"/>
                <w:color w:val="auto"/>
                <w:sz w:val="24"/>
              </w:rPr>
              <w:t>声</w:t>
            </w:r>
          </w:p>
        </w:tc>
        <w:tc>
          <w:tcPr>
            <w:tcW w:w="9512" w:type="dxa"/>
            <w:gridSpan w:val="4"/>
            <w:vAlign w:val="center"/>
          </w:tcPr>
          <w:p>
            <w:pPr>
              <w:pStyle w:val="131"/>
              <w:spacing w:line="288" w:lineRule="auto"/>
              <w:ind w:firstLine="0" w:firstLineChars="0"/>
              <w:rPr>
                <w:rFonts w:ascii="Times New Roman" w:hAnsi="Times New Roman" w:cs="Times New Roman"/>
                <w:color w:val="auto"/>
                <w:sz w:val="24"/>
                <w:szCs w:val="24"/>
              </w:rPr>
            </w:pPr>
            <w:r>
              <w:rPr>
                <w:rFonts w:ascii="Times New Roman" w:hAnsi="Times New Roman" w:cs="Times New Roman"/>
                <w:color w:val="auto"/>
                <w:sz w:val="24"/>
                <w:szCs w:val="24"/>
              </w:rPr>
              <w:t>车间各主要工艺设备运行时产生的噪声值约为70~</w:t>
            </w:r>
            <w:r>
              <w:rPr>
                <w:rFonts w:hint="eastAsia" w:ascii="Times New Roman" w:hAnsi="Times New Roman" w:cs="Times New Roman"/>
                <w:color w:val="auto"/>
                <w:sz w:val="24"/>
                <w:szCs w:val="24"/>
              </w:rPr>
              <w:t>90</w:t>
            </w:r>
            <w:r>
              <w:rPr>
                <w:rFonts w:ascii="Times New Roman" w:hAnsi="Times New Roman" w:cs="Times New Roman"/>
                <w:color w:val="auto"/>
                <w:sz w:val="24"/>
                <w:szCs w:val="24"/>
              </w:rPr>
              <w:t xml:space="preserve">dB(A)；通过适当的隔声、减震、吸声并设置单独隔声间等降噪措施，使得噪声的排放达到《工业企业厂界环境噪声排放标准》(GB12348-2008) </w:t>
            </w:r>
            <w:r>
              <w:rPr>
                <w:rFonts w:hint="eastAsia" w:ascii="Times New Roman" w:hAnsi="Times New Roman" w:cs="Times New Roman"/>
                <w:color w:val="auto"/>
                <w:sz w:val="24"/>
                <w:szCs w:val="24"/>
              </w:rPr>
              <w:t>2类和4类</w:t>
            </w:r>
            <w:r>
              <w:rPr>
                <w:rFonts w:ascii="Times New Roman" w:hAnsi="Times New Roman" w:cs="Times New Roman"/>
                <w:color w:val="auto"/>
                <w:sz w:val="24"/>
                <w:szCs w:val="24"/>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6" w:hRule="atLeast"/>
          <w:jc w:val="center"/>
        </w:trPr>
        <w:tc>
          <w:tcPr>
            <w:tcW w:w="10187" w:type="dxa"/>
            <w:gridSpan w:val="5"/>
          </w:tcPr>
          <w:p>
            <w:pPr>
              <w:spacing w:line="360" w:lineRule="auto"/>
              <w:rPr>
                <w:b/>
                <w:bCs/>
                <w:color w:val="auto"/>
                <w:sz w:val="24"/>
              </w:rPr>
            </w:pPr>
            <w:r>
              <w:rPr>
                <w:rFonts w:hAnsi="宋体"/>
                <w:b/>
                <w:bCs/>
                <w:color w:val="auto"/>
                <w:sz w:val="24"/>
              </w:rPr>
              <w:t>生态保护措施及预期效果</w:t>
            </w:r>
          </w:p>
          <w:p>
            <w:pPr>
              <w:spacing w:line="360" w:lineRule="auto"/>
              <w:ind w:firstLine="480" w:firstLineChars="200"/>
              <w:rPr>
                <w:color w:val="auto"/>
              </w:rPr>
            </w:pPr>
            <w:r>
              <w:rPr>
                <w:rFonts w:hAnsi="宋体"/>
                <w:color w:val="auto"/>
                <w:sz w:val="24"/>
              </w:rPr>
              <w:t>本项目无施工工程及土地开发等方面，不直接对生态环境存在不利影响。项目建设在落实上述措施对各种污染物进行有效的治理，防治厂区内环境的污染，可降低其对周围生态环境的影响，并搞好周围的绿化、美化，以减少对附近区域生态环境的影响。</w:t>
            </w:r>
          </w:p>
          <w:p>
            <w:pPr>
              <w:spacing w:line="288" w:lineRule="auto"/>
              <w:ind w:firstLine="480" w:firstLineChars="200"/>
              <w:rPr>
                <w:color w:val="auto"/>
                <w:sz w:val="24"/>
              </w:rPr>
            </w:pPr>
          </w:p>
        </w:tc>
      </w:tr>
    </w:tbl>
    <w:p>
      <w:pPr>
        <w:pStyle w:val="42"/>
        <w:jc w:val="left"/>
        <w:rPr>
          <w:rFonts w:ascii="Times New Roman" w:hAnsi="Times New Roman"/>
          <w:color w:val="auto"/>
        </w:rPr>
      </w:pPr>
      <w:r>
        <w:rPr>
          <w:rFonts w:hint="eastAsia" w:ascii="Times New Roman" w:hAnsi="Times New Roman"/>
          <w:color w:val="auto"/>
        </w:rPr>
        <w:t>结论与建议</w:t>
      </w:r>
    </w:p>
    <w:tbl>
      <w:tblPr>
        <w:tblStyle w:val="44"/>
        <w:tblW w:w="9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06" w:hRule="atLeast"/>
        </w:trPr>
        <w:tc>
          <w:tcPr>
            <w:tcW w:w="9571" w:type="dxa"/>
          </w:tcPr>
          <w:p>
            <w:pPr>
              <w:pageBreakBefore w:val="0"/>
              <w:widowControl w:val="0"/>
              <w:kinsoku/>
              <w:wordWrap/>
              <w:overflowPunct/>
              <w:topLinePunct w:val="0"/>
              <w:bidi w:val="0"/>
              <w:adjustRightInd w:val="0"/>
              <w:snapToGrid w:val="0"/>
              <w:spacing w:line="360" w:lineRule="auto"/>
              <w:ind w:firstLine="431"/>
              <w:rPr>
                <w:b/>
                <w:bCs/>
                <w:color w:val="auto"/>
                <w:sz w:val="24"/>
              </w:rPr>
            </w:pPr>
            <w:r>
              <w:rPr>
                <w:rFonts w:hint="eastAsia"/>
                <w:b/>
                <w:bCs/>
                <w:color w:val="auto"/>
                <w:sz w:val="24"/>
              </w:rPr>
              <w:t>一、项目概况</w:t>
            </w:r>
          </w:p>
          <w:p>
            <w:pPr>
              <w:pageBreakBefore w:val="0"/>
              <w:widowControl w:val="0"/>
              <w:kinsoku/>
              <w:wordWrap/>
              <w:overflowPunct/>
              <w:topLinePunct w:val="0"/>
              <w:bidi w:val="0"/>
              <w:spacing w:line="360" w:lineRule="auto"/>
              <w:ind w:left="-44" w:leftChars="-21" w:firstLine="511" w:firstLineChars="213"/>
              <w:rPr>
                <w:color w:val="auto"/>
                <w:sz w:val="24"/>
              </w:rPr>
            </w:pPr>
            <w:r>
              <w:rPr>
                <w:rFonts w:hint="eastAsia"/>
                <w:color w:val="auto"/>
                <w:sz w:val="24"/>
                <w:lang w:eastAsia="zh-CN"/>
              </w:rPr>
              <w:t>开平市合丰管业科技有限公司年生产加工高压软管500吨建设项目</w:t>
            </w:r>
            <w:r>
              <w:rPr>
                <w:color w:val="auto"/>
                <w:sz w:val="24"/>
              </w:rPr>
              <w:t>位于</w:t>
            </w:r>
            <w:r>
              <w:rPr>
                <w:rFonts w:hint="eastAsia"/>
                <w:bCs/>
                <w:color w:val="auto"/>
                <w:sz w:val="24"/>
              </w:rPr>
              <w:t>开平市水口镇太和路12号后座之6</w:t>
            </w:r>
            <w:r>
              <w:rPr>
                <w:bCs/>
                <w:color w:val="auto"/>
                <w:sz w:val="24"/>
              </w:rPr>
              <w:t>（项目所在地中心卫星坐标：北纬</w:t>
            </w:r>
            <w:r>
              <w:rPr>
                <w:rFonts w:hint="eastAsia"/>
                <w:bCs/>
                <w:color w:val="auto"/>
                <w:sz w:val="24"/>
              </w:rPr>
              <w:t>22°26'43.99"</w:t>
            </w:r>
            <w:r>
              <w:rPr>
                <w:bCs/>
                <w:color w:val="auto"/>
                <w:sz w:val="24"/>
              </w:rPr>
              <w:t>，东经</w:t>
            </w:r>
            <w:r>
              <w:rPr>
                <w:rFonts w:hint="eastAsia"/>
                <w:bCs/>
                <w:color w:val="auto"/>
                <w:sz w:val="24"/>
              </w:rPr>
              <w:t>112°46'48.03"）</w:t>
            </w:r>
            <w:r>
              <w:rPr>
                <w:rFonts w:hint="eastAsia"/>
                <w:bCs/>
                <w:color w:val="auto"/>
                <w:sz w:val="24"/>
                <w:lang w:eastAsia="zh-CN"/>
              </w:rPr>
              <w:t>，</w:t>
            </w:r>
            <w:r>
              <w:rPr>
                <w:rFonts w:hint="eastAsia" w:hAnsi="宋体"/>
                <w:bCs/>
                <w:color w:val="auto"/>
                <w:sz w:val="24"/>
              </w:rPr>
              <w:t>所在厂区东南面为福斯特卫浴厂，西南面为信越橡胶厂，西北面为商铺，东北面为星洋塑料厂。</w:t>
            </w:r>
            <w:r>
              <w:rPr>
                <w:rFonts w:hint="eastAsia"/>
                <w:bCs/>
                <w:color w:val="auto"/>
                <w:sz w:val="24"/>
              </w:rPr>
              <w:t>项目总投资50万元，占地面积1000平方米，建筑</w:t>
            </w:r>
            <w:r>
              <w:rPr>
                <w:bCs/>
                <w:color w:val="auto"/>
                <w:sz w:val="24"/>
              </w:rPr>
              <w:t>面积</w:t>
            </w:r>
            <w:r>
              <w:rPr>
                <w:rFonts w:hint="eastAsia"/>
                <w:bCs/>
                <w:color w:val="auto"/>
                <w:sz w:val="24"/>
              </w:rPr>
              <w:t>1000平方米，主要从事高压软管的加工生产，年产量为</w:t>
            </w:r>
            <w:r>
              <w:rPr>
                <w:rFonts w:hint="eastAsia"/>
                <w:color w:val="auto"/>
                <w:sz w:val="24"/>
              </w:rPr>
              <w:t>500吨。</w:t>
            </w:r>
          </w:p>
          <w:p>
            <w:pPr>
              <w:pageBreakBefore w:val="0"/>
              <w:widowControl w:val="0"/>
              <w:kinsoku/>
              <w:wordWrap/>
              <w:overflowPunct/>
              <w:topLinePunct w:val="0"/>
              <w:bidi w:val="0"/>
              <w:adjustRightInd w:val="0"/>
              <w:snapToGrid w:val="0"/>
              <w:spacing w:line="360" w:lineRule="auto"/>
              <w:ind w:firstLine="431"/>
              <w:rPr>
                <w:b/>
                <w:bCs/>
                <w:color w:val="auto"/>
                <w:sz w:val="24"/>
              </w:rPr>
            </w:pPr>
            <w:r>
              <w:rPr>
                <w:b/>
                <w:bCs/>
                <w:color w:val="auto"/>
                <w:sz w:val="24"/>
              </w:rPr>
              <w:t>二、环境质量现状</w:t>
            </w:r>
          </w:p>
          <w:p>
            <w:pPr>
              <w:pStyle w:val="15"/>
              <w:spacing w:before="0" w:after="0" w:line="360" w:lineRule="auto"/>
              <w:ind w:firstLine="470" w:firstLineChars="196"/>
              <w:rPr>
                <w:rFonts w:hint="eastAsia" w:eastAsiaTheme="minorEastAsia"/>
                <w:bCs/>
                <w:color w:val="auto"/>
                <w:sz w:val="24"/>
              </w:rPr>
            </w:pPr>
            <w:r>
              <w:rPr>
                <w:rFonts w:hint="eastAsia" w:ascii="Times New Roman" w:hAnsi="Times New Roman" w:cs="Times New Roman" w:eastAsiaTheme="minorEastAsia"/>
                <w:b w:val="0"/>
                <w:bCs/>
                <w:color w:val="auto"/>
                <w:sz w:val="24"/>
                <w:lang w:eastAsia="zh-CN"/>
              </w:rPr>
              <w:t>（</w:t>
            </w:r>
            <w:r>
              <w:rPr>
                <w:rFonts w:hint="eastAsia" w:ascii="Times New Roman" w:hAnsi="Times New Roman" w:cs="Times New Roman" w:eastAsiaTheme="minorEastAsia"/>
                <w:b w:val="0"/>
                <w:bCs/>
                <w:color w:val="auto"/>
                <w:sz w:val="24"/>
                <w:lang w:val="en-US" w:eastAsia="zh-CN"/>
              </w:rPr>
              <w:t>1</w:t>
            </w:r>
            <w:r>
              <w:rPr>
                <w:rFonts w:hint="eastAsia" w:ascii="Times New Roman" w:hAnsi="Times New Roman" w:cs="Times New Roman" w:eastAsiaTheme="minorEastAsia"/>
                <w:b w:val="0"/>
                <w:bCs/>
                <w:color w:val="auto"/>
                <w:sz w:val="24"/>
                <w:lang w:eastAsia="zh-CN"/>
              </w:rPr>
              <w:t>）</w:t>
            </w:r>
            <w:r>
              <w:rPr>
                <w:rFonts w:ascii="Times New Roman" w:hAnsi="Times New Roman" w:eastAsiaTheme="minorEastAsia"/>
                <w:b w:val="0"/>
                <w:bCs/>
                <w:color w:val="auto"/>
                <w:szCs w:val="24"/>
              </w:rPr>
              <w:t>本项目所在区域为环境空气质量不达标区域；SO</w:t>
            </w:r>
            <w:r>
              <w:rPr>
                <w:rFonts w:ascii="Times New Roman" w:hAnsi="Times New Roman" w:eastAsiaTheme="minorEastAsia"/>
                <w:b w:val="0"/>
                <w:bCs/>
                <w:color w:val="auto"/>
                <w:szCs w:val="24"/>
                <w:vertAlign w:val="subscript"/>
              </w:rPr>
              <w:t>2</w:t>
            </w:r>
            <w:r>
              <w:rPr>
                <w:rFonts w:ascii="Times New Roman" w:hAnsi="Times New Roman" w:eastAsiaTheme="minorEastAsia"/>
                <w:b w:val="0"/>
                <w:bCs/>
                <w:color w:val="auto"/>
                <w:szCs w:val="24"/>
              </w:rPr>
              <w:t>、NO</w:t>
            </w:r>
            <w:r>
              <w:rPr>
                <w:rFonts w:ascii="Times New Roman" w:hAnsi="Times New Roman" w:eastAsiaTheme="minorEastAsia"/>
                <w:b w:val="0"/>
                <w:bCs/>
                <w:color w:val="auto"/>
                <w:szCs w:val="24"/>
                <w:vertAlign w:val="subscript"/>
              </w:rPr>
              <w:t>2</w:t>
            </w:r>
            <w:r>
              <w:rPr>
                <w:rFonts w:ascii="Times New Roman" w:hAnsi="Times New Roman" w:eastAsiaTheme="minorEastAsia"/>
                <w:b w:val="0"/>
                <w:bCs/>
                <w:color w:val="auto"/>
                <w:szCs w:val="24"/>
              </w:rPr>
              <w:t>、PM</w:t>
            </w:r>
            <w:r>
              <w:rPr>
                <w:rFonts w:ascii="Times New Roman" w:hAnsi="Times New Roman" w:eastAsiaTheme="minorEastAsia"/>
                <w:b w:val="0"/>
                <w:bCs/>
                <w:color w:val="auto"/>
                <w:szCs w:val="24"/>
                <w:vertAlign w:val="subscript"/>
              </w:rPr>
              <w:t>10</w:t>
            </w:r>
            <w:r>
              <w:rPr>
                <w:rFonts w:ascii="Times New Roman" w:hAnsi="Times New Roman" w:eastAsiaTheme="minorEastAsia"/>
                <w:b w:val="0"/>
                <w:bCs/>
                <w:color w:val="auto"/>
                <w:szCs w:val="24"/>
              </w:rPr>
              <w:t>、PM</w:t>
            </w:r>
            <w:r>
              <w:rPr>
                <w:rFonts w:ascii="Times New Roman" w:hAnsi="Times New Roman" w:eastAsiaTheme="minorEastAsia"/>
                <w:b w:val="0"/>
                <w:bCs/>
                <w:color w:val="auto"/>
                <w:szCs w:val="24"/>
                <w:vertAlign w:val="subscript"/>
              </w:rPr>
              <w:t>2.5</w:t>
            </w:r>
            <w:r>
              <w:rPr>
                <w:rFonts w:ascii="Times New Roman" w:hAnsi="Times New Roman" w:eastAsiaTheme="minorEastAsia"/>
                <w:b w:val="0"/>
                <w:bCs/>
                <w:color w:val="auto"/>
                <w:szCs w:val="24"/>
              </w:rPr>
              <w:t>年平均质量浓度以及CO日均值第95百分位数浓度均满足《环境空气质量标准》（GB3095-2012）及”2018修改单”二级标准要求，O</w:t>
            </w:r>
            <w:r>
              <w:rPr>
                <w:rFonts w:ascii="Times New Roman" w:hAnsi="Times New Roman" w:eastAsiaTheme="minorEastAsia"/>
                <w:b w:val="0"/>
                <w:bCs/>
                <w:color w:val="auto"/>
                <w:szCs w:val="24"/>
                <w:vertAlign w:val="subscript"/>
              </w:rPr>
              <w:t>3</w:t>
            </w:r>
            <w:r>
              <w:rPr>
                <w:rFonts w:ascii="Times New Roman" w:hAnsi="Times New Roman" w:eastAsiaTheme="minorEastAsia"/>
                <w:b w:val="0"/>
                <w:bCs/>
                <w:color w:val="auto"/>
                <w:szCs w:val="24"/>
              </w:rPr>
              <w:t>日最大8小时平均第90百分位数不能满足《环境空气质量标准》（GB3095-2012）及”2018修改单”二级标准要求</w:t>
            </w:r>
            <w:r>
              <w:rPr>
                <w:rFonts w:hint="eastAsia" w:ascii="Times New Roman" w:hAnsi="Times New Roman" w:eastAsiaTheme="minorEastAsia"/>
                <w:b w:val="0"/>
                <w:bCs/>
                <w:color w:val="auto"/>
                <w:szCs w:val="24"/>
              </w:rPr>
              <w:t>；非甲烷总烃满足《大气污染物综合排放标准详解》中解释标准</w:t>
            </w:r>
            <w:r>
              <w:rPr>
                <w:rFonts w:hint="eastAsia" w:ascii="Times New Roman" w:hAnsi="Times New Roman" w:eastAsiaTheme="minorEastAsia"/>
                <w:b w:val="0"/>
                <w:bCs/>
                <w:color w:val="auto"/>
                <w:szCs w:val="24"/>
                <w:lang w:eastAsia="zh-CN"/>
              </w:rPr>
              <w:t>；TSP满足《环境空气质量标准》（GB3095-2012）及”2018修改单”二级标准要求</w:t>
            </w:r>
            <w:r>
              <w:rPr>
                <w:rFonts w:hint="eastAsia" w:ascii="Times New Roman" w:hAnsi="Times New Roman" w:eastAsiaTheme="minorEastAsia"/>
                <w:b w:val="0"/>
                <w:bCs/>
                <w:color w:val="auto"/>
                <w:szCs w:val="24"/>
              </w:rPr>
              <w:t>。说明项目所在地环境质量现状一般。</w:t>
            </w:r>
          </w:p>
          <w:p>
            <w:pPr>
              <w:pStyle w:val="15"/>
              <w:pageBreakBefore w:val="0"/>
              <w:widowControl w:val="0"/>
              <w:kinsoku/>
              <w:wordWrap/>
              <w:overflowPunct/>
              <w:topLinePunct w:val="0"/>
              <w:bidi w:val="0"/>
              <w:spacing w:before="0" w:after="0" w:line="360" w:lineRule="auto"/>
              <w:ind w:firstLine="470" w:firstLineChars="196"/>
              <w:rPr>
                <w:rFonts w:hint="default" w:ascii="Times New Roman" w:hAnsi="Times New Roman" w:cs="Times New Roman" w:eastAsiaTheme="minorEastAsia"/>
                <w:b w:val="0"/>
                <w:bCs/>
                <w:color w:val="auto"/>
                <w:sz w:val="24"/>
                <w:highlight w:val="none"/>
              </w:rPr>
            </w:pPr>
            <w:r>
              <w:rPr>
                <w:rFonts w:hint="default" w:ascii="Times New Roman" w:hAnsi="Times New Roman" w:cs="Times New Roman" w:eastAsiaTheme="minorEastAsia"/>
                <w:b w:val="0"/>
                <w:bCs/>
                <w:color w:val="auto"/>
                <w:sz w:val="24"/>
                <w:highlight w:val="none"/>
              </w:rPr>
              <w:t>为改善环境质量，江门市已印发《江门市环境空气质量限期达标规划（2018-2020年）》，通过调整产业结构、优化工业布局；优化能源结构，提高清洁能源使用率；强化环境监管，加大工业园减排力度；调整运输结构，强化移动原污染防治；加强精细化管理，深化面源污染治理；强化能力建设，提高环境管理水平；健全法律法规体系，完善 环境管理政策等大气污染防治强化措施，实行区域内2020年环境空气质量全面达标，环境空气质量指标能稳定达到《环境空气质量标准》（GB3095-2012）及”2018修改单”二级标准要求。</w:t>
            </w:r>
          </w:p>
          <w:p>
            <w:pPr>
              <w:pStyle w:val="15"/>
              <w:pageBreakBefore w:val="0"/>
              <w:widowControl w:val="0"/>
              <w:numPr>
                <w:ilvl w:val="0"/>
                <w:numId w:val="0"/>
              </w:numPr>
              <w:kinsoku/>
              <w:wordWrap/>
              <w:overflowPunct/>
              <w:topLinePunct w:val="0"/>
              <w:bidi w:val="0"/>
              <w:spacing w:before="0" w:after="0" w:line="360" w:lineRule="auto"/>
              <w:ind w:firstLine="480" w:firstLineChars="200"/>
              <w:rPr>
                <w:rFonts w:hint="eastAsia" w:ascii="Times New Roman" w:hAnsi="Times New Roman" w:eastAsia="宋体"/>
                <w:b w:val="0"/>
                <w:bCs/>
                <w:color w:val="auto"/>
                <w:szCs w:val="24"/>
                <w:lang w:eastAsia="zh-CN"/>
              </w:rPr>
            </w:pPr>
            <w:r>
              <w:rPr>
                <w:rFonts w:hint="eastAsia" w:ascii="Times New Roman" w:hAnsi="Times New Roman" w:eastAsia="宋体"/>
                <w:b w:val="0"/>
                <w:bCs/>
                <w:color w:val="auto"/>
                <w:szCs w:val="24"/>
                <w:lang w:eastAsia="zh-CN"/>
              </w:rPr>
              <w:t>（</w:t>
            </w:r>
            <w:r>
              <w:rPr>
                <w:rFonts w:hint="eastAsia" w:ascii="Times New Roman" w:hAnsi="Times New Roman" w:eastAsia="宋体"/>
                <w:b w:val="0"/>
                <w:bCs/>
                <w:color w:val="auto"/>
                <w:szCs w:val="24"/>
                <w:lang w:val="en-US" w:eastAsia="zh-CN"/>
              </w:rPr>
              <w:t>2</w:t>
            </w:r>
            <w:r>
              <w:rPr>
                <w:rFonts w:hint="eastAsia" w:ascii="Times New Roman" w:hAnsi="Times New Roman" w:eastAsia="宋体"/>
                <w:b w:val="0"/>
                <w:bCs/>
                <w:color w:val="auto"/>
                <w:szCs w:val="24"/>
                <w:lang w:eastAsia="zh-CN"/>
              </w:rPr>
              <w:t>）</w:t>
            </w:r>
            <w:r>
              <w:rPr>
                <w:rFonts w:ascii="Times New Roman" w:hAnsi="Times New Roman" w:eastAsia="宋体"/>
                <w:b w:val="0"/>
                <w:bCs/>
                <w:color w:val="auto"/>
                <w:szCs w:val="24"/>
              </w:rPr>
              <w:t>监测结果表明，潭江BOD</w:t>
            </w:r>
            <w:r>
              <w:rPr>
                <w:rFonts w:ascii="Times New Roman" w:hAnsi="Times New Roman" w:eastAsia="宋体"/>
                <w:b w:val="0"/>
                <w:bCs/>
                <w:color w:val="auto"/>
                <w:szCs w:val="24"/>
                <w:vertAlign w:val="subscript"/>
              </w:rPr>
              <w:t>5</w:t>
            </w:r>
            <w:r>
              <w:rPr>
                <w:rFonts w:ascii="Times New Roman" w:hAnsi="Times New Roman" w:eastAsia="宋体"/>
                <w:b w:val="0"/>
                <w:bCs/>
                <w:color w:val="auto"/>
                <w:szCs w:val="24"/>
              </w:rPr>
              <w:t>监测指标均超出《地表水环境质量标准》（GB3838-2002）Ⅱ类标准限值要求，说明水环境质量现状一般</w:t>
            </w:r>
            <w:r>
              <w:rPr>
                <w:rFonts w:hint="eastAsia" w:ascii="Times New Roman" w:hAnsi="Times New Roman" w:eastAsia="宋体"/>
                <w:b w:val="0"/>
                <w:bCs/>
                <w:color w:val="auto"/>
                <w:szCs w:val="24"/>
                <w:lang w:eastAsia="zh-CN"/>
              </w:rPr>
              <w:t>，</w:t>
            </w:r>
            <w:r>
              <w:rPr>
                <w:rFonts w:hint="eastAsia" w:ascii="宋体" w:hAnsi="宋体" w:eastAsia="宋体"/>
                <w:b w:val="0"/>
                <w:bCs/>
                <w:color w:val="auto"/>
                <w:sz w:val="24"/>
                <w:highlight w:val="none"/>
              </w:rPr>
              <w:t>故该区域为</w:t>
            </w:r>
            <w:r>
              <w:rPr>
                <w:rFonts w:hint="eastAsia" w:hAnsi="宋体" w:eastAsia="宋体"/>
                <w:b w:val="0"/>
                <w:bCs/>
                <w:color w:val="auto"/>
                <w:sz w:val="24"/>
                <w:highlight w:val="none"/>
                <w:lang w:eastAsia="zh-CN"/>
              </w:rPr>
              <w:t>地表水环境</w:t>
            </w:r>
            <w:r>
              <w:rPr>
                <w:rFonts w:hint="eastAsia" w:ascii="宋体" w:hAnsi="宋体" w:eastAsia="宋体"/>
                <w:b w:val="0"/>
                <w:bCs/>
                <w:color w:val="auto"/>
                <w:sz w:val="24"/>
                <w:highlight w:val="none"/>
              </w:rPr>
              <w:t>质量不达标区域</w:t>
            </w:r>
            <w:r>
              <w:rPr>
                <w:rFonts w:ascii="Times New Roman" w:hAnsi="Times New Roman" w:eastAsia="宋体"/>
                <w:b w:val="0"/>
                <w:bCs/>
                <w:color w:val="auto"/>
                <w:szCs w:val="24"/>
                <w:shd w:val="clear" w:color="auto" w:fill="auto"/>
              </w:rPr>
              <w:t>。</w:t>
            </w:r>
          </w:p>
          <w:p>
            <w:pPr>
              <w:pStyle w:val="15"/>
              <w:pageBreakBefore w:val="0"/>
              <w:widowControl w:val="0"/>
              <w:kinsoku/>
              <w:wordWrap/>
              <w:overflowPunct/>
              <w:topLinePunct w:val="0"/>
              <w:bidi w:val="0"/>
              <w:spacing w:before="0" w:after="0" w:line="360" w:lineRule="auto"/>
              <w:ind w:firstLine="470" w:firstLineChars="196"/>
              <w:rPr>
                <w:rFonts w:hint="eastAsia"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shd w:val="clear" w:color="auto" w:fill="auto"/>
              </w:rPr>
              <w:t>鉴于项目区域水质较差，地方政府一方面应加快城镇生活污水处理厂及其管网的建设，另一方面环保部门需加强工业污染源的监管，确保水质达标：</w:t>
            </w:r>
          </w:p>
          <w:p>
            <w:pPr>
              <w:pStyle w:val="15"/>
              <w:pageBreakBefore w:val="0"/>
              <w:widowControl w:val="0"/>
              <w:numPr>
                <w:ilvl w:val="0"/>
                <w:numId w:val="0"/>
              </w:numPr>
              <w:kinsoku/>
              <w:wordWrap/>
              <w:overflowPunct/>
              <w:topLinePunct w:val="0"/>
              <w:bidi w:val="0"/>
              <w:spacing w:before="0" w:after="0" w:line="360" w:lineRule="auto"/>
              <w:ind w:firstLine="480" w:firstLineChars="200"/>
              <w:rPr>
                <w:rFonts w:hint="eastAsia"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shd w:val="clear" w:color="auto" w:fill="auto"/>
                <w:lang w:eastAsia="zh-CN"/>
              </w:rPr>
              <w:t>①</w:t>
            </w:r>
            <w:r>
              <w:rPr>
                <w:rFonts w:hint="eastAsia" w:ascii="Times New Roman" w:hAnsi="Times New Roman" w:eastAsia="宋体"/>
                <w:b w:val="0"/>
                <w:bCs/>
                <w:color w:val="auto"/>
                <w:szCs w:val="24"/>
                <w:shd w:val="clear" w:color="auto" w:fill="auto"/>
              </w:rPr>
              <w:t>加快片区生活污水处理厂建设进度</w:t>
            </w:r>
            <w:r>
              <w:rPr>
                <w:rFonts w:hint="eastAsia" w:ascii="Times New Roman" w:hAnsi="Times New Roman" w:eastAsia="宋体"/>
                <w:b w:val="0"/>
                <w:bCs/>
                <w:color w:val="auto"/>
                <w:szCs w:val="24"/>
                <w:shd w:val="clear" w:color="auto" w:fill="auto"/>
                <w:lang w:eastAsia="zh-CN"/>
              </w:rPr>
              <w:t>；</w:t>
            </w:r>
            <w:r>
              <w:rPr>
                <w:rFonts w:hint="eastAsia" w:ascii="Times New Roman" w:hAnsi="Times New Roman" w:eastAsia="宋体"/>
                <w:b w:val="0"/>
                <w:bCs/>
                <w:color w:val="auto"/>
                <w:szCs w:val="24"/>
                <w:shd w:val="clear" w:color="auto" w:fill="auto"/>
                <w:lang w:val="en-US" w:eastAsia="zh-CN"/>
              </w:rPr>
              <w:t>②</w:t>
            </w:r>
            <w:r>
              <w:rPr>
                <w:rFonts w:hint="eastAsia" w:ascii="Times New Roman" w:hAnsi="Times New Roman" w:eastAsia="宋体"/>
                <w:b w:val="0"/>
                <w:bCs/>
                <w:color w:val="auto"/>
                <w:szCs w:val="24"/>
                <w:shd w:val="clear" w:color="auto" w:fill="auto"/>
              </w:rPr>
              <w:t>清理河涌淤泥，并妥善处理处置</w:t>
            </w:r>
            <w:r>
              <w:rPr>
                <w:rFonts w:hint="eastAsia" w:ascii="Times New Roman" w:hAnsi="Times New Roman" w:eastAsia="宋体"/>
                <w:b w:val="0"/>
                <w:bCs/>
                <w:color w:val="auto"/>
                <w:szCs w:val="24"/>
                <w:shd w:val="clear" w:color="auto" w:fill="auto"/>
                <w:lang w:eastAsia="zh-CN"/>
              </w:rPr>
              <w:t>；</w:t>
            </w:r>
            <w:r>
              <w:rPr>
                <w:rFonts w:hint="eastAsia" w:ascii="Times New Roman" w:hAnsi="Times New Roman" w:eastAsia="宋体"/>
                <w:b w:val="0"/>
                <w:bCs/>
                <w:color w:val="auto"/>
                <w:szCs w:val="24"/>
                <w:shd w:val="clear" w:color="auto" w:fill="auto"/>
                <w:lang w:val="en-US" w:eastAsia="zh-CN"/>
              </w:rPr>
              <w:t>③</w:t>
            </w:r>
            <w:r>
              <w:rPr>
                <w:rFonts w:hint="eastAsia" w:ascii="Times New Roman" w:hAnsi="Times New Roman" w:eastAsia="宋体"/>
                <w:b w:val="0"/>
                <w:bCs/>
                <w:color w:val="auto"/>
                <w:szCs w:val="24"/>
                <w:shd w:val="clear" w:color="auto" w:fill="auto"/>
              </w:rPr>
              <w:t>促进企业实施清洁生产，尽可能将处理后的废水回用于绿化、冲厕等方面，减少废水的产生和排放</w:t>
            </w:r>
            <w:r>
              <w:rPr>
                <w:rFonts w:hint="eastAsia" w:ascii="Times New Roman" w:hAnsi="Times New Roman" w:eastAsia="宋体"/>
                <w:b w:val="0"/>
                <w:bCs/>
                <w:color w:val="auto"/>
                <w:szCs w:val="24"/>
                <w:shd w:val="clear" w:color="auto" w:fill="auto"/>
                <w:lang w:eastAsia="zh-CN"/>
              </w:rPr>
              <w:t>；④</w:t>
            </w:r>
            <w:r>
              <w:rPr>
                <w:rFonts w:hint="eastAsia" w:ascii="Times New Roman" w:hAnsi="Times New Roman" w:eastAsia="宋体"/>
                <w:b w:val="0"/>
                <w:bCs/>
                <w:color w:val="auto"/>
                <w:szCs w:val="24"/>
                <w:shd w:val="clear" w:color="auto" w:fill="auto"/>
              </w:rPr>
              <w:t>加强</w:t>
            </w:r>
            <w:r>
              <w:rPr>
                <w:rFonts w:hint="eastAsia" w:ascii="Times New Roman" w:hAnsi="Times New Roman" w:eastAsia="宋体"/>
                <w:b w:val="0"/>
                <w:bCs/>
                <w:color w:val="auto"/>
                <w:szCs w:val="24"/>
                <w:shd w:val="clear" w:color="auto" w:fill="auto"/>
                <w:lang w:eastAsia="zh-CN"/>
              </w:rPr>
              <w:t>水口镇</w:t>
            </w:r>
            <w:r>
              <w:rPr>
                <w:rFonts w:hint="eastAsia" w:ascii="Times New Roman" w:hAnsi="Times New Roman" w:eastAsia="宋体"/>
                <w:b w:val="0"/>
                <w:bCs/>
                <w:color w:val="auto"/>
                <w:szCs w:val="24"/>
                <w:shd w:val="clear" w:color="auto" w:fill="auto"/>
              </w:rPr>
              <w:t>工业企业环境管理。</w:t>
            </w:r>
            <w:r>
              <w:rPr>
                <w:rFonts w:hint="eastAsia" w:ascii="Times New Roman" w:hAnsi="Times New Roman" w:eastAsia="宋体"/>
                <w:b w:val="0"/>
                <w:bCs/>
                <w:color w:val="auto"/>
                <w:szCs w:val="24"/>
                <w:shd w:val="clear" w:color="auto" w:fill="auto"/>
                <w:lang w:eastAsia="zh-CN"/>
              </w:rPr>
              <w:t>水口镇</w:t>
            </w:r>
            <w:r>
              <w:rPr>
                <w:rFonts w:hint="eastAsia" w:ascii="Times New Roman" w:hAnsi="Times New Roman" w:eastAsia="宋体"/>
                <w:b w:val="0"/>
                <w:bCs/>
                <w:color w:val="auto"/>
                <w:szCs w:val="24"/>
                <w:shd w:val="clear" w:color="auto" w:fill="auto"/>
              </w:rPr>
              <w:t>排污企业偷排、漏排不达标污水以及超水量排放污水也是造成镇海水污染的主要因素之一，因此，环境监察部门应严查严惩</w:t>
            </w:r>
            <w:r>
              <w:rPr>
                <w:rFonts w:hint="eastAsia" w:ascii="Times New Roman" w:hAnsi="Times New Roman" w:eastAsia="宋体"/>
                <w:b w:val="0"/>
                <w:bCs/>
                <w:color w:val="auto"/>
                <w:szCs w:val="24"/>
                <w:shd w:val="clear" w:color="auto" w:fill="auto"/>
                <w:lang w:eastAsia="zh-CN"/>
              </w:rPr>
              <w:t>水口镇</w:t>
            </w:r>
            <w:r>
              <w:rPr>
                <w:rFonts w:hint="eastAsia" w:ascii="Times New Roman" w:hAnsi="Times New Roman" w:eastAsia="宋体"/>
                <w:b w:val="0"/>
                <w:bCs/>
                <w:color w:val="auto"/>
                <w:szCs w:val="24"/>
                <w:shd w:val="clear" w:color="auto" w:fill="auto"/>
              </w:rPr>
              <w:t>偷排漏排企业，使企业做到达标且不超水量排放。</w:t>
            </w:r>
          </w:p>
          <w:p>
            <w:pPr>
              <w:pageBreakBefore w:val="0"/>
              <w:widowControl w:val="0"/>
              <w:kinsoku/>
              <w:wordWrap/>
              <w:overflowPunct/>
              <w:topLinePunct w:val="0"/>
              <w:bidi w:val="0"/>
              <w:adjustRightInd w:val="0"/>
              <w:snapToGrid w:val="0"/>
              <w:spacing w:line="360" w:lineRule="auto"/>
              <w:ind w:firstLine="480" w:firstLineChars="200"/>
              <w:rPr>
                <w:color w:val="auto"/>
                <w:sz w:val="24"/>
              </w:rPr>
            </w:pPr>
            <w:r>
              <w:rPr>
                <w:color w:val="auto"/>
                <w:sz w:val="24"/>
              </w:rPr>
              <w:t>（3）从监测结果可以看出，项目所在地</w:t>
            </w:r>
            <w:r>
              <w:rPr>
                <w:rFonts w:hint="eastAsia"/>
                <w:color w:val="auto"/>
                <w:sz w:val="24"/>
              </w:rPr>
              <w:t>各</w:t>
            </w:r>
            <w:r>
              <w:rPr>
                <w:color w:val="auto"/>
                <w:sz w:val="24"/>
              </w:rPr>
              <w:t>监测点噪声值</w:t>
            </w:r>
            <w:r>
              <w:rPr>
                <w:rFonts w:hint="eastAsia"/>
                <w:color w:val="auto"/>
                <w:sz w:val="24"/>
              </w:rPr>
              <w:t>均达到</w:t>
            </w:r>
            <w:r>
              <w:rPr>
                <w:color w:val="auto"/>
                <w:sz w:val="24"/>
              </w:rPr>
              <w:t>《声环境质量标准》(GB3096—2008)</w:t>
            </w:r>
            <w:r>
              <w:rPr>
                <w:rFonts w:hint="eastAsia"/>
                <w:color w:val="auto"/>
                <w:sz w:val="24"/>
              </w:rPr>
              <w:t>2类</w:t>
            </w:r>
            <w:r>
              <w:rPr>
                <w:color w:val="auto"/>
                <w:sz w:val="24"/>
                <w:highlight w:val="none"/>
              </w:rPr>
              <w:t>和4</w:t>
            </w:r>
            <w:r>
              <w:rPr>
                <w:rFonts w:hint="eastAsia"/>
                <w:color w:val="auto"/>
                <w:sz w:val="24"/>
                <w:highlight w:val="none"/>
                <w:lang w:val="en-US" w:eastAsia="zh-CN"/>
              </w:rPr>
              <w:t>a</w:t>
            </w:r>
            <w:r>
              <w:rPr>
                <w:color w:val="auto"/>
                <w:sz w:val="24"/>
                <w:highlight w:val="none"/>
              </w:rPr>
              <w:t>类</w:t>
            </w:r>
            <w:r>
              <w:rPr>
                <w:color w:val="auto"/>
                <w:sz w:val="24"/>
              </w:rPr>
              <w:t>标准</w:t>
            </w:r>
            <w:r>
              <w:rPr>
                <w:rFonts w:hint="eastAsia"/>
                <w:color w:val="auto"/>
                <w:sz w:val="24"/>
                <w:lang w:eastAsia="zh-CN"/>
              </w:rPr>
              <w:t>，说明</w:t>
            </w:r>
            <w:r>
              <w:rPr>
                <w:color w:val="auto"/>
                <w:sz w:val="24"/>
              </w:rPr>
              <w:t>项目所在地声环境质量</w:t>
            </w:r>
            <w:r>
              <w:rPr>
                <w:rFonts w:hint="eastAsia"/>
                <w:color w:val="auto"/>
                <w:sz w:val="24"/>
              </w:rPr>
              <w:t>较好</w:t>
            </w:r>
            <w:r>
              <w:rPr>
                <w:color w:val="auto"/>
                <w:sz w:val="24"/>
              </w:rPr>
              <w:t>。</w:t>
            </w:r>
          </w:p>
          <w:p>
            <w:pPr>
              <w:pageBreakBefore w:val="0"/>
              <w:widowControl w:val="0"/>
              <w:kinsoku/>
              <w:wordWrap/>
              <w:overflowPunct/>
              <w:topLinePunct w:val="0"/>
              <w:bidi w:val="0"/>
              <w:adjustRightInd w:val="0"/>
              <w:snapToGrid w:val="0"/>
              <w:spacing w:line="360" w:lineRule="auto"/>
              <w:ind w:firstLine="354" w:firstLineChars="147"/>
              <w:rPr>
                <w:b/>
                <w:bCs/>
                <w:color w:val="auto"/>
                <w:sz w:val="24"/>
              </w:rPr>
            </w:pPr>
            <w:r>
              <w:rPr>
                <w:rFonts w:hint="eastAsia"/>
                <w:b/>
                <w:bCs/>
                <w:color w:val="auto"/>
                <w:sz w:val="24"/>
              </w:rPr>
              <w:t>三、环境影响评价结论</w:t>
            </w:r>
          </w:p>
          <w:p>
            <w:pPr>
              <w:pageBreakBefore w:val="0"/>
              <w:widowControl w:val="0"/>
              <w:kinsoku/>
              <w:wordWrap/>
              <w:overflowPunct/>
              <w:topLinePunct w:val="0"/>
              <w:bidi w:val="0"/>
              <w:spacing w:line="360" w:lineRule="auto"/>
              <w:ind w:firstLine="480"/>
              <w:rPr>
                <w:b/>
                <w:bCs/>
                <w:color w:val="auto"/>
                <w:sz w:val="24"/>
              </w:rPr>
            </w:pPr>
            <w:r>
              <w:rPr>
                <w:b/>
                <w:bCs/>
                <w:color w:val="auto"/>
                <w:sz w:val="24"/>
              </w:rPr>
              <w:t>1、环境空气影响评价结论</w:t>
            </w:r>
          </w:p>
          <w:p>
            <w:pPr>
              <w:pageBreakBefore w:val="0"/>
              <w:widowControl w:val="0"/>
              <w:kinsoku/>
              <w:wordWrap/>
              <w:overflowPunct/>
              <w:topLinePunct w:val="0"/>
              <w:bidi w:val="0"/>
              <w:spacing w:line="360" w:lineRule="auto"/>
              <w:ind w:firstLine="482" w:firstLineChars="200"/>
              <w:rPr>
                <w:color w:val="auto"/>
                <w:spacing w:val="-2"/>
                <w:sz w:val="24"/>
              </w:rPr>
            </w:pPr>
            <w:r>
              <w:rPr>
                <w:rFonts w:hint="eastAsia"/>
                <w:b/>
                <w:color w:val="auto"/>
                <w:sz w:val="24"/>
              </w:rPr>
              <w:t>混料工序：</w:t>
            </w:r>
            <w:r>
              <w:rPr>
                <w:iCs/>
                <w:color w:val="auto"/>
                <w:sz w:val="24"/>
              </w:rPr>
              <w:t>在投料过程中会产生少量的粉尘</w:t>
            </w:r>
            <w:r>
              <w:rPr>
                <w:rFonts w:hint="eastAsia"/>
                <w:color w:val="auto"/>
                <w:sz w:val="24"/>
              </w:rPr>
              <w:t>，主要污染物为颗粒物，</w:t>
            </w:r>
            <w:r>
              <w:rPr>
                <w:color w:val="auto"/>
                <w:sz w:val="24"/>
              </w:rPr>
              <w:t>产生为</w:t>
            </w:r>
            <w:r>
              <w:rPr>
                <w:rFonts w:hint="eastAsia"/>
                <w:color w:val="auto"/>
                <w:sz w:val="24"/>
              </w:rPr>
              <w:t>0.0325</w:t>
            </w:r>
            <w:r>
              <w:rPr>
                <w:color w:val="auto"/>
                <w:sz w:val="24"/>
              </w:rPr>
              <w:t>t/a</w:t>
            </w:r>
            <w:r>
              <w:rPr>
                <w:rFonts w:hint="eastAsia"/>
                <w:color w:val="auto"/>
                <w:sz w:val="24"/>
              </w:rPr>
              <w:t>，</w:t>
            </w:r>
            <w:r>
              <w:rPr>
                <w:rFonts w:hint="eastAsia" w:hAnsi="宋体"/>
                <w:color w:val="auto"/>
                <w:sz w:val="24"/>
              </w:rPr>
              <w:t>产生速率为0.014kg/h</w:t>
            </w:r>
            <w:r>
              <w:rPr>
                <w:rFonts w:hint="eastAsia"/>
                <w:color w:val="auto"/>
                <w:sz w:val="24"/>
              </w:rPr>
              <w:t>。</w:t>
            </w:r>
            <w:r>
              <w:rPr>
                <w:color w:val="auto"/>
                <w:sz w:val="24"/>
              </w:rPr>
              <w:t>根据估算</w:t>
            </w:r>
            <w:r>
              <w:rPr>
                <w:rFonts w:hint="eastAsia"/>
                <w:color w:val="auto"/>
                <w:sz w:val="24"/>
              </w:rPr>
              <w:t>模式计算</w:t>
            </w:r>
            <w:r>
              <w:rPr>
                <w:color w:val="auto"/>
                <w:sz w:val="24"/>
              </w:rPr>
              <w:t>，</w:t>
            </w:r>
            <w:r>
              <w:rPr>
                <w:rFonts w:hint="eastAsia"/>
                <w:color w:val="auto"/>
                <w:sz w:val="24"/>
              </w:rPr>
              <w:t>粉尘无组织排放</w:t>
            </w:r>
            <w:r>
              <w:rPr>
                <w:rFonts w:hint="eastAsia"/>
                <w:color w:val="auto"/>
                <w:kern w:val="0"/>
                <w:sz w:val="24"/>
              </w:rPr>
              <w:t>最大地面浓度为</w:t>
            </w:r>
            <w:r>
              <w:rPr>
                <w:rFonts w:hint="eastAsia"/>
                <w:bCs/>
                <w:color w:val="auto"/>
                <w:sz w:val="24"/>
              </w:rPr>
              <w:t>0.0769mg/m</w:t>
            </w:r>
            <w:r>
              <w:rPr>
                <w:rFonts w:hint="eastAsia"/>
                <w:bCs/>
                <w:color w:val="auto"/>
                <w:sz w:val="24"/>
                <w:vertAlign w:val="superscript"/>
              </w:rPr>
              <w:t>3</w:t>
            </w:r>
            <w:r>
              <w:rPr>
                <w:color w:val="auto"/>
                <w:sz w:val="24"/>
              </w:rPr>
              <w:t>，可达到广东省</w:t>
            </w:r>
            <w:r>
              <w:rPr>
                <w:rFonts w:hint="eastAsia"/>
                <w:color w:val="auto"/>
                <w:sz w:val="24"/>
              </w:rPr>
              <w:t>地方标准</w:t>
            </w:r>
            <w:r>
              <w:rPr>
                <w:color w:val="auto"/>
                <w:sz w:val="24"/>
              </w:rPr>
              <w:t>《大气污染物排放限值》（DB44/27－2001）第二时段无组织排放监控浓度限值，对项目周围</w:t>
            </w:r>
            <w:r>
              <w:rPr>
                <w:color w:val="auto"/>
                <w:kern w:val="0"/>
                <w:sz w:val="24"/>
              </w:rPr>
              <w:t>的</w:t>
            </w:r>
            <w:r>
              <w:rPr>
                <w:color w:val="auto"/>
                <w:sz w:val="24"/>
              </w:rPr>
              <w:t>空气环境影响甚微。同时加强车间机械通风措施，使生产车间符合《工业企业设计卫生标准》（TJ36-79）（GBZ1-2010）要求，</w:t>
            </w:r>
            <w:r>
              <w:rPr>
                <w:color w:val="auto"/>
                <w:spacing w:val="-2"/>
                <w:sz w:val="24"/>
              </w:rPr>
              <w:t>另外，建设单位必须做好员工的防护措施（如配带口罩）</w:t>
            </w:r>
            <w:r>
              <w:rPr>
                <w:color w:val="auto"/>
                <w:sz w:val="24"/>
              </w:rPr>
              <w:t>，以确保员工身体健康不受到影响，</w:t>
            </w:r>
            <w:r>
              <w:rPr>
                <w:color w:val="auto"/>
                <w:kern w:val="0"/>
                <w:sz w:val="24"/>
              </w:rPr>
              <w:t>则不会对周围空气环境造成明显影响</w:t>
            </w:r>
            <w:r>
              <w:rPr>
                <w:color w:val="auto"/>
                <w:spacing w:val="-2"/>
                <w:sz w:val="24"/>
              </w:rPr>
              <w:t>。</w:t>
            </w:r>
          </w:p>
          <w:p>
            <w:pPr>
              <w:pageBreakBefore w:val="0"/>
              <w:widowControl w:val="0"/>
              <w:kinsoku/>
              <w:wordWrap/>
              <w:overflowPunct/>
              <w:topLinePunct w:val="0"/>
              <w:bidi w:val="0"/>
              <w:spacing w:line="360" w:lineRule="auto"/>
              <w:ind w:firstLine="482" w:firstLineChars="200"/>
              <w:rPr>
                <w:color w:val="auto"/>
                <w:sz w:val="24"/>
              </w:rPr>
            </w:pPr>
            <w:r>
              <w:rPr>
                <w:rFonts w:hint="eastAsia"/>
                <w:b/>
                <w:color w:val="auto"/>
                <w:sz w:val="24"/>
                <w:szCs w:val="23"/>
              </w:rPr>
              <w:t>造粒、挤出成型工序：</w:t>
            </w:r>
            <w:r>
              <w:rPr>
                <w:rFonts w:hint="eastAsia"/>
                <w:b w:val="0"/>
                <w:bCs/>
                <w:color w:val="auto"/>
                <w:sz w:val="24"/>
                <w:lang w:eastAsia="zh-CN"/>
              </w:rPr>
              <w:t>根据工程分析，项目造粒、挤出成型工序产生</w:t>
            </w:r>
            <w:r>
              <w:rPr>
                <w:rFonts w:hint="eastAsia" w:hAnsi="宋体"/>
                <w:color w:val="auto"/>
                <w:sz w:val="24"/>
                <w:lang w:eastAsia="zh-CN"/>
              </w:rPr>
              <w:t>臭气和</w:t>
            </w:r>
            <w:r>
              <w:rPr>
                <w:rFonts w:hint="eastAsia" w:hAnsi="宋体"/>
                <w:color w:val="auto"/>
                <w:sz w:val="24"/>
              </w:rPr>
              <w:t>有机废气，臭气浓度较低，通过UV光解+活性炭吸附装置处理，降低恶臭浓度，同时</w:t>
            </w:r>
            <w:r>
              <w:rPr>
                <w:rFonts w:hint="eastAsia"/>
                <w:color w:val="auto"/>
                <w:sz w:val="24"/>
              </w:rPr>
              <w:t>加强车间机械通风措施</w:t>
            </w:r>
            <w:r>
              <w:rPr>
                <w:rFonts w:hint="eastAsia"/>
                <w:color w:val="auto"/>
                <w:sz w:val="24"/>
                <w:lang w:eastAsia="zh-CN"/>
              </w:rPr>
              <w:t>，</w:t>
            </w:r>
            <w:r>
              <w:rPr>
                <w:rFonts w:hint="eastAsia" w:hAnsi="宋体"/>
                <w:color w:val="auto"/>
                <w:sz w:val="24"/>
                <w:lang w:val="en-US" w:eastAsia="zh-CN"/>
              </w:rPr>
              <w:t>臭气无组织排放满足《</w:t>
            </w:r>
            <w:r>
              <w:rPr>
                <w:rFonts w:hint="eastAsia" w:hAnsi="宋体"/>
                <w:color w:val="auto"/>
                <w:sz w:val="24"/>
              </w:rPr>
              <w:t>恶臭污染物排放标准</w:t>
            </w:r>
            <w:r>
              <w:rPr>
                <w:rFonts w:hint="eastAsia" w:hAnsi="宋体"/>
                <w:color w:val="auto"/>
                <w:sz w:val="24"/>
                <w:lang w:val="en-US" w:eastAsia="zh-CN"/>
              </w:rPr>
              <w:t>》（GB 14554—93）表1恶臭污染物厂界标准值二级新扩改建臭气浓度：≤20（无纲量）要求；</w:t>
            </w:r>
            <w:r>
              <w:rPr>
                <w:color w:val="auto"/>
                <w:sz w:val="24"/>
              </w:rPr>
              <w:t>非甲烷总烃</w:t>
            </w:r>
            <w:r>
              <w:rPr>
                <w:rFonts w:hint="eastAsia"/>
                <w:color w:val="auto"/>
                <w:sz w:val="24"/>
              </w:rPr>
              <w:t>有组织</w:t>
            </w:r>
            <w:r>
              <w:rPr>
                <w:color w:val="auto"/>
                <w:sz w:val="24"/>
              </w:rPr>
              <w:t>排放浓度和排放速率可以达到《合成树脂工业污染物排放标准》（GB 31572-2015）中表4规定的大气污染物排放标准限值，</w:t>
            </w:r>
            <w:r>
              <w:rPr>
                <w:rFonts w:hint="eastAsia"/>
                <w:color w:val="auto"/>
                <w:sz w:val="24"/>
                <w:shd w:val="clear" w:color="auto" w:fill="FFFFFF"/>
              </w:rPr>
              <w:t>无组织排放量较少，</w:t>
            </w:r>
            <w:r>
              <w:rPr>
                <w:color w:val="auto"/>
                <w:sz w:val="24"/>
                <w:shd w:val="clear" w:color="auto" w:fill="FFFFFF"/>
              </w:rPr>
              <w:t>根据估算，</w:t>
            </w:r>
            <w:r>
              <w:rPr>
                <w:color w:val="auto"/>
                <w:sz w:val="24"/>
              </w:rPr>
              <w:t>周界外非甲烷总烃</w:t>
            </w:r>
            <w:r>
              <w:rPr>
                <w:rFonts w:hint="eastAsia"/>
                <w:color w:val="auto"/>
                <w:kern w:val="0"/>
                <w:sz w:val="24"/>
              </w:rPr>
              <w:t>最大地面浓度未超过</w:t>
            </w:r>
            <w:r>
              <w:rPr>
                <w:color w:val="auto"/>
                <w:kern w:val="0"/>
                <w:sz w:val="24"/>
              </w:rPr>
              <w:t>《合成树脂工业污染物排放标准》（GB31572-2015）中的表9企业边界大气污染物浓度限值</w:t>
            </w:r>
            <w:r>
              <w:rPr>
                <w:color w:val="auto"/>
                <w:sz w:val="24"/>
              </w:rPr>
              <w:t>（非甲烷总烃：≤4.0mg/m</w:t>
            </w:r>
            <w:r>
              <w:rPr>
                <w:color w:val="auto"/>
                <w:sz w:val="24"/>
                <w:vertAlign w:val="superscript"/>
              </w:rPr>
              <w:t>3</w:t>
            </w:r>
            <w:r>
              <w:rPr>
                <w:color w:val="auto"/>
                <w:sz w:val="24"/>
              </w:rPr>
              <w:t>）</w:t>
            </w:r>
            <w:r>
              <w:rPr>
                <w:rFonts w:hint="eastAsia"/>
                <w:color w:val="auto"/>
                <w:sz w:val="24"/>
              </w:rPr>
              <w:t>，对周围环境影响较小。</w:t>
            </w:r>
          </w:p>
          <w:p>
            <w:pPr>
              <w:pageBreakBefore w:val="0"/>
              <w:widowControl w:val="0"/>
              <w:kinsoku/>
              <w:wordWrap/>
              <w:overflowPunct/>
              <w:topLinePunct w:val="0"/>
              <w:bidi w:val="0"/>
              <w:spacing w:line="360" w:lineRule="auto"/>
              <w:ind w:firstLine="480"/>
              <w:rPr>
                <w:b/>
                <w:bCs/>
                <w:color w:val="auto"/>
                <w:sz w:val="24"/>
              </w:rPr>
            </w:pPr>
            <w:r>
              <w:rPr>
                <w:b/>
                <w:bCs/>
                <w:color w:val="auto"/>
                <w:sz w:val="24"/>
              </w:rPr>
              <w:t>2、水环境影响评价结论</w:t>
            </w:r>
          </w:p>
          <w:p>
            <w:pPr>
              <w:pageBreakBefore w:val="0"/>
              <w:widowControl w:val="0"/>
              <w:kinsoku/>
              <w:wordWrap/>
              <w:overflowPunct/>
              <w:topLinePunct w:val="0"/>
              <w:bidi w:val="0"/>
              <w:spacing w:line="360" w:lineRule="auto"/>
              <w:ind w:firstLine="480" w:firstLineChars="200"/>
              <w:rPr>
                <w:rFonts w:hAnsi="宋体"/>
                <w:color w:val="auto"/>
                <w:sz w:val="24"/>
              </w:rPr>
            </w:pPr>
            <w:r>
              <w:rPr>
                <w:rFonts w:hint="eastAsia"/>
                <w:bCs/>
                <w:color w:val="auto"/>
                <w:sz w:val="24"/>
              </w:rPr>
              <w:t>项目冷却废水</w:t>
            </w:r>
            <w:r>
              <w:rPr>
                <w:rFonts w:hint="eastAsia"/>
                <w:bCs/>
                <w:color w:val="auto"/>
                <w:sz w:val="24"/>
                <w:lang w:eastAsia="zh-CN"/>
              </w:rPr>
              <w:t>和</w:t>
            </w:r>
            <w:r>
              <w:rPr>
                <w:rFonts w:hint="eastAsia"/>
                <w:bCs/>
                <w:color w:val="auto"/>
                <w:sz w:val="24"/>
              </w:rPr>
              <w:t>生活污水经三级化粪池预处理后，达到广东省地方标准《水污染物排放限值》（DB44/26-2001）第二时段三级标准</w:t>
            </w:r>
            <w:r>
              <w:rPr>
                <w:rFonts w:hint="eastAsia"/>
                <w:color w:val="auto"/>
                <w:sz w:val="24"/>
              </w:rPr>
              <w:t>和《污水排入城镇下水道水质标准》（CJ343-2010）较严者</w:t>
            </w:r>
            <w:r>
              <w:rPr>
                <w:rFonts w:hint="eastAsia"/>
                <w:bCs/>
                <w:color w:val="auto"/>
                <w:sz w:val="24"/>
              </w:rPr>
              <w:t>排放至市政污水管网，</w:t>
            </w:r>
            <w:r>
              <w:rPr>
                <w:rFonts w:hint="eastAsia"/>
                <w:color w:val="auto"/>
                <w:sz w:val="24"/>
              </w:rPr>
              <w:t>然后</w:t>
            </w:r>
            <w:r>
              <w:rPr>
                <w:rFonts w:hint="eastAsia"/>
                <w:bCs/>
                <w:color w:val="auto"/>
                <w:sz w:val="24"/>
              </w:rPr>
              <w:t>引</w:t>
            </w:r>
            <w:r>
              <w:rPr>
                <w:rFonts w:hint="eastAsia"/>
                <w:color w:val="auto"/>
                <w:sz w:val="24"/>
              </w:rPr>
              <w:t>至开平市水口污水处理厂处</w:t>
            </w:r>
            <w:r>
              <w:rPr>
                <w:rFonts w:hint="eastAsia"/>
                <w:bCs/>
                <w:color w:val="auto"/>
                <w:sz w:val="24"/>
              </w:rPr>
              <w:t>理后达</w:t>
            </w:r>
            <w:r>
              <w:rPr>
                <w:rFonts w:hint="eastAsia"/>
                <w:color w:val="auto"/>
                <w:sz w:val="24"/>
              </w:rPr>
              <w:t>到《城镇污水处理厂污染物排放标准》（GB18918-2002）中一级A 标准及广东省地方标准《水污染物排放限值》（DB44/26-2001）第二时段一级标准的较严值</w:t>
            </w:r>
            <w:r>
              <w:rPr>
                <w:bCs/>
                <w:color w:val="auto"/>
                <w:sz w:val="24"/>
              </w:rPr>
              <w:t>后排放</w:t>
            </w:r>
            <w:r>
              <w:rPr>
                <w:rFonts w:hint="eastAsia"/>
                <w:color w:val="auto"/>
                <w:sz w:val="24"/>
              </w:rPr>
              <w:t>。</w:t>
            </w:r>
            <w:r>
              <w:rPr>
                <w:color w:val="auto"/>
                <w:sz w:val="24"/>
              </w:rPr>
              <w:t>项目产生生活污水经处理后水污染物得到一定量削减，减轻了污水排放对纳污水体的污染负荷，有利于水环境保护</w:t>
            </w:r>
            <w:r>
              <w:rPr>
                <w:rFonts w:hint="eastAsia"/>
                <w:color w:val="auto"/>
                <w:sz w:val="24"/>
              </w:rPr>
              <w:t>，</w:t>
            </w:r>
            <w:r>
              <w:rPr>
                <w:bCs/>
                <w:color w:val="auto"/>
                <w:sz w:val="24"/>
                <w:szCs w:val="20"/>
              </w:rPr>
              <w:t>则项目生活污水对周围环境影响不大。</w:t>
            </w:r>
          </w:p>
          <w:p>
            <w:pPr>
              <w:pageBreakBefore w:val="0"/>
              <w:widowControl w:val="0"/>
              <w:kinsoku/>
              <w:wordWrap/>
              <w:overflowPunct/>
              <w:topLinePunct w:val="0"/>
              <w:bidi w:val="0"/>
              <w:spacing w:line="360" w:lineRule="auto"/>
              <w:ind w:firstLine="480"/>
              <w:rPr>
                <w:b/>
                <w:bCs/>
                <w:color w:val="auto"/>
                <w:sz w:val="24"/>
              </w:rPr>
            </w:pPr>
            <w:r>
              <w:rPr>
                <w:rFonts w:hint="eastAsia"/>
                <w:b/>
                <w:bCs/>
                <w:color w:val="auto"/>
                <w:sz w:val="24"/>
              </w:rPr>
              <w:t>3</w:t>
            </w:r>
            <w:r>
              <w:rPr>
                <w:b/>
                <w:bCs/>
                <w:color w:val="auto"/>
                <w:sz w:val="24"/>
              </w:rPr>
              <w:t>、声环境影响评价结论</w:t>
            </w:r>
          </w:p>
          <w:p>
            <w:pPr>
              <w:pStyle w:val="131"/>
              <w:pageBreakBefore w:val="0"/>
              <w:widowControl w:val="0"/>
              <w:kinsoku/>
              <w:wordWrap/>
              <w:overflowPunct/>
              <w:topLinePunct w:val="0"/>
              <w:bidi w:val="0"/>
              <w:spacing w:line="360" w:lineRule="auto"/>
              <w:ind w:firstLine="480"/>
              <w:rPr>
                <w:color w:val="auto"/>
                <w:sz w:val="24"/>
              </w:rPr>
            </w:pPr>
            <w:r>
              <w:rPr>
                <w:rFonts w:hint="eastAsia" w:hAnsi="宋体"/>
                <w:color w:val="auto"/>
                <w:sz w:val="24"/>
              </w:rPr>
              <w:t>项目营运期车间机械产生噪声值在</w:t>
            </w:r>
            <w:r>
              <w:rPr>
                <w:rFonts w:ascii="Times New Roman" w:hAnsi="Times New Roman" w:cs="Times New Roman"/>
                <w:color w:val="auto"/>
                <w:sz w:val="24"/>
              </w:rPr>
              <w:t>70</w:t>
            </w:r>
            <w:r>
              <w:rPr>
                <w:rFonts w:ascii="Times New Roman" w:cs="Times New Roman"/>
                <w:color w:val="auto"/>
                <w:sz w:val="24"/>
              </w:rPr>
              <w:t>～</w:t>
            </w:r>
            <w:r>
              <w:rPr>
                <w:rFonts w:hint="eastAsia" w:ascii="Times New Roman" w:hAnsi="Times New Roman" w:cs="Times New Roman"/>
                <w:color w:val="auto"/>
                <w:sz w:val="24"/>
              </w:rPr>
              <w:t>90</w:t>
            </w:r>
            <w:r>
              <w:rPr>
                <w:rFonts w:ascii="Times New Roman" w:hAnsi="Times New Roman" w:cs="Times New Roman"/>
                <w:color w:val="auto"/>
                <w:sz w:val="24"/>
              </w:rPr>
              <w:t>dB(A)</w:t>
            </w:r>
            <w:r>
              <w:rPr>
                <w:rFonts w:hint="eastAsia"/>
                <w:color w:val="auto"/>
                <w:sz w:val="24"/>
              </w:rPr>
              <w:t>之间</w:t>
            </w:r>
            <w:r>
              <w:rPr>
                <w:color w:val="auto"/>
                <w:sz w:val="24"/>
              </w:rPr>
              <w:t>。</w:t>
            </w:r>
            <w:r>
              <w:rPr>
                <w:rFonts w:hint="eastAsia" w:ascii="Times New Roman"/>
                <w:color w:val="auto"/>
                <w:sz w:val="24"/>
                <w:szCs w:val="24"/>
              </w:rPr>
              <w:t>项目</w:t>
            </w:r>
            <w:r>
              <w:rPr>
                <w:rFonts w:ascii="Times New Roman"/>
                <w:color w:val="auto"/>
                <w:sz w:val="24"/>
                <w:szCs w:val="24"/>
              </w:rPr>
              <w:t>除选用噪声低的设备外，还</w:t>
            </w:r>
            <w:r>
              <w:rPr>
                <w:rFonts w:hint="eastAsia" w:ascii="Times New Roman"/>
                <w:color w:val="auto"/>
                <w:sz w:val="24"/>
                <w:szCs w:val="24"/>
              </w:rPr>
              <w:t>应</w:t>
            </w:r>
            <w:r>
              <w:rPr>
                <w:rFonts w:ascii="Times New Roman"/>
                <w:color w:val="auto"/>
                <w:sz w:val="24"/>
                <w:szCs w:val="24"/>
              </w:rPr>
              <w:t>进行减振和减噪声处理，如车间的门窗部位选用隔声性能良好的铝合金或双层门窗结构等</w:t>
            </w:r>
            <w:r>
              <w:rPr>
                <w:rFonts w:hint="eastAsia" w:ascii="Times New Roman"/>
                <w:color w:val="auto"/>
                <w:sz w:val="24"/>
                <w:szCs w:val="24"/>
              </w:rPr>
              <w:t>，并设置单独隔声间，</w:t>
            </w:r>
            <w:r>
              <w:rPr>
                <w:rFonts w:ascii="Times New Roman"/>
                <w:color w:val="auto"/>
                <w:sz w:val="24"/>
                <w:szCs w:val="24"/>
              </w:rPr>
              <w:t>再经过一定自然距离的衰减作用，</w:t>
            </w:r>
            <w:r>
              <w:rPr>
                <w:color w:val="auto"/>
                <w:sz w:val="24"/>
              </w:rPr>
              <w:t>使得项目产生的噪声达到《工业企业厂界环境噪声排放标准》</w:t>
            </w:r>
            <w:r>
              <w:rPr>
                <w:rFonts w:ascii="Times New Roman" w:hAnsi="Times New Roman" w:cs="Times New Roman"/>
                <w:color w:val="auto"/>
                <w:sz w:val="24"/>
              </w:rPr>
              <w:t>(GB12348</w:t>
            </w:r>
            <w:r>
              <w:rPr>
                <w:rFonts w:hint="eastAsia" w:ascii="Times New Roman" w:hAnsi="Times New Roman" w:cs="Times New Roman"/>
                <w:color w:val="auto"/>
                <w:sz w:val="24"/>
              </w:rPr>
              <w:t>-</w:t>
            </w:r>
            <w:r>
              <w:rPr>
                <w:rFonts w:ascii="Times New Roman" w:hAnsi="Times New Roman" w:cs="Times New Roman"/>
                <w:color w:val="auto"/>
                <w:sz w:val="24"/>
              </w:rPr>
              <w:t xml:space="preserve">2008) </w:t>
            </w:r>
            <w:r>
              <w:rPr>
                <w:rFonts w:hint="eastAsia" w:ascii="Times New Roman" w:hAnsi="Times New Roman" w:cs="Times New Roman"/>
                <w:color w:val="auto"/>
                <w:sz w:val="24"/>
              </w:rPr>
              <w:t>2类和4类</w:t>
            </w:r>
            <w:r>
              <w:rPr>
                <w:color w:val="auto"/>
                <w:sz w:val="24"/>
              </w:rPr>
              <w:t>标准要求，</w:t>
            </w:r>
            <w:r>
              <w:rPr>
                <w:rFonts w:hint="eastAsia"/>
                <w:color w:val="auto"/>
                <w:sz w:val="24"/>
              </w:rPr>
              <w:t>对周围环境影响不大。</w:t>
            </w:r>
          </w:p>
          <w:p>
            <w:pPr>
              <w:pageBreakBefore w:val="0"/>
              <w:widowControl w:val="0"/>
              <w:kinsoku/>
              <w:wordWrap/>
              <w:overflowPunct/>
              <w:topLinePunct w:val="0"/>
              <w:bidi w:val="0"/>
              <w:spacing w:line="360" w:lineRule="auto"/>
              <w:ind w:firstLine="480"/>
              <w:rPr>
                <w:b/>
                <w:bCs/>
                <w:color w:val="auto"/>
                <w:sz w:val="24"/>
              </w:rPr>
            </w:pPr>
            <w:r>
              <w:rPr>
                <w:rFonts w:hint="eastAsia"/>
                <w:b/>
                <w:bCs/>
                <w:color w:val="auto"/>
                <w:sz w:val="24"/>
              </w:rPr>
              <w:t>4</w:t>
            </w:r>
            <w:r>
              <w:rPr>
                <w:b/>
                <w:bCs/>
                <w:color w:val="auto"/>
                <w:sz w:val="24"/>
              </w:rPr>
              <w:t>、固体废弃物影响评价结论</w:t>
            </w:r>
          </w:p>
          <w:p>
            <w:pPr>
              <w:pageBreakBefore w:val="0"/>
              <w:widowControl w:val="0"/>
              <w:kinsoku/>
              <w:wordWrap/>
              <w:overflowPunct/>
              <w:topLinePunct w:val="0"/>
              <w:bidi w:val="0"/>
              <w:spacing w:line="360" w:lineRule="auto"/>
              <w:ind w:firstLine="520" w:firstLineChars="200"/>
              <w:rPr>
                <w:color w:val="auto"/>
                <w:sz w:val="24"/>
              </w:rPr>
            </w:pPr>
            <w:r>
              <w:rPr>
                <w:rFonts w:hint="eastAsia" w:ascii="宋体" w:hAnsi="宋体"/>
                <w:color w:val="auto"/>
                <w:spacing w:val="10"/>
                <w:sz w:val="24"/>
              </w:rPr>
              <w:t>一般工业固废</w:t>
            </w:r>
            <w:r>
              <w:rPr>
                <w:rFonts w:ascii="宋体" w:hAnsi="宋体"/>
                <w:color w:val="auto"/>
                <w:spacing w:val="10"/>
                <w:sz w:val="24"/>
              </w:rPr>
              <w:t>交</w:t>
            </w:r>
            <w:r>
              <w:rPr>
                <w:rFonts w:hint="eastAsia" w:ascii="宋体" w:hAnsi="宋体"/>
                <w:color w:val="auto"/>
                <w:spacing w:val="10"/>
                <w:sz w:val="24"/>
              </w:rPr>
              <w:t>专业公司回收处理；中转物交供应商回用</w:t>
            </w:r>
            <w:r>
              <w:rPr>
                <w:rFonts w:hint="eastAsia"/>
                <w:color w:val="auto"/>
                <w:sz w:val="24"/>
                <w:szCs w:val="24"/>
                <w:lang w:eastAsia="zh-CN"/>
              </w:rPr>
              <w:t>，</w:t>
            </w:r>
            <w:r>
              <w:rPr>
                <w:rFonts w:hint="eastAsia"/>
                <w:color w:val="auto"/>
                <w:sz w:val="24"/>
                <w:szCs w:val="24"/>
              </w:rPr>
              <w:t>若供应商不愿回收，</w:t>
            </w:r>
            <w:r>
              <w:rPr>
                <w:rFonts w:hint="eastAsia"/>
                <w:color w:val="auto"/>
                <w:sz w:val="24"/>
                <w:szCs w:val="24"/>
                <w:lang w:eastAsia="zh-CN"/>
              </w:rPr>
              <w:t>则作为危险废物交给有危险废物处置资质单位处置</w:t>
            </w:r>
            <w:r>
              <w:rPr>
                <w:rFonts w:hint="eastAsia" w:ascii="宋体" w:hAnsi="宋体"/>
                <w:color w:val="auto"/>
                <w:spacing w:val="10"/>
                <w:sz w:val="24"/>
              </w:rPr>
              <w:t>；危险废物交给有危险废物处置资质单位处置</w:t>
            </w:r>
            <w:r>
              <w:rPr>
                <w:rFonts w:hint="eastAsia"/>
                <w:bCs/>
                <w:color w:val="auto"/>
                <w:sz w:val="24"/>
              </w:rPr>
              <w:t>；</w:t>
            </w:r>
            <w:r>
              <w:rPr>
                <w:rFonts w:hint="eastAsia"/>
                <w:color w:val="auto"/>
                <w:spacing w:val="-4"/>
                <w:sz w:val="24"/>
              </w:rPr>
              <w:t>员工生活</w:t>
            </w:r>
            <w:r>
              <w:rPr>
                <w:rFonts w:hint="eastAsia"/>
                <w:color w:val="auto"/>
                <w:sz w:val="24"/>
              </w:rPr>
              <w:t>产生</w:t>
            </w:r>
            <w:r>
              <w:rPr>
                <w:rFonts w:hint="eastAsia"/>
                <w:bCs/>
                <w:color w:val="auto"/>
                <w:sz w:val="24"/>
              </w:rPr>
              <w:t>的普通</w:t>
            </w:r>
            <w:r>
              <w:rPr>
                <w:rFonts w:hint="eastAsia"/>
                <w:color w:val="auto"/>
                <w:sz w:val="24"/>
              </w:rPr>
              <w:t>生活垃圾必须按照指定地点堆放在生活垃圾堆放点，每日由环卫部门清理运走，并对堆放点进行定期的清洁消毒，杀灭害虫。</w:t>
            </w:r>
          </w:p>
          <w:p>
            <w:pPr>
              <w:pageBreakBefore w:val="0"/>
              <w:widowControl w:val="0"/>
              <w:kinsoku/>
              <w:wordWrap/>
              <w:overflowPunct/>
              <w:topLinePunct w:val="0"/>
              <w:bidi w:val="0"/>
              <w:adjustRightInd w:val="0"/>
              <w:snapToGrid w:val="0"/>
              <w:spacing w:line="360" w:lineRule="auto"/>
              <w:ind w:firstLine="480" w:firstLineChars="200"/>
              <w:rPr>
                <w:color w:val="auto"/>
                <w:sz w:val="24"/>
              </w:rPr>
            </w:pPr>
            <w:r>
              <w:rPr>
                <w:rFonts w:hint="eastAsia"/>
                <w:color w:val="auto"/>
                <w:sz w:val="24"/>
              </w:rPr>
              <w:t>因此，项目产生的固体废物经处理后对周围环境影响不明显。</w:t>
            </w:r>
          </w:p>
          <w:p>
            <w:pPr>
              <w:pageBreakBefore w:val="0"/>
              <w:widowControl w:val="0"/>
              <w:kinsoku/>
              <w:wordWrap/>
              <w:overflowPunct/>
              <w:topLinePunct w:val="0"/>
              <w:bidi w:val="0"/>
              <w:spacing w:line="360" w:lineRule="auto"/>
              <w:ind w:firstLine="482" w:firstLineChars="200"/>
              <w:rPr>
                <w:b/>
                <w:bCs/>
                <w:color w:val="auto"/>
                <w:sz w:val="24"/>
              </w:rPr>
            </w:pPr>
            <w:r>
              <w:rPr>
                <w:rFonts w:hint="eastAsia"/>
                <w:b/>
                <w:bCs/>
                <w:color w:val="auto"/>
                <w:sz w:val="24"/>
              </w:rPr>
              <w:t>5、风险</w:t>
            </w:r>
            <w:r>
              <w:rPr>
                <w:b/>
                <w:bCs/>
                <w:color w:val="auto"/>
                <w:sz w:val="24"/>
              </w:rPr>
              <w:t>影响评价结论</w:t>
            </w:r>
          </w:p>
          <w:p>
            <w:pPr>
              <w:pageBreakBefore w:val="0"/>
              <w:widowControl w:val="0"/>
              <w:kinsoku/>
              <w:wordWrap/>
              <w:overflowPunct/>
              <w:topLinePunct w:val="0"/>
              <w:bidi w:val="0"/>
              <w:spacing w:line="360" w:lineRule="auto"/>
              <w:ind w:firstLine="480" w:firstLineChars="200"/>
              <w:rPr>
                <w:rFonts w:eastAsiaTheme="minorEastAsia"/>
                <w:color w:val="auto"/>
                <w:sz w:val="24"/>
              </w:rPr>
            </w:pPr>
            <w:r>
              <w:rPr>
                <w:rFonts w:eastAsiaTheme="minorEastAsia"/>
                <w:color w:val="auto"/>
                <w:sz w:val="24"/>
              </w:rPr>
              <w:t>项目物质不构成重大危险源</w:t>
            </w:r>
            <w:r>
              <w:rPr>
                <w:rFonts w:hint="eastAsia" w:eastAsiaTheme="minorEastAsia"/>
                <w:color w:val="auto"/>
                <w:sz w:val="24"/>
              </w:rPr>
              <w:t>，</w:t>
            </w:r>
            <w:r>
              <w:rPr>
                <w:rFonts w:eastAsiaTheme="minorEastAsia"/>
                <w:color w:val="auto"/>
                <w:sz w:val="24"/>
              </w:rPr>
              <w:t>企业在落实相应风险防范和控制措施的情况下，总体环境风险可控。</w:t>
            </w:r>
          </w:p>
          <w:p>
            <w:pPr>
              <w:pageBreakBefore w:val="0"/>
              <w:widowControl w:val="0"/>
              <w:numPr>
                <w:ilvl w:val="0"/>
                <w:numId w:val="12"/>
              </w:numPr>
              <w:kinsoku/>
              <w:wordWrap/>
              <w:overflowPunct/>
              <w:topLinePunct w:val="0"/>
              <w:bidi w:val="0"/>
              <w:adjustRightInd w:val="0"/>
              <w:snapToGrid w:val="0"/>
              <w:spacing w:line="360" w:lineRule="auto"/>
              <w:ind w:firstLine="431"/>
              <w:rPr>
                <w:b/>
                <w:bCs/>
                <w:color w:val="auto"/>
                <w:sz w:val="24"/>
              </w:rPr>
            </w:pPr>
            <w:r>
              <w:rPr>
                <w:rFonts w:hint="eastAsia"/>
                <w:b/>
                <w:bCs/>
                <w:color w:val="auto"/>
                <w:sz w:val="24"/>
              </w:rPr>
              <w:t>土壤环境影响分析结论</w:t>
            </w:r>
          </w:p>
          <w:p>
            <w:pPr>
              <w:spacing w:line="360" w:lineRule="auto"/>
              <w:ind w:firstLine="480" w:firstLineChars="200"/>
              <w:rPr>
                <w:rFonts w:hint="eastAsia" w:hAnsi="宋体"/>
                <w:color w:val="auto"/>
                <w:sz w:val="24"/>
                <w:lang w:eastAsia="zh-CN"/>
              </w:rPr>
            </w:pPr>
            <w:r>
              <w:rPr>
                <w:rFonts w:hint="eastAsia" w:hAnsi="宋体"/>
                <w:color w:val="auto"/>
                <w:sz w:val="24"/>
                <w:lang w:eastAsia="zh-CN"/>
              </w:rPr>
              <w:t>本项目</w:t>
            </w:r>
            <w:r>
              <w:rPr>
                <w:rFonts w:hint="eastAsia"/>
                <w:bCs/>
                <w:color w:val="auto"/>
                <w:sz w:val="24"/>
                <w:shd w:val="clear" w:color="auto" w:fill="auto"/>
              </w:rPr>
              <w:t>主要从事</w:t>
            </w:r>
            <w:r>
              <w:rPr>
                <w:rFonts w:hint="eastAsia"/>
                <w:color w:val="auto"/>
                <w:sz w:val="24"/>
                <w:lang w:eastAsia="zh-CN"/>
              </w:rPr>
              <w:t>高压软管</w:t>
            </w:r>
            <w:r>
              <w:rPr>
                <w:rFonts w:hint="eastAsia"/>
                <w:bCs/>
                <w:color w:val="auto"/>
                <w:sz w:val="24"/>
                <w:shd w:val="clear" w:color="auto" w:fill="auto"/>
                <w:lang w:eastAsia="zh-CN"/>
              </w:rPr>
              <w:t>的加工生产</w:t>
            </w:r>
            <w:r>
              <w:rPr>
                <w:rFonts w:hint="eastAsia" w:hAnsi="宋体"/>
                <w:color w:val="auto"/>
                <w:sz w:val="24"/>
                <w:lang w:eastAsia="zh-CN"/>
              </w:rPr>
              <w:t>，属于塑料制品行业。根据《环境影响评价技术导则 土壤环境（试行）》（HJ 964-2018）附录A中有关建设项目所属土壤环境影响评价项目类别的划分，本项目属于其他行业，因此属于土壤环境影响评价IV类项目。根据《环境影响评价技术导则 土壤环境（试行）》（HJ 964-2018）中的相关要求，本项目可不开展土壤环境影响评价。</w:t>
            </w:r>
          </w:p>
          <w:p>
            <w:pPr>
              <w:keepNext w:val="0"/>
              <w:keepLines w:val="0"/>
              <w:pageBreakBefore w:val="0"/>
              <w:widowControl w:val="0"/>
              <w:kinsoku/>
              <w:wordWrap/>
              <w:overflowPunct/>
              <w:topLinePunct w:val="0"/>
              <w:autoSpaceDE/>
              <w:autoSpaceDN/>
              <w:bidi w:val="0"/>
              <w:adjustRightInd w:val="0"/>
              <w:snapToGrid w:val="0"/>
              <w:spacing w:line="360" w:lineRule="auto"/>
              <w:ind w:firstLine="431"/>
              <w:textAlignment w:val="auto"/>
              <w:rPr>
                <w:b/>
                <w:bCs/>
                <w:color w:val="auto"/>
                <w:sz w:val="24"/>
              </w:rPr>
            </w:pPr>
            <w:r>
              <w:rPr>
                <w:b/>
                <w:bCs/>
                <w:color w:val="auto"/>
                <w:sz w:val="24"/>
              </w:rPr>
              <w:t>四、项目产业政策符合性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szCs w:val="24"/>
              </w:rPr>
            </w:pPr>
            <w:r>
              <w:rPr>
                <w:rFonts w:hint="eastAsia"/>
                <w:color w:val="auto"/>
                <w:sz w:val="24"/>
                <w:szCs w:val="24"/>
              </w:rPr>
              <w:t>综上所述，项目不属于国家《产业结构调整指导目录（2011 年本）（修正）》中的限制或淘汰类别，</w:t>
            </w:r>
            <w:r>
              <w:rPr>
                <w:bCs/>
                <w:color w:val="auto"/>
                <w:sz w:val="24"/>
                <w:szCs w:val="24"/>
              </w:rPr>
              <w:t>不在</w:t>
            </w:r>
            <w:r>
              <w:rPr>
                <w:rFonts w:hint="eastAsia" w:cs="Times New Roman"/>
                <w:bCs/>
                <w:color w:val="auto"/>
                <w:sz w:val="24"/>
                <w:szCs w:val="24"/>
                <w:shd w:val="clear" w:color="auto" w:fill="auto"/>
                <w:lang w:val="en-US" w:eastAsia="zh-CN"/>
              </w:rPr>
              <w:t>《市场准入负面清单（2019年版）》发改体改[2019]1685号</w:t>
            </w:r>
            <w:r>
              <w:rPr>
                <w:bCs/>
                <w:color w:val="auto"/>
                <w:sz w:val="24"/>
                <w:szCs w:val="24"/>
              </w:rPr>
              <w:t>类目</w:t>
            </w:r>
            <w:r>
              <w:rPr>
                <w:rFonts w:hint="eastAsia"/>
                <w:bCs/>
                <w:color w:val="auto"/>
                <w:sz w:val="24"/>
                <w:szCs w:val="24"/>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号）、《江门市挥发性有机物（VOCs）整治与减排工作方案（2018~2020年）》、《十三五挥发性有机物污染防治工作方案》相符</w:t>
            </w:r>
            <w:r>
              <w:rPr>
                <w:rFonts w:hint="eastAsia"/>
                <w:b w:val="0"/>
                <w:bCs w:val="0"/>
                <w:color w:val="auto"/>
                <w:sz w:val="24"/>
                <w:szCs w:val="24"/>
                <w:highlight w:val="none"/>
                <w:lang w:eastAsia="zh-CN"/>
              </w:rPr>
              <w:t>，</w:t>
            </w:r>
            <w:r>
              <w:rPr>
                <w:rFonts w:hint="eastAsia"/>
                <w:color w:val="auto"/>
                <w:sz w:val="24"/>
                <w:szCs w:val="24"/>
              </w:rPr>
              <w:t>因此项目符合国家、广东省的产业政策。</w:t>
            </w:r>
          </w:p>
          <w:p>
            <w:pPr>
              <w:keepNext w:val="0"/>
              <w:keepLines w:val="0"/>
              <w:pageBreakBefore w:val="0"/>
              <w:widowControl w:val="0"/>
              <w:kinsoku/>
              <w:wordWrap/>
              <w:overflowPunct/>
              <w:topLinePunct w:val="0"/>
              <w:autoSpaceDE/>
              <w:autoSpaceDN/>
              <w:bidi w:val="0"/>
              <w:adjustRightInd w:val="0"/>
              <w:snapToGrid w:val="0"/>
              <w:spacing w:line="336" w:lineRule="auto"/>
              <w:ind w:firstLine="482" w:firstLineChars="200"/>
              <w:textAlignment w:val="auto"/>
              <w:rPr>
                <w:b/>
                <w:bCs/>
                <w:color w:val="auto"/>
                <w:sz w:val="24"/>
              </w:rPr>
            </w:pPr>
            <w:r>
              <w:rPr>
                <w:rFonts w:hint="eastAsia"/>
                <w:b/>
                <w:bCs/>
                <w:color w:val="auto"/>
                <w:sz w:val="24"/>
              </w:rPr>
              <w:t>五、项目选址合理性</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color w:val="auto"/>
                <w:sz w:val="24"/>
              </w:rPr>
            </w:pPr>
            <w:r>
              <w:rPr>
                <w:rFonts w:hint="eastAsia"/>
                <w:color w:val="auto"/>
                <w:sz w:val="24"/>
              </w:rPr>
              <w:t>本项目位于</w:t>
            </w:r>
            <w:r>
              <w:rPr>
                <w:rFonts w:hint="eastAsia"/>
                <w:bCs/>
                <w:color w:val="auto"/>
                <w:sz w:val="24"/>
              </w:rPr>
              <w:t>开平市水口镇太和路12号后座之6</w:t>
            </w:r>
            <w:r>
              <w:rPr>
                <w:rFonts w:hint="eastAsia"/>
                <w:color w:val="auto"/>
                <w:sz w:val="24"/>
              </w:rPr>
              <w:t>，</w:t>
            </w:r>
            <w:r>
              <w:rPr>
                <w:rFonts w:hint="eastAsia"/>
                <w:bCs/>
                <w:color w:val="auto"/>
                <w:sz w:val="24"/>
              </w:rPr>
              <w:t>所在地属于工业用地，没有占用基本农业用地和林地，</w:t>
            </w:r>
            <w:r>
              <w:rPr>
                <w:color w:val="auto"/>
                <w:sz w:val="24"/>
              </w:rPr>
              <w:t>没有占用基本农业用地和林地</w:t>
            </w:r>
            <w:r>
              <w:rPr>
                <w:rFonts w:hint="eastAsia"/>
                <w:color w:val="auto"/>
                <w:sz w:val="24"/>
              </w:rPr>
              <w:t>，</w:t>
            </w:r>
            <w:r>
              <w:rPr>
                <w:color w:val="auto"/>
                <w:sz w:val="24"/>
              </w:rPr>
              <w:t>项目符合城镇规划要求。</w:t>
            </w:r>
          </w:p>
          <w:p>
            <w:pPr>
              <w:keepNext w:val="0"/>
              <w:keepLines w:val="0"/>
              <w:pageBreakBefore w:val="0"/>
              <w:widowControl w:val="0"/>
              <w:kinsoku/>
              <w:wordWrap/>
              <w:overflowPunct/>
              <w:topLinePunct w:val="0"/>
              <w:autoSpaceDE/>
              <w:autoSpaceDN/>
              <w:bidi w:val="0"/>
              <w:adjustRightInd w:val="0"/>
              <w:snapToGrid w:val="0"/>
              <w:spacing w:line="336" w:lineRule="auto"/>
              <w:ind w:firstLine="472" w:firstLineChars="196"/>
              <w:rPr>
                <w:b/>
                <w:color w:val="auto"/>
                <w:sz w:val="24"/>
              </w:rPr>
            </w:pPr>
            <w:r>
              <w:rPr>
                <w:rFonts w:hint="eastAsia"/>
                <w:b/>
                <w:color w:val="auto"/>
                <w:sz w:val="24"/>
              </w:rPr>
              <w:t>六、</w:t>
            </w:r>
            <w:r>
              <w:rPr>
                <w:b/>
                <w:color w:val="auto"/>
                <w:sz w:val="24"/>
              </w:rPr>
              <w:t>综合结论</w:t>
            </w:r>
          </w:p>
          <w:p>
            <w:pPr>
              <w:pStyle w:val="72"/>
              <w:keepNext w:val="0"/>
              <w:keepLines w:val="0"/>
              <w:pageBreakBefore w:val="0"/>
              <w:widowControl w:val="0"/>
              <w:kinsoku/>
              <w:wordWrap/>
              <w:overflowPunct/>
              <w:topLinePunct w:val="0"/>
              <w:autoSpaceDE/>
              <w:autoSpaceDN/>
              <w:bidi w:val="0"/>
              <w:adjustRightInd w:val="0"/>
              <w:snapToGrid/>
              <w:spacing w:line="336" w:lineRule="auto"/>
              <w:ind w:left="0" w:right="0" w:firstLine="480" w:firstLineChars="200"/>
              <w:jc w:val="both"/>
              <w:textAlignment w:val="baseline"/>
              <w:rPr>
                <w:color w:val="auto"/>
              </w:rPr>
            </w:pPr>
            <w:r>
              <w:rPr>
                <w:color w:val="auto"/>
              </w:rPr>
              <w:t>通过上述分析，</w:t>
            </w:r>
            <w:r>
              <w:rPr>
                <w:rFonts w:hint="eastAsia"/>
                <w:color w:val="auto"/>
              </w:rPr>
              <w:t>本项目符合国家和地方产业政策，符合当地城市规划和环境保护规划，采取的“三废”治理措施经济技术可行有效，工程实施后可满足当地环境质量要求。</w:t>
            </w:r>
          </w:p>
          <w:p>
            <w:pPr>
              <w:pStyle w:val="72"/>
              <w:keepNext w:val="0"/>
              <w:keepLines w:val="0"/>
              <w:pageBreakBefore w:val="0"/>
              <w:widowControl w:val="0"/>
              <w:kinsoku/>
              <w:wordWrap/>
              <w:overflowPunct/>
              <w:topLinePunct w:val="0"/>
              <w:autoSpaceDE/>
              <w:autoSpaceDN/>
              <w:bidi w:val="0"/>
              <w:adjustRightInd w:val="0"/>
              <w:snapToGrid/>
              <w:spacing w:line="336" w:lineRule="auto"/>
              <w:ind w:left="0" w:right="0" w:firstLine="480" w:firstLineChars="200"/>
              <w:jc w:val="both"/>
              <w:textAlignment w:val="baseline"/>
              <w:rPr>
                <w:rFonts w:hint="eastAsia"/>
                <w:color w:val="auto"/>
              </w:rPr>
            </w:pPr>
            <w:r>
              <w:rPr>
                <w:rFonts w:hint="eastAsia"/>
                <w:color w:val="auto"/>
              </w:rPr>
              <w:t>评价认为，在确保各项污染治理措施“三同时”建设和外排污染物达标的前提下，从环境保护角度而言本项目建设是可行的。</w:t>
            </w:r>
          </w:p>
          <w:p>
            <w:pPr>
              <w:pStyle w:val="72"/>
              <w:keepNext w:val="0"/>
              <w:keepLines w:val="0"/>
              <w:pageBreakBefore w:val="0"/>
              <w:widowControl w:val="0"/>
              <w:kinsoku/>
              <w:wordWrap/>
              <w:overflowPunct/>
              <w:topLinePunct w:val="0"/>
              <w:autoSpaceDE/>
              <w:autoSpaceDN/>
              <w:bidi w:val="0"/>
              <w:adjustRightInd w:val="0"/>
              <w:snapToGrid/>
              <w:spacing w:line="360" w:lineRule="auto"/>
              <w:ind w:left="0" w:right="0" w:firstLine="482" w:firstLineChars="200"/>
              <w:jc w:val="both"/>
              <w:textAlignment w:val="baseline"/>
              <w:rPr>
                <w:b/>
                <w:bCs/>
                <w:color w:val="auto"/>
                <w:sz w:val="24"/>
              </w:rPr>
            </w:pPr>
            <w:r>
              <w:rPr>
                <w:rFonts w:hint="eastAsia"/>
                <w:b/>
                <w:bCs/>
                <w:color w:val="auto"/>
                <w:sz w:val="24"/>
              </w:rPr>
              <w:t>七</w:t>
            </w:r>
            <w:r>
              <w:rPr>
                <w:b/>
                <w:bCs/>
                <w:color w:val="auto"/>
                <w:sz w:val="24"/>
              </w:rPr>
              <w:t>、建议</w:t>
            </w:r>
          </w:p>
          <w:p>
            <w:pPr>
              <w:spacing w:line="360" w:lineRule="auto"/>
              <w:ind w:firstLine="480" w:firstLineChars="200"/>
              <w:rPr>
                <w:color w:val="auto"/>
                <w:sz w:val="24"/>
              </w:rPr>
            </w:pPr>
            <w:r>
              <w:rPr>
                <w:color w:val="auto"/>
                <w:sz w:val="24"/>
              </w:rPr>
              <w:t>1、根据环评要求，落实“三废治理”费用，做到专款专用，项目实施后应保证足够的环保资金，确保污染防治措施有效地运行，保证污染物达标排放；</w:t>
            </w:r>
          </w:p>
          <w:p>
            <w:pPr>
              <w:spacing w:line="360" w:lineRule="auto"/>
              <w:ind w:firstLine="480" w:firstLineChars="200"/>
              <w:rPr>
                <w:color w:val="auto"/>
                <w:sz w:val="24"/>
              </w:rPr>
            </w:pPr>
            <w:r>
              <w:rPr>
                <w:color w:val="auto"/>
                <w:sz w:val="24"/>
              </w:rPr>
              <w:t>2、加强环境管理和宣传教育，提高员工环保意识；</w:t>
            </w:r>
          </w:p>
          <w:p>
            <w:pPr>
              <w:spacing w:line="360" w:lineRule="auto"/>
              <w:ind w:firstLine="480" w:firstLineChars="200"/>
              <w:rPr>
                <w:color w:val="auto"/>
                <w:sz w:val="24"/>
              </w:rPr>
            </w:pPr>
            <w:r>
              <w:rPr>
                <w:color w:val="auto"/>
                <w:sz w:val="24"/>
              </w:rPr>
              <w:t>3、搞好厂区的绿化</w:t>
            </w:r>
            <w:r>
              <w:rPr>
                <w:rFonts w:hint="eastAsia"/>
                <w:color w:val="auto"/>
                <w:sz w:val="24"/>
              </w:rPr>
              <w:t>、</w:t>
            </w:r>
            <w:r>
              <w:rPr>
                <w:color w:val="auto"/>
                <w:sz w:val="24"/>
              </w:rPr>
              <w:t>美化</w:t>
            </w:r>
            <w:r>
              <w:rPr>
                <w:rFonts w:hint="eastAsia"/>
                <w:color w:val="auto"/>
                <w:sz w:val="24"/>
              </w:rPr>
              <w:t>、</w:t>
            </w:r>
            <w:r>
              <w:rPr>
                <w:color w:val="auto"/>
                <w:sz w:val="24"/>
              </w:rPr>
              <w:t xml:space="preserve">净化工作； </w:t>
            </w:r>
          </w:p>
          <w:p>
            <w:pPr>
              <w:spacing w:line="360" w:lineRule="auto"/>
              <w:ind w:firstLine="480" w:firstLineChars="200"/>
              <w:rPr>
                <w:color w:val="auto"/>
                <w:sz w:val="24"/>
              </w:rPr>
            </w:pPr>
            <w:r>
              <w:rPr>
                <w:color w:val="auto"/>
                <w:sz w:val="24"/>
              </w:rPr>
              <w:t>4、建立健全一套完善的环境管理制度，并严格按管理制度执行；</w:t>
            </w:r>
          </w:p>
          <w:p>
            <w:pPr>
              <w:spacing w:line="360" w:lineRule="auto"/>
              <w:ind w:firstLine="480" w:firstLineChars="200"/>
              <w:rPr>
                <w:color w:val="auto"/>
                <w:sz w:val="24"/>
              </w:rPr>
            </w:pPr>
            <w:r>
              <w:rPr>
                <w:color w:val="auto"/>
                <w:sz w:val="24"/>
              </w:rPr>
              <w:t>5、加强生产管理，实施清洁生产，从而减少污染物的产生量；</w:t>
            </w:r>
          </w:p>
          <w:p>
            <w:pPr>
              <w:spacing w:line="360" w:lineRule="auto"/>
              <w:ind w:firstLine="480" w:firstLineChars="200"/>
              <w:rPr>
                <w:color w:val="auto"/>
                <w:sz w:val="24"/>
              </w:rPr>
            </w:pPr>
            <w:r>
              <w:rPr>
                <w:color w:val="auto"/>
                <w:sz w:val="24"/>
              </w:rPr>
              <w:t>6、合理生产布局，建立设备管理网络体系，形成保证设备正常运行和正常维修保养的一系列工程程序，确保设备完好，尽可能减少污染物排放量；</w:t>
            </w:r>
          </w:p>
          <w:p>
            <w:pPr>
              <w:spacing w:line="360" w:lineRule="auto"/>
              <w:ind w:firstLine="480" w:firstLineChars="200"/>
              <w:rPr>
                <w:color w:val="auto"/>
                <w:sz w:val="24"/>
              </w:rPr>
            </w:pPr>
            <w:r>
              <w:rPr>
                <w:color w:val="auto"/>
                <w:sz w:val="24"/>
              </w:rPr>
              <w:t>7、关心并积极听取可能受项目环境影响的附近居民等人员</w:t>
            </w:r>
            <w:r>
              <w:rPr>
                <w:rFonts w:hint="eastAsia"/>
                <w:color w:val="auto"/>
                <w:sz w:val="24"/>
              </w:rPr>
              <w:t>、</w:t>
            </w:r>
            <w:r>
              <w:rPr>
                <w:color w:val="auto"/>
                <w:sz w:val="24"/>
              </w:rPr>
              <w:t>单位的反映，定期向项目最高管理者和当地环保部门汇报项目环境保护工作的情况，同时接受当地环境保护部门的监督和管理。遵守有关环境法律；法规，树立良好的企业形象，实现经济效益与社会效益；环境效益相统一；</w:t>
            </w:r>
          </w:p>
          <w:p>
            <w:pPr>
              <w:pStyle w:val="29"/>
              <w:ind w:firstLine="480"/>
              <w:rPr>
                <w:b w:val="0"/>
                <w:color w:val="auto"/>
                <w:sz w:val="24"/>
              </w:rPr>
            </w:pPr>
            <w:r>
              <w:rPr>
                <w:rFonts w:hint="eastAsia"/>
                <w:b w:val="0"/>
                <w:color w:val="auto"/>
                <w:sz w:val="24"/>
              </w:rPr>
              <w:t>8、作好防范措施，防治废气、噪声扰民；一旦出现相关投诉，项目应立即停止生产并协调处理相关投诉，采取有效措施；</w:t>
            </w:r>
          </w:p>
          <w:p>
            <w:pPr>
              <w:pStyle w:val="29"/>
              <w:ind w:firstLine="480"/>
              <w:rPr>
                <w:b w:val="0"/>
                <w:color w:val="auto"/>
                <w:sz w:val="24"/>
              </w:rPr>
            </w:pPr>
            <w:r>
              <w:rPr>
                <w:rFonts w:hint="eastAsia"/>
                <w:b w:val="0"/>
                <w:color w:val="auto"/>
                <w:sz w:val="24"/>
              </w:rPr>
              <w:t>9、企业要定期或不定期委托具有监测能力和资格单位对本项目的有组织或无组织排放情况进行监测，以便掌握本项目污染及达标排放情况，一旦出现有投诉影响人体健康或污染物排放超过国家和地方有关环保标准，应及时停产并对环保设施进行检修；</w:t>
            </w:r>
          </w:p>
          <w:p>
            <w:pPr>
              <w:spacing w:line="360" w:lineRule="auto"/>
              <w:ind w:firstLine="480" w:firstLineChars="200"/>
              <w:rPr>
                <w:color w:val="auto"/>
                <w:sz w:val="24"/>
              </w:rPr>
            </w:pPr>
            <w:r>
              <w:rPr>
                <w:rFonts w:hint="eastAsia"/>
                <w:color w:val="auto"/>
                <w:sz w:val="24"/>
              </w:rPr>
              <w:t>10</w:t>
            </w:r>
            <w:r>
              <w:rPr>
                <w:color w:val="auto"/>
                <w:sz w:val="24"/>
              </w:rPr>
              <w:t>、今后若企业的生产工艺发生变化或生产规模扩大；生产技术更新改造，都必须重新进行环境影响评价，并征得环保部门审批同意后方可实施。</w:t>
            </w:r>
            <w:r>
              <w:rPr>
                <w:color w:val="auto"/>
                <w:sz w:val="24"/>
              </w:rPr>
              <w:tab/>
            </w:r>
          </w:p>
          <w:p>
            <w:pPr>
              <w:pStyle w:val="2"/>
              <w:wordWrap w:val="0"/>
              <w:spacing w:line="360" w:lineRule="auto"/>
              <w:jc w:val="right"/>
              <w:rPr>
                <w:color w:val="auto"/>
              </w:rPr>
            </w:pPr>
          </w:p>
          <w:p>
            <w:pPr>
              <w:pStyle w:val="2"/>
              <w:spacing w:line="360" w:lineRule="auto"/>
              <w:jc w:val="right"/>
              <w:rPr>
                <w:color w:val="auto"/>
              </w:rPr>
            </w:pPr>
          </w:p>
          <w:p>
            <w:pPr>
              <w:pStyle w:val="2"/>
              <w:wordWrap w:val="0"/>
              <w:spacing w:line="360" w:lineRule="auto"/>
              <w:jc w:val="right"/>
              <w:rPr>
                <w:rFonts w:hint="default" w:eastAsia="宋体"/>
                <w:color w:val="auto"/>
                <w:highlight w:val="none"/>
                <w:lang w:val="en-US" w:eastAsia="zh-CN"/>
              </w:rPr>
            </w:pPr>
            <w:r>
              <w:rPr>
                <w:rFonts w:hint="eastAsia"/>
                <w:color w:val="auto"/>
              </w:rPr>
              <w:t>评价单位：</w:t>
            </w:r>
            <w:r>
              <w:rPr>
                <w:rFonts w:hint="eastAsia"/>
                <w:color w:val="auto"/>
                <w:highlight w:val="none"/>
                <w:lang w:val="en-US" w:eastAsia="zh-CN"/>
              </w:rPr>
              <w:t xml:space="preserve">                              </w:t>
            </w:r>
          </w:p>
          <w:p>
            <w:pPr>
              <w:pStyle w:val="2"/>
              <w:wordWrap w:val="0"/>
              <w:spacing w:line="360" w:lineRule="auto"/>
              <w:jc w:val="right"/>
              <w:rPr>
                <w:color w:val="auto"/>
              </w:rPr>
            </w:pPr>
            <w:r>
              <w:rPr>
                <w:rFonts w:hint="eastAsia"/>
                <w:color w:val="auto"/>
              </w:rPr>
              <w:t xml:space="preserve"> 项目负责人：                            </w:t>
            </w:r>
          </w:p>
          <w:p>
            <w:pPr>
              <w:pStyle w:val="2"/>
              <w:jc w:val="center"/>
              <w:rPr>
                <w:color w:val="auto"/>
              </w:rPr>
            </w:pPr>
            <w:r>
              <w:rPr>
                <w:rFonts w:hint="eastAsia"/>
                <w:color w:val="auto"/>
              </w:rPr>
              <w:t xml:space="preserve">        审核日期：</w:t>
            </w:r>
          </w:p>
          <w:p>
            <w:pPr>
              <w:pStyle w:val="2"/>
              <w:jc w:val="center"/>
              <w:rPr>
                <w:color w:val="auto"/>
              </w:rPr>
            </w:pPr>
          </w:p>
          <w:p>
            <w:pPr>
              <w:pStyle w:val="2"/>
              <w:jc w:val="center"/>
              <w:rPr>
                <w:color w:val="auto"/>
              </w:rPr>
            </w:pPr>
          </w:p>
          <w:p>
            <w:pPr>
              <w:pStyle w:val="2"/>
              <w:jc w:val="center"/>
              <w:rPr>
                <w:color w:val="auto"/>
              </w:rPr>
            </w:pPr>
          </w:p>
          <w:p>
            <w:pPr>
              <w:pStyle w:val="2"/>
              <w:jc w:val="center"/>
              <w:rPr>
                <w:color w:val="auto"/>
              </w:rPr>
            </w:pPr>
          </w:p>
          <w:p>
            <w:pPr>
              <w:pStyle w:val="2"/>
              <w:jc w:val="center"/>
              <w:rPr>
                <w:color w:val="auto"/>
              </w:rPr>
            </w:pPr>
          </w:p>
          <w:p>
            <w:pPr>
              <w:pStyle w:val="2"/>
              <w:jc w:val="center"/>
              <w:rPr>
                <w:color w:val="auto"/>
              </w:rPr>
            </w:pPr>
          </w:p>
          <w:p>
            <w:pPr>
              <w:pStyle w:val="2"/>
              <w:jc w:val="center"/>
              <w:rPr>
                <w:color w:val="auto"/>
              </w:rPr>
            </w:pPr>
          </w:p>
        </w:tc>
      </w:tr>
    </w:tbl>
    <w:p>
      <w:pPr>
        <w:rPr>
          <w:color w:val="auto"/>
          <w:sz w:val="28"/>
        </w:rPr>
        <w:sectPr>
          <w:footerReference r:id="rId15" w:type="default"/>
          <w:pgSz w:w="11907" w:h="16840"/>
          <w:pgMar w:top="1440" w:right="1134" w:bottom="1134" w:left="1418" w:header="0" w:footer="898" w:gutter="0"/>
          <w:cols w:space="720" w:num="1"/>
          <w:docGrid w:linePitch="326" w:charSpace="-4916"/>
        </w:sectPr>
      </w:pPr>
    </w:p>
    <w:tbl>
      <w:tblPr>
        <w:tblStyle w:val="44"/>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6" w:hRule="atLeast"/>
        </w:trPr>
        <w:tc>
          <w:tcPr>
            <w:tcW w:w="9288" w:type="dxa"/>
          </w:tcPr>
          <w:p>
            <w:pPr>
              <w:pStyle w:val="58"/>
              <w:spacing w:before="200" w:line="240" w:lineRule="auto"/>
              <w:ind w:firstLine="0"/>
              <w:rPr>
                <w:rFonts w:eastAsia="宋体"/>
                <w:color w:val="auto"/>
                <w:szCs w:val="24"/>
              </w:rPr>
            </w:pPr>
            <w:r>
              <w:rPr>
                <w:rFonts w:eastAsia="宋体"/>
                <w:color w:val="auto"/>
              </w:rPr>
              <w:br w:type="page"/>
            </w:r>
            <w:r>
              <w:rPr>
                <w:rFonts w:hint="eastAsia" w:eastAsia="宋体"/>
                <w:bCs/>
                <w:color w:val="auto"/>
                <w:szCs w:val="24"/>
              </w:rPr>
              <w:t>预审意见：</w:t>
            </w: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r>
              <w:rPr>
                <w:rFonts w:hint="eastAsia" w:eastAsia="宋体"/>
                <w:color w:val="auto"/>
              </w:rPr>
              <w:t>　　　　　　　　　　　　　　　　　　　　　　　　　　　　　　　公　章</w:t>
            </w:r>
          </w:p>
          <w:p>
            <w:pPr>
              <w:pStyle w:val="58"/>
              <w:spacing w:before="200" w:line="240" w:lineRule="auto"/>
              <w:ind w:firstLine="0"/>
              <w:rPr>
                <w:rFonts w:eastAsia="宋体"/>
                <w:color w:val="auto"/>
              </w:rPr>
            </w:pPr>
            <w:r>
              <w:rPr>
                <w:rFonts w:hint="eastAsia" w:eastAsia="宋体"/>
                <w:color w:val="auto"/>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9288" w:type="dxa"/>
          </w:tcPr>
          <w:p>
            <w:pPr>
              <w:pStyle w:val="58"/>
              <w:spacing w:before="200" w:line="240" w:lineRule="auto"/>
              <w:ind w:firstLine="0"/>
              <w:rPr>
                <w:rFonts w:eastAsia="宋体"/>
                <w:bCs/>
                <w:color w:val="auto"/>
                <w:szCs w:val="24"/>
              </w:rPr>
            </w:pPr>
            <w:r>
              <w:rPr>
                <w:rFonts w:hint="eastAsia" w:eastAsia="宋体"/>
                <w:bCs/>
                <w:color w:val="auto"/>
                <w:szCs w:val="24"/>
              </w:rPr>
              <w:t>下一级环境保护行政主管部门审查意见：</w:t>
            </w: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r>
              <w:rPr>
                <w:rFonts w:hint="eastAsia" w:eastAsia="宋体"/>
                <w:color w:val="auto"/>
              </w:rPr>
              <w:t>　　　　　　　　　　　　　　　　　　　　　　　　　　　　　　　公　章</w:t>
            </w:r>
          </w:p>
          <w:p>
            <w:pPr>
              <w:pStyle w:val="58"/>
              <w:spacing w:before="200" w:line="240" w:lineRule="auto"/>
              <w:ind w:firstLine="0"/>
              <w:rPr>
                <w:rFonts w:eastAsia="宋体"/>
                <w:color w:val="auto"/>
              </w:rPr>
            </w:pPr>
            <w:r>
              <w:rPr>
                <w:rFonts w:hint="eastAsia" w:eastAsia="宋体"/>
                <w:color w:val="auto"/>
              </w:rPr>
              <w:t>经办人：　　　　　　　　　　　　　　　　　　　　　　　　　　年　　月　　日</w:t>
            </w: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tc>
      </w:tr>
    </w:tbl>
    <w:tbl>
      <w:tblPr>
        <w:tblStyle w:val="44"/>
        <w:tblpPr w:leftFromText="180" w:rightFromText="180" w:vertAnchor="page" w:horzAnchor="page" w:tblpX="1305" w:tblpY="1499"/>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5" w:hRule="atLeast"/>
        </w:trPr>
        <w:tc>
          <w:tcPr>
            <w:tcW w:w="9288" w:type="dxa"/>
            <w:tcBorders>
              <w:bottom w:val="single" w:color="auto" w:sz="4" w:space="0"/>
            </w:tcBorders>
          </w:tcPr>
          <w:p>
            <w:pPr>
              <w:pStyle w:val="58"/>
              <w:spacing w:before="200" w:line="240" w:lineRule="auto"/>
              <w:ind w:firstLine="0"/>
              <w:rPr>
                <w:rFonts w:eastAsia="宋体"/>
                <w:bCs/>
                <w:color w:val="auto"/>
                <w:szCs w:val="24"/>
              </w:rPr>
            </w:pPr>
            <w:r>
              <w:rPr>
                <w:rFonts w:hint="eastAsia" w:eastAsia="宋体"/>
                <w:bCs/>
                <w:color w:val="auto"/>
                <w:szCs w:val="24"/>
              </w:rPr>
              <w:t>审批意见：</w:t>
            </w: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p>
          <w:p>
            <w:pPr>
              <w:pStyle w:val="58"/>
              <w:spacing w:before="200" w:line="240" w:lineRule="auto"/>
              <w:ind w:firstLine="0"/>
              <w:rPr>
                <w:rFonts w:eastAsia="宋体"/>
                <w:color w:val="auto"/>
              </w:rPr>
            </w:pPr>
            <w:r>
              <w:rPr>
                <w:rFonts w:hint="eastAsia" w:eastAsia="宋体"/>
                <w:color w:val="auto"/>
              </w:rPr>
              <w:t>　　　　　　　　　　　　　　　　　　　　　　　　　　　　　　　公　章</w:t>
            </w:r>
          </w:p>
          <w:p>
            <w:pPr>
              <w:pStyle w:val="58"/>
              <w:spacing w:before="200" w:line="240" w:lineRule="auto"/>
              <w:ind w:firstLine="0"/>
              <w:rPr>
                <w:rFonts w:eastAsia="宋体"/>
                <w:color w:val="auto"/>
              </w:rPr>
            </w:pPr>
            <w:r>
              <w:rPr>
                <w:rFonts w:hint="eastAsia" w:eastAsia="宋体"/>
                <w:color w:val="auto"/>
              </w:rPr>
              <w:t>经办人：　　　　　　　　　　　　　　　　　　　　　　　　　　　年　　月　　日</w:t>
            </w:r>
          </w:p>
        </w:tc>
      </w:tr>
    </w:tbl>
    <w:p>
      <w:pPr>
        <w:rPr>
          <w:color w:val="auto"/>
        </w:rPr>
      </w:pPr>
    </w:p>
    <w:p>
      <w:pPr>
        <w:spacing w:before="60" w:after="60"/>
        <w:ind w:left="210" w:leftChars="100"/>
        <w:outlineLvl w:val="0"/>
        <w:rPr>
          <w:rFonts w:eastAsia="黑体"/>
          <w:b/>
          <w:bCs/>
          <w:color w:val="auto"/>
          <w:sz w:val="36"/>
          <w:szCs w:val="36"/>
        </w:rPr>
        <w:sectPr>
          <w:headerReference r:id="rId16" w:type="default"/>
          <w:footerReference r:id="rId17" w:type="default"/>
          <w:footerReference r:id="rId18" w:type="even"/>
          <w:pgSz w:w="11907" w:h="16840"/>
          <w:pgMar w:top="1418" w:right="1304" w:bottom="1418" w:left="1304" w:header="851" w:footer="851" w:gutter="0"/>
          <w:cols w:space="425" w:num="1"/>
          <w:docGrid w:type="lines" w:linePitch="312" w:charSpace="0"/>
        </w:sectPr>
      </w:pPr>
    </w:p>
    <w:tbl>
      <w:tblPr>
        <w:tblStyle w:val="44"/>
        <w:tblpPr w:leftFromText="180" w:rightFromText="180" w:vertAnchor="text" w:horzAnchor="page" w:tblpX="1410" w:tblpY="99"/>
        <w:tblOverlap w:val="never"/>
        <w:tblW w:w="93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375" w:type="dxa"/>
          </w:tcPr>
          <w:p>
            <w:pPr>
              <w:keepNext w:val="0"/>
              <w:keepLines w:val="0"/>
              <w:pageBreakBefore w:val="0"/>
              <w:widowControl w:val="0"/>
              <w:kinsoku/>
              <w:wordWrap/>
              <w:overflowPunct/>
              <w:topLinePunct w:val="0"/>
              <w:autoSpaceDE w:val="0"/>
              <w:autoSpaceDN w:val="0"/>
              <w:bidi w:val="0"/>
              <w:adjustRightInd w:val="0"/>
              <w:snapToGrid/>
              <w:spacing w:line="240" w:lineRule="auto"/>
              <w:jc w:val="center"/>
              <w:rPr>
                <w:color w:val="auto"/>
              </w:rPr>
            </w:pPr>
            <w:r>
              <w:rPr>
                <w:rFonts w:hint="eastAsia"/>
                <w:b/>
                <w:bCs/>
                <w:color w:val="auto"/>
                <w:sz w:val="24"/>
                <w:szCs w:val="24"/>
              </w:rPr>
              <w:t>注释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5" w:hRule="atLeast"/>
        </w:trPr>
        <w:tc>
          <w:tcPr>
            <w:tcW w:w="9375" w:type="dxa"/>
          </w:tcPr>
          <w:p>
            <w:pPr>
              <w:pStyle w:val="151"/>
              <w:keepNext w:val="0"/>
              <w:keepLines w:val="0"/>
              <w:pageBreakBefore w:val="0"/>
              <w:widowControl w:val="0"/>
              <w:kinsoku/>
              <w:wordWrap/>
              <w:overflowPunct/>
              <w:topLinePunct w:val="0"/>
              <w:bidi w:val="0"/>
              <w:snapToGrid/>
              <w:spacing w:line="264" w:lineRule="auto"/>
              <w:ind w:left="0" w:firstLine="482"/>
              <w:jc w:val="left"/>
              <w:rPr>
                <w:rFonts w:asciiTheme="majorEastAsia" w:hAnsiTheme="majorEastAsia" w:eastAsiaTheme="majorEastAsia" w:cstheme="majorEastAsia"/>
                <w:b/>
                <w:color w:val="auto"/>
                <w:kern w:val="2"/>
                <w:szCs w:val="24"/>
              </w:rPr>
            </w:pPr>
            <w:r>
              <w:rPr>
                <w:rFonts w:hint="eastAsia" w:asciiTheme="majorEastAsia" w:hAnsiTheme="majorEastAsia" w:eastAsiaTheme="majorEastAsia" w:cstheme="majorEastAsia"/>
                <w:b/>
                <w:color w:val="auto"/>
                <w:kern w:val="2"/>
                <w:szCs w:val="24"/>
              </w:rPr>
              <w:t>一、本报告表应附以下附件、附图：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附图1  项目地理位置图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附图2  项目四至图</w:t>
            </w:r>
            <w:r>
              <w:rPr>
                <w:color w:val="auto"/>
                <w:sz w:val="24"/>
              </w:rPr>
              <w:t>（噪声监测点位图）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附图3  项目车间平面布置图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 xml:space="preserve">附图4  </w:t>
            </w:r>
            <w:r>
              <w:rPr>
                <w:color w:val="auto"/>
                <w:sz w:val="24"/>
              </w:rPr>
              <w:t>项目四至情况布置图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附图5  开平市水口污水处理厂污水管网布置图</w:t>
            </w:r>
          </w:p>
          <w:p>
            <w:pPr>
              <w:keepNext w:val="0"/>
              <w:keepLines w:val="0"/>
              <w:pageBreakBefore w:val="0"/>
              <w:widowControl w:val="0"/>
              <w:kinsoku/>
              <w:wordWrap/>
              <w:overflowPunct/>
              <w:topLinePunct w:val="0"/>
              <w:bidi w:val="0"/>
              <w:snapToGrid/>
              <w:spacing w:line="264" w:lineRule="auto"/>
              <w:rPr>
                <w:rFonts w:hint="default" w:eastAsia="宋体"/>
                <w:color w:val="auto"/>
                <w:sz w:val="24"/>
                <w:lang w:val="en-US" w:eastAsia="zh-CN"/>
              </w:rPr>
            </w:pPr>
            <w:r>
              <w:rPr>
                <w:rFonts w:hint="eastAsia"/>
                <w:color w:val="auto"/>
                <w:sz w:val="24"/>
              </w:rPr>
              <w:t xml:space="preserve">附图6  </w:t>
            </w:r>
            <w:r>
              <w:rPr>
                <w:color w:val="auto"/>
                <w:sz w:val="24"/>
              </w:rPr>
              <w:t>项目周围敏感点图</w:t>
            </w:r>
            <w:r>
              <w:rPr>
                <w:rFonts w:hint="eastAsia"/>
                <w:color w:val="auto"/>
                <w:sz w:val="24"/>
                <w:lang w:val="en-US" w:eastAsia="zh-CN"/>
              </w:rPr>
              <w:t>（5km）</w:t>
            </w:r>
          </w:p>
          <w:p>
            <w:pPr>
              <w:keepNext w:val="0"/>
              <w:keepLines w:val="0"/>
              <w:pageBreakBefore w:val="0"/>
              <w:widowControl w:val="0"/>
              <w:kinsoku/>
              <w:wordWrap/>
              <w:overflowPunct/>
              <w:topLinePunct w:val="0"/>
              <w:bidi w:val="0"/>
              <w:snapToGrid/>
              <w:spacing w:line="264" w:lineRule="auto"/>
              <w:rPr>
                <w:rFonts w:hint="eastAsia"/>
                <w:color w:val="auto"/>
                <w:sz w:val="24"/>
              </w:rPr>
            </w:pPr>
            <w:r>
              <w:rPr>
                <w:rFonts w:hint="eastAsia"/>
                <w:color w:val="auto"/>
                <w:sz w:val="24"/>
              </w:rPr>
              <w:t>附图7  项目大气环境、地表水环境监测布点图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附图</w:t>
            </w:r>
            <w:r>
              <w:rPr>
                <w:rFonts w:hint="eastAsia"/>
                <w:color w:val="auto"/>
                <w:sz w:val="24"/>
                <w:lang w:val="en-US" w:eastAsia="zh-CN"/>
              </w:rPr>
              <w:t>8</w:t>
            </w:r>
            <w:r>
              <w:rPr>
                <w:rFonts w:hint="eastAsia"/>
                <w:color w:val="auto"/>
                <w:sz w:val="24"/>
              </w:rPr>
              <w:t xml:space="preserve">  </w:t>
            </w:r>
            <w:r>
              <w:rPr>
                <w:rFonts w:ascii="Times New Roman" w:hAnsi="Times New Roman"/>
                <w:color w:val="auto"/>
                <w:sz w:val="24"/>
                <w:szCs w:val="24"/>
              </w:rPr>
              <w:t>项目大气环境区划图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附图</w:t>
            </w:r>
            <w:r>
              <w:rPr>
                <w:rFonts w:hint="eastAsia"/>
                <w:color w:val="auto"/>
                <w:sz w:val="24"/>
                <w:lang w:val="en-US" w:eastAsia="zh-CN"/>
              </w:rPr>
              <w:t>9</w:t>
            </w:r>
            <w:r>
              <w:rPr>
                <w:rFonts w:hint="eastAsia"/>
                <w:color w:val="auto"/>
                <w:sz w:val="24"/>
              </w:rPr>
              <w:t xml:space="preserve">  </w:t>
            </w:r>
            <w:r>
              <w:rPr>
                <w:rFonts w:ascii="Times New Roman" w:hAnsi="Times New Roman"/>
                <w:color w:val="auto"/>
                <w:sz w:val="24"/>
                <w:szCs w:val="24"/>
              </w:rPr>
              <w:t>项目水环境功能区划图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附图</w:t>
            </w:r>
            <w:r>
              <w:rPr>
                <w:rFonts w:hint="eastAsia"/>
                <w:color w:val="auto"/>
                <w:sz w:val="24"/>
                <w:lang w:val="en-US" w:eastAsia="zh-CN"/>
              </w:rPr>
              <w:t>10</w:t>
            </w:r>
            <w:r>
              <w:rPr>
                <w:rFonts w:hint="eastAsia"/>
                <w:color w:val="auto"/>
                <w:sz w:val="24"/>
              </w:rPr>
              <w:t xml:space="preserve"> </w:t>
            </w:r>
            <w:r>
              <w:rPr>
                <w:rFonts w:ascii="Times New Roman" w:hAnsi="Times New Roman"/>
                <w:color w:val="auto"/>
                <w:sz w:val="24"/>
                <w:szCs w:val="24"/>
              </w:rPr>
              <w:t>项目地下水功能区划图</w:t>
            </w:r>
          </w:p>
          <w:p>
            <w:pPr>
              <w:keepNext w:val="0"/>
              <w:keepLines w:val="0"/>
              <w:pageBreakBefore w:val="0"/>
              <w:widowControl w:val="0"/>
              <w:kinsoku/>
              <w:wordWrap/>
              <w:overflowPunct/>
              <w:topLinePunct w:val="0"/>
              <w:bidi w:val="0"/>
              <w:snapToGrid/>
              <w:spacing w:line="264" w:lineRule="auto"/>
              <w:rPr>
                <w:rFonts w:hint="eastAsia" w:eastAsia="宋体"/>
                <w:color w:val="auto"/>
                <w:sz w:val="24"/>
                <w:lang w:eastAsia="zh-CN"/>
              </w:rPr>
            </w:pPr>
            <w:r>
              <w:rPr>
                <w:rFonts w:hint="eastAsia"/>
                <w:color w:val="auto"/>
                <w:sz w:val="24"/>
              </w:rPr>
              <w:t>附图</w:t>
            </w:r>
            <w:r>
              <w:rPr>
                <w:rFonts w:hint="eastAsia"/>
                <w:color w:val="auto"/>
                <w:sz w:val="24"/>
                <w:lang w:val="en-US" w:eastAsia="zh-CN"/>
              </w:rPr>
              <w:t>11</w:t>
            </w:r>
            <w:r>
              <w:rPr>
                <w:rFonts w:hint="eastAsia"/>
                <w:color w:val="auto"/>
                <w:sz w:val="24"/>
              </w:rPr>
              <w:t xml:space="preserve"> </w:t>
            </w:r>
            <w:r>
              <w:rPr>
                <w:rFonts w:hint="eastAsia" w:ascii="Times New Roman" w:hAnsi="Times New Roman"/>
                <w:color w:val="auto"/>
                <w:sz w:val="24"/>
                <w:szCs w:val="24"/>
              </w:rPr>
              <w:t>江门市主体功能</w:t>
            </w:r>
            <w:r>
              <w:rPr>
                <w:rFonts w:ascii="Times New Roman" w:hAnsi="Times New Roman"/>
                <w:color w:val="auto"/>
                <w:sz w:val="24"/>
                <w:szCs w:val="24"/>
              </w:rPr>
              <w:t>区划图</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附件1  营业执照</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附件2  法人身份证</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附件3  租赁合同</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附件4  国有土地使用证</w:t>
            </w:r>
          </w:p>
          <w:p>
            <w:pPr>
              <w:keepNext w:val="0"/>
              <w:keepLines w:val="0"/>
              <w:pageBreakBefore w:val="0"/>
              <w:widowControl w:val="0"/>
              <w:kinsoku/>
              <w:wordWrap/>
              <w:overflowPunct/>
              <w:topLinePunct w:val="0"/>
              <w:bidi w:val="0"/>
              <w:snapToGrid/>
              <w:spacing w:line="264" w:lineRule="auto"/>
              <w:rPr>
                <w:color w:val="auto"/>
                <w:sz w:val="24"/>
              </w:rPr>
            </w:pPr>
            <w:r>
              <w:rPr>
                <w:rFonts w:hint="eastAsia"/>
                <w:color w:val="auto"/>
                <w:sz w:val="24"/>
              </w:rPr>
              <w:t>附件5  地表水环境质量和大气环境质量引用检测报告</w:t>
            </w:r>
          </w:p>
          <w:p>
            <w:pPr>
              <w:keepNext w:val="0"/>
              <w:keepLines w:val="0"/>
              <w:pageBreakBefore w:val="0"/>
              <w:widowControl w:val="0"/>
              <w:kinsoku/>
              <w:wordWrap/>
              <w:overflowPunct/>
              <w:topLinePunct w:val="0"/>
              <w:bidi w:val="0"/>
              <w:snapToGrid/>
              <w:spacing w:line="264" w:lineRule="auto"/>
              <w:rPr>
                <w:color w:val="auto"/>
                <w:sz w:val="24"/>
              </w:rPr>
            </w:pPr>
            <w:r>
              <w:rPr>
                <w:color w:val="auto"/>
                <w:sz w:val="24"/>
              </w:rPr>
              <w:t>附件</w:t>
            </w:r>
            <w:r>
              <w:rPr>
                <w:rFonts w:hint="eastAsia"/>
                <w:color w:val="auto"/>
                <w:sz w:val="24"/>
              </w:rPr>
              <w:t>6</w:t>
            </w:r>
            <w:r>
              <w:rPr>
                <w:color w:val="auto"/>
                <w:sz w:val="24"/>
              </w:rPr>
              <w:t xml:space="preserve">  大气环境质量引用检测报告</w:t>
            </w:r>
          </w:p>
          <w:p>
            <w:pPr>
              <w:keepNext w:val="0"/>
              <w:keepLines w:val="0"/>
              <w:pageBreakBefore w:val="0"/>
              <w:widowControl w:val="0"/>
              <w:kinsoku/>
              <w:wordWrap/>
              <w:overflowPunct/>
              <w:topLinePunct w:val="0"/>
              <w:bidi w:val="0"/>
              <w:snapToGrid/>
              <w:spacing w:line="264" w:lineRule="auto"/>
              <w:rPr>
                <w:color w:val="auto"/>
                <w:sz w:val="24"/>
              </w:rPr>
            </w:pPr>
            <w:r>
              <w:rPr>
                <w:color w:val="auto"/>
                <w:sz w:val="24"/>
              </w:rPr>
              <w:t>附件</w:t>
            </w:r>
            <w:r>
              <w:rPr>
                <w:rFonts w:hint="eastAsia"/>
                <w:color w:val="auto"/>
                <w:sz w:val="24"/>
              </w:rPr>
              <w:t>7</w:t>
            </w:r>
            <w:r>
              <w:rPr>
                <w:color w:val="auto"/>
                <w:sz w:val="24"/>
              </w:rPr>
              <w:t xml:space="preserve">  项目声环境质量检测报告</w:t>
            </w:r>
          </w:p>
          <w:p>
            <w:pPr>
              <w:keepNext w:val="0"/>
              <w:keepLines w:val="0"/>
              <w:pageBreakBefore w:val="0"/>
              <w:widowControl w:val="0"/>
              <w:kinsoku/>
              <w:wordWrap/>
              <w:overflowPunct/>
              <w:topLinePunct w:val="0"/>
              <w:bidi w:val="0"/>
              <w:snapToGrid/>
              <w:spacing w:line="264" w:lineRule="auto"/>
              <w:rPr>
                <w:color w:val="auto"/>
                <w:sz w:val="24"/>
              </w:rPr>
            </w:pPr>
            <w:r>
              <w:rPr>
                <w:color w:val="auto"/>
                <w:sz w:val="24"/>
              </w:rPr>
              <w:t>附件</w:t>
            </w:r>
            <w:r>
              <w:rPr>
                <w:rFonts w:hint="eastAsia"/>
                <w:color w:val="auto"/>
                <w:sz w:val="24"/>
              </w:rPr>
              <w:t>8</w:t>
            </w:r>
            <w:r>
              <w:rPr>
                <w:color w:val="auto"/>
                <w:sz w:val="24"/>
              </w:rPr>
              <w:t xml:space="preserve">  建设项目大气环境影响评价自查表</w:t>
            </w:r>
          </w:p>
          <w:p>
            <w:pPr>
              <w:keepNext w:val="0"/>
              <w:keepLines w:val="0"/>
              <w:pageBreakBefore w:val="0"/>
              <w:widowControl w:val="0"/>
              <w:kinsoku/>
              <w:wordWrap/>
              <w:overflowPunct/>
              <w:topLinePunct w:val="0"/>
              <w:bidi w:val="0"/>
              <w:snapToGrid/>
              <w:spacing w:line="264" w:lineRule="auto"/>
              <w:rPr>
                <w:color w:val="auto"/>
                <w:sz w:val="24"/>
              </w:rPr>
            </w:pPr>
            <w:r>
              <w:rPr>
                <w:color w:val="auto"/>
                <w:sz w:val="24"/>
              </w:rPr>
              <w:t>附件</w:t>
            </w:r>
            <w:r>
              <w:rPr>
                <w:rFonts w:hint="eastAsia"/>
                <w:color w:val="auto"/>
                <w:sz w:val="24"/>
              </w:rPr>
              <w:t>9</w:t>
            </w:r>
            <w:r>
              <w:rPr>
                <w:color w:val="auto"/>
                <w:sz w:val="24"/>
              </w:rPr>
              <w:t xml:space="preserve">  建设项目地表水环境影响评价自查表</w:t>
            </w:r>
          </w:p>
          <w:p>
            <w:pPr>
              <w:keepNext w:val="0"/>
              <w:keepLines w:val="0"/>
              <w:pageBreakBefore w:val="0"/>
              <w:widowControl w:val="0"/>
              <w:kinsoku/>
              <w:wordWrap/>
              <w:overflowPunct/>
              <w:topLinePunct w:val="0"/>
              <w:bidi w:val="0"/>
              <w:snapToGrid/>
              <w:spacing w:line="264" w:lineRule="auto"/>
              <w:rPr>
                <w:color w:val="auto"/>
                <w:sz w:val="24"/>
              </w:rPr>
            </w:pPr>
            <w:r>
              <w:rPr>
                <w:color w:val="auto"/>
                <w:sz w:val="24"/>
              </w:rPr>
              <w:t>附件</w:t>
            </w:r>
            <w:r>
              <w:rPr>
                <w:rFonts w:hint="eastAsia"/>
                <w:color w:val="auto"/>
                <w:sz w:val="24"/>
              </w:rPr>
              <w:t>10</w:t>
            </w:r>
            <w:r>
              <w:rPr>
                <w:color w:val="auto"/>
                <w:sz w:val="24"/>
              </w:rPr>
              <w:t xml:space="preserve"> 建设项目环境风险评价自查表</w:t>
            </w:r>
          </w:p>
          <w:p>
            <w:pPr>
              <w:pStyle w:val="2"/>
              <w:keepNext w:val="0"/>
              <w:keepLines w:val="0"/>
              <w:pageBreakBefore w:val="0"/>
              <w:widowControl w:val="0"/>
              <w:kinsoku/>
              <w:wordWrap/>
              <w:overflowPunct/>
              <w:topLinePunct w:val="0"/>
              <w:bidi w:val="0"/>
              <w:snapToGrid/>
              <w:spacing w:line="264" w:lineRule="auto"/>
              <w:rPr>
                <w:rFonts w:hint="eastAsia" w:ascii="Times New Roman" w:hAnsi="Times New Roman" w:eastAsia="宋体" w:cs="Times New Roman"/>
                <w:color w:val="auto"/>
                <w:kern w:val="2"/>
                <w:sz w:val="24"/>
                <w:szCs w:val="24"/>
                <w:lang w:val="en-US" w:eastAsia="zh-CN" w:bidi="ar-SA"/>
              </w:rPr>
            </w:pPr>
            <w:r>
              <w:rPr>
                <w:rFonts w:hint="eastAsia" w:ascii="Times New Roman" w:cs="Times New Roman"/>
                <w:color w:val="auto"/>
              </w:rPr>
              <w:t>附</w:t>
            </w:r>
            <w:r>
              <w:rPr>
                <w:rFonts w:hint="eastAsia" w:ascii="Times New Roman" w:hAnsi="Times New Roman" w:eastAsia="宋体" w:cs="Times New Roman"/>
                <w:color w:val="auto"/>
                <w:kern w:val="2"/>
                <w:sz w:val="24"/>
                <w:szCs w:val="24"/>
                <w:lang w:val="en-US" w:eastAsia="zh-CN" w:bidi="ar-SA"/>
              </w:rPr>
              <w:t>件11  生活污水接纳证明</w:t>
            </w:r>
          </w:p>
          <w:p>
            <w:pPr>
              <w:pStyle w:val="2"/>
              <w:keepNext w:val="0"/>
              <w:keepLines w:val="0"/>
              <w:pageBreakBefore w:val="0"/>
              <w:widowControl w:val="0"/>
              <w:kinsoku/>
              <w:wordWrap/>
              <w:overflowPunct/>
              <w:topLinePunct w:val="0"/>
              <w:bidi w:val="0"/>
              <w:snapToGrid/>
              <w:spacing w:line="264" w:lineRule="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附件12  邻苯二甲酸二丁酯增塑剂MSDS</w:t>
            </w:r>
          </w:p>
          <w:p>
            <w:pPr>
              <w:pStyle w:val="2"/>
              <w:keepNext w:val="0"/>
              <w:keepLines w:val="0"/>
              <w:pageBreakBefore w:val="0"/>
              <w:widowControl w:val="0"/>
              <w:kinsoku/>
              <w:wordWrap/>
              <w:overflowPunct/>
              <w:topLinePunct w:val="0"/>
              <w:bidi w:val="0"/>
              <w:snapToGrid/>
              <w:spacing w:line="264" w:lineRule="auto"/>
              <w:rPr>
                <w:rFonts w:hint="eastAsia" w:ascii="Times New Roman" w:cs="Times New Roman"/>
                <w:color w:val="auto"/>
              </w:rPr>
            </w:pPr>
            <w:r>
              <w:rPr>
                <w:rFonts w:hint="eastAsia" w:ascii="Times New Roman" w:hAnsi="Times New Roman" w:eastAsia="宋体" w:cs="Times New Roman"/>
                <w:color w:val="auto"/>
                <w:kern w:val="2"/>
                <w:sz w:val="24"/>
                <w:szCs w:val="24"/>
                <w:lang w:val="en-US" w:eastAsia="zh-CN" w:bidi="ar-SA"/>
              </w:rPr>
              <w:t>附件13  己二酸</w:t>
            </w:r>
            <w:r>
              <w:rPr>
                <w:rFonts w:hint="eastAsia" w:ascii="Times New Roman" w:cs="Times New Roman"/>
                <w:color w:val="auto"/>
              </w:rPr>
              <w:t>二辛酯增塑剂MSDS</w:t>
            </w:r>
          </w:p>
          <w:p>
            <w:pPr>
              <w:pStyle w:val="2"/>
              <w:keepNext w:val="0"/>
              <w:keepLines w:val="0"/>
              <w:pageBreakBefore w:val="0"/>
              <w:widowControl w:val="0"/>
              <w:kinsoku/>
              <w:wordWrap/>
              <w:overflowPunct/>
              <w:topLinePunct w:val="0"/>
              <w:bidi w:val="0"/>
              <w:snapToGrid/>
              <w:spacing w:line="264" w:lineRule="auto"/>
              <w:rPr>
                <w:rFonts w:hint="eastAsia"/>
                <w:color w:val="auto"/>
              </w:rPr>
            </w:pPr>
            <w:r>
              <w:rPr>
                <w:rFonts w:hint="eastAsia" w:ascii="Times New Roman" w:hAnsi="Times New Roman" w:eastAsia="宋体" w:cs="Times New Roman"/>
                <w:color w:val="auto"/>
                <w:kern w:val="2"/>
                <w:sz w:val="24"/>
                <w:szCs w:val="24"/>
                <w:lang w:val="en-US" w:eastAsia="zh-CN" w:bidi="ar-SA"/>
              </w:rPr>
              <w:t>附件1</w:t>
            </w:r>
            <w:r>
              <w:rPr>
                <w:rFonts w:hint="eastAsia" w:ascii="Times New Roman" w:cs="Times New Roman"/>
                <w:color w:val="auto"/>
                <w:kern w:val="2"/>
                <w:sz w:val="24"/>
                <w:szCs w:val="24"/>
                <w:lang w:val="en-US" w:eastAsia="zh-CN" w:bidi="ar-SA"/>
              </w:rPr>
              <w:t>4</w:t>
            </w:r>
            <w:r>
              <w:rPr>
                <w:rFonts w:hint="eastAsia" w:ascii="Times New Roman" w:hAnsi="Times New Roman" w:eastAsia="宋体" w:cs="Times New Roman"/>
                <w:color w:val="auto"/>
                <w:kern w:val="2"/>
                <w:sz w:val="24"/>
                <w:szCs w:val="24"/>
                <w:lang w:val="en-US" w:eastAsia="zh-CN" w:bidi="ar-SA"/>
              </w:rPr>
              <w:t xml:space="preserve">  </w:t>
            </w:r>
            <w:r>
              <w:rPr>
                <w:rFonts w:hint="eastAsia" w:ascii="Times New Roman" w:cs="Times New Roman"/>
                <w:color w:val="auto"/>
                <w:kern w:val="2"/>
                <w:sz w:val="24"/>
                <w:szCs w:val="24"/>
                <w:lang w:val="en-US" w:eastAsia="zh-CN" w:bidi="ar-SA"/>
              </w:rPr>
              <w:t>修改索引表</w:t>
            </w:r>
          </w:p>
          <w:p>
            <w:pPr>
              <w:keepNext w:val="0"/>
              <w:keepLines w:val="0"/>
              <w:pageBreakBefore w:val="0"/>
              <w:widowControl w:val="0"/>
              <w:kinsoku/>
              <w:wordWrap/>
              <w:overflowPunct/>
              <w:topLinePunct w:val="0"/>
              <w:bidi w:val="0"/>
              <w:snapToGrid/>
              <w:spacing w:line="264" w:lineRule="auto"/>
              <w:rPr>
                <w:color w:val="auto"/>
              </w:rPr>
            </w:pPr>
            <w:r>
              <w:rPr>
                <w:rFonts w:hint="eastAsia"/>
                <w:color w:val="auto"/>
                <w:sz w:val="24"/>
              </w:rPr>
              <w:t>附表1  基础信息表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5" w:hRule="atLeast"/>
        </w:trPr>
        <w:tc>
          <w:tcPr>
            <w:tcW w:w="9375" w:type="dxa"/>
          </w:tcPr>
          <w:p>
            <w:pPr>
              <w:pStyle w:val="151"/>
              <w:keepNext w:val="0"/>
              <w:keepLines w:val="0"/>
              <w:pageBreakBefore w:val="0"/>
              <w:widowControl w:val="0"/>
              <w:kinsoku/>
              <w:wordWrap/>
              <w:overflowPunct/>
              <w:topLinePunct w:val="0"/>
              <w:bidi w:val="0"/>
              <w:snapToGrid/>
              <w:spacing w:line="240" w:lineRule="auto"/>
              <w:ind w:left="0" w:firstLine="482"/>
              <w:rPr>
                <w:rFonts w:asciiTheme="majorEastAsia" w:hAnsiTheme="majorEastAsia" w:eastAsiaTheme="majorEastAsia" w:cstheme="majorEastAsia"/>
                <w:b/>
                <w:color w:val="auto"/>
                <w:kern w:val="2"/>
                <w:szCs w:val="24"/>
              </w:rPr>
            </w:pPr>
            <w:r>
              <w:rPr>
                <w:rFonts w:hint="eastAsia" w:asciiTheme="majorEastAsia" w:hAnsiTheme="majorEastAsia" w:eastAsiaTheme="majorEastAsia" w:cstheme="majorEastAsia"/>
                <w:b/>
                <w:color w:val="auto"/>
                <w:kern w:val="2"/>
                <w:szCs w:val="24"/>
              </w:rPr>
              <w:t>二、如果本报告表不能说明项目产生的污染及对环境造成的影响，应进行专项评价。根据建设项目的特点和当地环境特征，应选下列1-2项进行专项评价。</w:t>
            </w:r>
          </w:p>
          <w:p>
            <w:pPr>
              <w:keepNext w:val="0"/>
              <w:keepLines w:val="0"/>
              <w:pageBreakBefore w:val="0"/>
              <w:widowControl w:val="0"/>
              <w:kinsoku/>
              <w:wordWrap/>
              <w:overflowPunct/>
              <w:topLinePunct w:val="0"/>
              <w:bidi w:val="0"/>
              <w:snapToGrid/>
              <w:spacing w:line="240" w:lineRule="auto"/>
              <w:rPr>
                <w:color w:val="auto"/>
                <w:sz w:val="24"/>
              </w:rPr>
            </w:pPr>
            <w:r>
              <w:rPr>
                <w:rFonts w:hint="eastAsia"/>
                <w:color w:val="auto"/>
                <w:sz w:val="24"/>
              </w:rPr>
              <w:t>1、大气环境影响专项评价</w:t>
            </w:r>
          </w:p>
          <w:p>
            <w:pPr>
              <w:keepNext w:val="0"/>
              <w:keepLines w:val="0"/>
              <w:pageBreakBefore w:val="0"/>
              <w:widowControl w:val="0"/>
              <w:kinsoku/>
              <w:wordWrap/>
              <w:overflowPunct/>
              <w:topLinePunct w:val="0"/>
              <w:bidi w:val="0"/>
              <w:snapToGrid/>
              <w:spacing w:line="240" w:lineRule="auto"/>
              <w:rPr>
                <w:color w:val="auto"/>
                <w:sz w:val="24"/>
              </w:rPr>
            </w:pPr>
            <w:r>
              <w:rPr>
                <w:rFonts w:hint="eastAsia"/>
                <w:color w:val="auto"/>
                <w:sz w:val="24"/>
              </w:rPr>
              <w:t>2、水环境影响专项评价（包括地表水和地下水）</w:t>
            </w:r>
          </w:p>
          <w:p>
            <w:pPr>
              <w:keepNext w:val="0"/>
              <w:keepLines w:val="0"/>
              <w:pageBreakBefore w:val="0"/>
              <w:widowControl w:val="0"/>
              <w:kinsoku/>
              <w:wordWrap/>
              <w:overflowPunct/>
              <w:topLinePunct w:val="0"/>
              <w:bidi w:val="0"/>
              <w:snapToGrid/>
              <w:spacing w:line="240" w:lineRule="auto"/>
              <w:rPr>
                <w:color w:val="auto"/>
                <w:sz w:val="24"/>
              </w:rPr>
            </w:pPr>
            <w:r>
              <w:rPr>
                <w:rFonts w:hint="eastAsia"/>
                <w:color w:val="auto"/>
                <w:sz w:val="24"/>
              </w:rPr>
              <w:t>3、生态影响专项评价</w:t>
            </w:r>
          </w:p>
          <w:p>
            <w:pPr>
              <w:keepNext w:val="0"/>
              <w:keepLines w:val="0"/>
              <w:pageBreakBefore w:val="0"/>
              <w:widowControl w:val="0"/>
              <w:kinsoku/>
              <w:wordWrap/>
              <w:overflowPunct/>
              <w:topLinePunct w:val="0"/>
              <w:bidi w:val="0"/>
              <w:snapToGrid/>
              <w:spacing w:line="240" w:lineRule="auto"/>
              <w:rPr>
                <w:color w:val="auto"/>
                <w:sz w:val="24"/>
              </w:rPr>
            </w:pPr>
            <w:r>
              <w:rPr>
                <w:rFonts w:hint="eastAsia"/>
                <w:color w:val="auto"/>
                <w:sz w:val="24"/>
              </w:rPr>
              <w:t>4、声影响专项评价</w:t>
            </w:r>
          </w:p>
          <w:p>
            <w:pPr>
              <w:keepNext w:val="0"/>
              <w:keepLines w:val="0"/>
              <w:pageBreakBefore w:val="0"/>
              <w:widowControl w:val="0"/>
              <w:kinsoku/>
              <w:wordWrap/>
              <w:overflowPunct/>
              <w:topLinePunct w:val="0"/>
              <w:bidi w:val="0"/>
              <w:snapToGrid/>
              <w:spacing w:line="240" w:lineRule="auto"/>
              <w:rPr>
                <w:color w:val="auto"/>
                <w:sz w:val="24"/>
              </w:rPr>
            </w:pPr>
            <w:r>
              <w:rPr>
                <w:rFonts w:hint="eastAsia"/>
                <w:color w:val="auto"/>
                <w:sz w:val="24"/>
              </w:rPr>
              <w:t>5、土壤影响专项评价</w:t>
            </w:r>
          </w:p>
          <w:p>
            <w:pPr>
              <w:keepNext w:val="0"/>
              <w:keepLines w:val="0"/>
              <w:pageBreakBefore w:val="0"/>
              <w:widowControl w:val="0"/>
              <w:kinsoku/>
              <w:wordWrap/>
              <w:overflowPunct/>
              <w:topLinePunct w:val="0"/>
              <w:bidi w:val="0"/>
              <w:snapToGrid/>
              <w:spacing w:line="240" w:lineRule="auto"/>
              <w:rPr>
                <w:color w:val="auto"/>
                <w:sz w:val="24"/>
              </w:rPr>
            </w:pPr>
            <w:r>
              <w:rPr>
                <w:rFonts w:hint="eastAsia"/>
                <w:color w:val="auto"/>
                <w:sz w:val="24"/>
              </w:rPr>
              <w:t>6、固体废弃物影响专项评价</w:t>
            </w:r>
          </w:p>
          <w:p>
            <w:pPr>
              <w:pStyle w:val="151"/>
              <w:keepNext w:val="0"/>
              <w:keepLines w:val="0"/>
              <w:pageBreakBefore w:val="0"/>
              <w:widowControl w:val="0"/>
              <w:kinsoku/>
              <w:wordWrap/>
              <w:overflowPunct/>
              <w:topLinePunct w:val="0"/>
              <w:bidi w:val="0"/>
              <w:snapToGrid/>
              <w:spacing w:line="240" w:lineRule="auto"/>
              <w:ind w:left="0" w:firstLine="482"/>
              <w:rPr>
                <w:rFonts w:asciiTheme="majorEastAsia" w:hAnsiTheme="majorEastAsia" w:eastAsiaTheme="majorEastAsia" w:cstheme="majorEastAsia"/>
                <w:b/>
                <w:color w:val="auto"/>
                <w:kern w:val="2"/>
                <w:szCs w:val="24"/>
              </w:rPr>
            </w:pPr>
            <w:r>
              <w:rPr>
                <w:rFonts w:hint="eastAsia" w:asciiTheme="majorEastAsia" w:hAnsiTheme="majorEastAsia" w:eastAsiaTheme="majorEastAsia" w:cstheme="majorEastAsia"/>
                <w:b/>
                <w:color w:val="auto"/>
                <w:kern w:val="2"/>
                <w:szCs w:val="24"/>
              </w:rPr>
              <w:t>以上专项评价未包括的可另列专项，专项评价按照《环境影响评价技术导则》中的要求进行。</w:t>
            </w:r>
          </w:p>
        </w:tc>
      </w:tr>
    </w:tbl>
    <w:p>
      <w:pPr>
        <w:pStyle w:val="2"/>
        <w:rPr>
          <w:color w:val="auto"/>
        </w:rPr>
        <w:sectPr>
          <w:pgSz w:w="11907" w:h="16840"/>
          <w:pgMar w:top="1418" w:right="1304" w:bottom="1418" w:left="1304" w:header="851" w:footer="851" w:gutter="0"/>
          <w:cols w:space="425" w:num="1"/>
          <w:docGrid w:type="lines" w:linePitch="312" w:charSpace="0"/>
        </w:sectPr>
      </w:pPr>
    </w:p>
    <w:p>
      <w:pPr>
        <w:jc w:val="center"/>
        <w:rPr>
          <w:color w:val="auto"/>
        </w:rPr>
      </w:pPr>
      <w:r>
        <w:rPr>
          <w:color w:val="auto"/>
        </w:rPr>
        <w:pict>
          <v:shape id="_x0000_s2120" o:spid="_x0000_s2120" o:spt="136" type="#_x0000_t136" style="position:absolute;left:0pt;margin-left:552.9pt;margin-top:404.2pt;height:8.25pt;width:21.5pt;z-index:251663360;mso-width-relative:page;mso-height-relative:page;" fillcolor="#000000" filled="t" stroked="t" coordsize="21600,21600" adj="10800">
            <v:path/>
            <v:fill on="t" color2="#FFFFFF" focussize="0,0"/>
            <v:stroke color="#000000"/>
            <v:imagedata o:title=""/>
            <o:lock v:ext="edit" aspectratio="f"/>
            <v:textpath on="t" fitshape="t" fitpath="t" trim="t" xscale="f" string="50米" style="font-family:宋体;font-size:16pt;v-text-align:center;"/>
          </v:shape>
        </w:pict>
      </w:r>
      <w:r>
        <w:rPr>
          <w:color w:val="auto"/>
        </w:rPr>
        <w:pict>
          <v:shape id="_x0000_s2121" o:spid="_x0000_s2121" o:spt="61" type="#_x0000_t61" style="position:absolute;left:0pt;margin-left:392.6pt;margin-top:166.85pt;height:24.85pt;width:87.85pt;z-index:251660288;mso-width-relative:page;mso-height-relative:page;" stroked="t" coordsize="21600,21600" adj="-7240,45895">
            <v:path/>
            <v:fill focussize="0,0"/>
            <v:stroke color="#FF0000" joinstyle="miter"/>
            <v:imagedata o:title=""/>
            <o:lock v:ext="edit"/>
            <v:textbox>
              <w:txbxContent>
                <w:p>
                  <w:pPr>
                    <w:rPr>
                      <w:sz w:val="24"/>
                    </w:rPr>
                  </w:pPr>
                  <w:r>
                    <w:rPr>
                      <w:rFonts w:hint="eastAsia"/>
                      <w:sz w:val="24"/>
                    </w:rPr>
                    <w:t>本项目位置</w:t>
                  </w:r>
                </w:p>
              </w:txbxContent>
            </v:textbox>
          </v:shape>
        </w:pict>
      </w:r>
      <w:r>
        <w:rPr>
          <w:color w:val="auto"/>
        </w:rPr>
        <w:pict>
          <v:shape id="_x0000_s2122" o:spid="_x0000_s2122" o:spt="12" type="#_x0000_t12" style="position:absolute;left:0pt;margin-left:356.6pt;margin-top:217.45pt;height:8.5pt;width:8.5pt;z-index:251659264;mso-width-relative:page;mso-height-relative:page;" fillcolor="#FF0000" filled="t" o:preferrelative="t" stroked="t" coordsize="21600,21600">
            <v:path/>
            <v:fill on="t" focussize="0,0"/>
            <v:stroke color="#FF0000" joinstyle="miter"/>
            <v:imagedata o:title=""/>
            <o:lock v:ext="edit"/>
          </v:shape>
        </w:pict>
      </w:r>
      <w:r>
        <w:rPr>
          <w:color w:val="auto"/>
        </w:rPr>
        <w:drawing>
          <wp:anchor distT="0" distB="0" distL="114935" distR="114935" simplePos="0" relativeHeight="251644928" behindDoc="0" locked="0" layoutInCell="1" allowOverlap="1">
            <wp:simplePos x="0" y="0"/>
            <wp:positionH relativeFrom="column">
              <wp:posOffset>7997190</wp:posOffset>
            </wp:positionH>
            <wp:positionV relativeFrom="paragraph">
              <wp:posOffset>29845</wp:posOffset>
            </wp:positionV>
            <wp:extent cx="409575" cy="923925"/>
            <wp:effectExtent l="0" t="0" r="9525" b="9525"/>
            <wp:wrapNone/>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71"/>
                    <a:stretch>
                      <a:fillRect/>
                    </a:stretch>
                  </pic:blipFill>
                  <pic:spPr>
                    <a:xfrm>
                      <a:off x="0" y="0"/>
                      <a:ext cx="409575" cy="923925"/>
                    </a:xfrm>
                    <a:prstGeom prst="rect">
                      <a:avLst/>
                    </a:prstGeom>
                    <a:noFill/>
                    <a:ln w="9525">
                      <a:noFill/>
                    </a:ln>
                  </pic:spPr>
                </pic:pic>
              </a:graphicData>
            </a:graphic>
          </wp:anchor>
        </w:drawing>
      </w:r>
      <w:r>
        <w:rPr>
          <w:rFonts w:hint="default" w:ascii="Times New Roman" w:hAnsi="Times New Roman" w:cs="Times New Roman"/>
          <w:color w:val="auto"/>
          <w:sz w:val="21"/>
        </w:rPr>
        <w:pict>
          <v:group id="组合 74" o:spid="_x0000_s2123" o:spt="203" style="position:absolute;left:0pt;margin-left:548.8pt;margin-top:413.6pt;height:14.2pt;width:85.35pt;z-index:252261376;mso-width-relative:page;mso-height-relative:page;" coordorigin="3009,1171871" coordsize="2142,284" o:gfxdata="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&#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FcPvr/ZAAAACwEAAA8AAAAAAAAAAQAgAAAAIgAAAGRy&#10;cy9kb3ducmV2LnhtbFBLAQIUABQAAAAIAIdO4kBOGsAgIQMAAEcMAAAOAAAAAAAAAAEAIAAAACgB&#10;AABkcnMvZTJvRG9jLnhtbFBLBQYAAAAABgAGAFkBAAC7BgAAAAA=&#10;">
            <o:lock v:ext="edit" aspectratio="f"/>
            <v:group id="组合 72" o:spid="_x0000_s2124" o:spt="203" style="position:absolute;left:3009;top:1171871;height:284;width:2142;" coordorigin="3009,1171871" coordsize="2142,284"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shape id="任意多边形 70" o:spid="_x0000_s2125" style="position:absolute;left:3009;top:1172021;height:135;width:2143;" filled="f" stroked="t" coordsize="1260,1" o:gfxdata="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iWPkbsAAADb&#10;AAAADwAAAAAAAAABACAAAAAiAAAAZHJzL2Rvd25yZXYueG1sUEsBAhQAFAAAAAgAh07iQDMvBZ47&#10;AAAAOQAAABAAAAAAAAAAAQAgAAAACgEAAGRycy9zaGFwZXhtbC54bWxQSwUGAAAAAAYABgBbAQAA&#10;tAMAAAAA&#10;" path="m0,0l1245,0,1260,0e">
                <v:fill on="f" focussize="0,0"/>
                <v:stroke weight="1.5pt" color="#000000" joinstyle="round"/>
                <v:imagedata o:title=""/>
                <o:lock v:ext="edit" aspectratio="f"/>
              </v:shape>
              <v:shape id="任意多边形 71" o:spid="_x0000_s2126" style="position:absolute;left:3009;top:1171871;height:150;width:1;" filled="f" stroked="t" coordsize="1,150" o:gfxdata="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GoGr65AAAA2wAA&#10;AA8AAAAAAAAAAQAgAAAAIgAAAGRycy9kb3ducmV2LnhtbFBLAQIUABQAAAAIAIdO4kAzLwWeOwAA&#10;ADkAAAAQAAAAAAAAAAEAIAAAAAgBAABkcnMvc2hhcGV4bWwueG1sUEsFBgAAAAAGAAYAWwEAALID&#10;AAAAAA==&#10;" path="m0,0l0,150e">
                <v:fill on="f" focussize="0,0"/>
                <v:stroke weight="1.5pt" color="#000000" joinstyle="round"/>
                <v:imagedata o:title=""/>
                <o:lock v:ext="edit" aspectratio="f"/>
              </v:shape>
            </v:group>
            <v:shape id="任意多边形 73" o:spid="_x0000_s2127" style="position:absolute;left:5139;top:1171871;height:150;width:1;" filled="f" stroked="t" coordsize="1,150" o:gfxdata="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jYhUrsAAADb&#10;AAAADwAAAAAAAAABACAAAAAiAAAAZHJzL2Rvd25yZXYueG1sUEsBAhQAFAAAAAgAh07iQDMvBZ47&#10;AAAAOQAAABAAAAAAAAAAAQAgAAAACgEAAGRycy9zaGFwZXhtbC54bWxQSwUGAAAAAAYABgBbAQAA&#10;tAMAAAAA&#10;" path="m0,0l0,150e">
              <v:fill on="f" focussize="0,0"/>
              <v:stroke weight="1.5pt" color="#000000" joinstyle="round"/>
              <v:imagedata o:title=""/>
              <o:lock v:ext="edit" aspectratio="f"/>
            </v:shape>
          </v:group>
        </w:pict>
      </w:r>
      <w:r>
        <w:rPr>
          <w:rFonts w:hint="eastAsia"/>
          <w:color w:val="auto"/>
        </w:rPr>
        <w:drawing>
          <wp:inline distT="0" distB="0" distL="114300" distR="114300">
            <wp:extent cx="7895590" cy="5446395"/>
            <wp:effectExtent l="12700" t="12700" r="16510" b="27305"/>
            <wp:docPr id="11" name="图片 11" descr="1561606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561606516(1)"/>
                    <pic:cNvPicPr>
                      <a:picLocks noChangeAspect="1"/>
                    </pic:cNvPicPr>
                  </pic:nvPicPr>
                  <pic:blipFill>
                    <a:blip r:embed="rId72"/>
                    <a:srcRect/>
                    <a:stretch>
                      <a:fillRect/>
                    </a:stretch>
                  </pic:blipFill>
                  <pic:spPr>
                    <a:xfrm>
                      <a:off x="0" y="0"/>
                      <a:ext cx="7895590" cy="5446395"/>
                    </a:xfrm>
                    <a:prstGeom prst="rect">
                      <a:avLst/>
                    </a:prstGeom>
                    <a:ln w="12700" cmpd="sng">
                      <a:solidFill>
                        <a:schemeClr val="tx1"/>
                      </a:solidFill>
                      <a:prstDash val="solid"/>
                    </a:ln>
                  </pic:spPr>
                </pic:pic>
              </a:graphicData>
            </a:graphic>
          </wp:inline>
        </w:drawing>
      </w:r>
    </w:p>
    <w:p>
      <w:pPr>
        <w:pStyle w:val="42"/>
        <w:spacing w:before="0"/>
        <w:rPr>
          <w:rFonts w:ascii="Times New Roman" w:hAnsi="Times New Roman"/>
          <w:color w:val="auto"/>
          <w:sz w:val="24"/>
          <w:szCs w:val="24"/>
        </w:rPr>
      </w:pPr>
      <w:r>
        <w:rPr>
          <w:rFonts w:ascii="Times New Roman" w:hAnsi="Times New Roman"/>
          <w:color w:val="auto"/>
          <w:sz w:val="24"/>
          <w:szCs w:val="24"/>
        </w:rPr>
        <w:drawing>
          <wp:anchor distT="0" distB="0" distL="114300" distR="114300" simplePos="0" relativeHeight="251643904" behindDoc="0" locked="0" layoutInCell="1" allowOverlap="1">
            <wp:simplePos x="0" y="0"/>
            <wp:positionH relativeFrom="column">
              <wp:posOffset>4397375</wp:posOffset>
            </wp:positionH>
            <wp:positionV relativeFrom="paragraph">
              <wp:posOffset>-8357235</wp:posOffset>
            </wp:positionV>
            <wp:extent cx="1356360" cy="1356360"/>
            <wp:effectExtent l="0" t="0" r="0" b="0"/>
            <wp:wrapNone/>
            <wp:docPr id="2" name="图片 2" descr="X8O6MSH8TT`N(0HAUW~_M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X8O6MSH8TT`N(0HAUW~_MB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356360" cy="1356360"/>
                    </a:xfrm>
                    <a:prstGeom prst="rect">
                      <a:avLst/>
                    </a:prstGeom>
                    <a:noFill/>
                  </pic:spPr>
                </pic:pic>
              </a:graphicData>
            </a:graphic>
          </wp:anchor>
        </w:drawing>
      </w:r>
      <w:r>
        <w:rPr>
          <w:rFonts w:ascii="Times New Roman" w:hAnsi="Times New Roman"/>
          <w:color w:val="auto"/>
          <w:sz w:val="24"/>
          <w:szCs w:val="24"/>
        </w:rPr>
        <w:t>附图1 项目地理位置图</w:t>
      </w:r>
    </w:p>
    <w:p>
      <w:pPr>
        <w:rPr>
          <w:color w:val="auto"/>
        </w:rPr>
        <w:sectPr>
          <w:footerReference r:id="rId19" w:type="default"/>
          <w:pgSz w:w="16840" w:h="11907" w:orient="landscape"/>
          <w:pgMar w:top="1304" w:right="1418" w:bottom="1304" w:left="1418" w:header="851" w:footer="851" w:gutter="0"/>
          <w:cols w:space="425" w:num="1"/>
          <w:docGrid w:type="lines" w:linePitch="312" w:charSpace="0"/>
        </w:sectPr>
      </w:pPr>
    </w:p>
    <w:p>
      <w:pPr>
        <w:pStyle w:val="5"/>
        <w:jc w:val="center"/>
        <w:rPr>
          <w:color w:val="auto"/>
        </w:rPr>
      </w:pPr>
      <w:r>
        <w:rPr>
          <w:color w:val="auto"/>
        </w:rPr>
        <w:pict>
          <v:group id="_x0000_s2128" o:spid="_x0000_s2128" o:spt="203" style="position:absolute;left:0pt;margin-left:39.6pt;margin-top:11.05pt;height:422.6pt;width:617.95pt;z-index:251657216;mso-width-relative:page;mso-height-relative:page;" coordsize="78479,53670" editas="canvas">
            <o:lock v:ext="edit"/>
            <v:shape id="_x0000_s1332" o:spid="_x0000_s1332" o:spt="75" type="#_x0000_t75" style="position:absolute;left:0;top:0;height:53670;width:78479;" filled="f" stroked="f" coordsize="21600,21600">
              <v:path/>
              <v:fill on="f" focussize="0,0"/>
              <v:stroke on="f"/>
              <v:imagedata o:title=""/>
              <o:lock v:ext="edit" aspectratio="f"/>
            </v:shape>
            <v:shape id="_x0000_s2129" o:spid="_x0000_s2129" o:spt="75" type="#_x0000_t75" style="position:absolute;left:73660;top:654;height:9144;width:4064;" filled="f" o:preferrelative="t" stroked="f" coordsize="21600,21600">
              <v:path/>
              <v:fill on="f" focussize="0,0"/>
              <v:stroke on="f"/>
              <v:imagedata r:id="rId71" o:title=""/>
              <o:lock v:ext="edit" aspectratio="t"/>
            </v:shape>
            <v:shape id="_x0000_s2130" o:spid="_x0000_s2130" style="position:absolute;left:33356;top:21780;height:14656;width:18612;" filled="f" stroked="t" coordsize="2931,2308" path="m554,0l0,727,2157,2308,2931,1131,2584,912,2423,1177,554,0xe">
              <v:fill on="f" focussize="0,0"/>
              <v:stroke weight="2pt" color="#FF0000" startarrow="block" endarrow="block"/>
              <v:imagedata o:title=""/>
              <o:lock v:ext="edit" aspectratio="f"/>
            </v:shape>
            <v:shape id="_x0000_s2131" o:spid="_x0000_s2131" o:spt="136" type="#_x0000_t136" style="position:absolute;left:39992;top:27324;height:1905;width:3937;rotation:2242930f;" fillcolor="#FFFF00" filled="t" stroked="t" coordsize="21600,21600" adj="10800">
              <v:path/>
              <v:fill on="t" color2="#FFFFFF" focussize="0,0"/>
              <v:stroke color="#FF0000"/>
              <v:imagedata o:title=""/>
              <o:lock v:ext="edit" aspectratio="f"/>
              <v:textpath on="t" fitshape="t" fitpath="t" trim="t" xscale="f" string="本项目" style="font-family:宋体;font-size:16pt;v-text-align:center;"/>
            </v:shape>
            <v:shape id="_x0000_s2132" o:spid="_x0000_s2132" style="position:absolute;left:30676;top:19342;height:6762;width:5525;" filled="f" stroked="t" coordsize="870,1065" path="m450,0l0,840,360,1065,870,330,450,0xe">
              <v:fill on="f" focussize="0,0"/>
              <v:stroke weight="2pt" color="#FFFF00" startarrow="block" endarrow="block"/>
              <v:imagedata o:title=""/>
              <o:lock v:ext="edit" aspectratio="f"/>
            </v:shape>
            <v:shape id="_x0000_s2133" o:spid="_x0000_s2133" style="position:absolute;left:33724;top:7340;height:19336;width:23718;" filled="f" stroked="t" coordsize="3735,3045" path="m675,0l0,1725,3090,3045,3735,1290,675,0xe">
              <v:fill on="f" focussize="0,0"/>
              <v:stroke weight="2pt" color="#FFFF00" startarrow="block" endarrow="block"/>
              <v:imagedata o:title=""/>
              <o:lock v:ext="edit" aspectratio="f"/>
            </v:shape>
            <v:shape id="_x0000_s2134" o:spid="_x0000_s2134" style="position:absolute;left:25819;top:24771;height:19240;width:18669;" filled="f" stroked="t" coordsize="2940,3030" path="m540,0l2940,1635,2010,3030,1425,2655,1620,2100,0,1245,540,0xe">
              <v:fill on="f" focussize="0,0"/>
              <v:stroke weight="2pt" color="#FFFF00" startarrow="block" endarrow="block"/>
              <v:imagedata o:title=""/>
              <o:lock v:ext="edit" aspectratio="f"/>
            </v:shape>
            <v:shape id="_x0000_s2135" o:spid="_x0000_s2135" style="position:absolute;left:47726;top:26676;height:17335;width:15240;" filled="f" stroked="t" coordsize="2400,2730" path="m960,0l0,1695,1260,2730,2400,915,960,0xe">
              <v:fill on="f" focussize="0,0"/>
              <v:stroke weight="2pt" color="#FFFF00" startarrow="block" endarrow="block"/>
              <v:imagedata o:title=""/>
              <o:lock v:ext="edit" aspectratio="f"/>
            </v:shape>
            <v:shape id="_x0000_s2136" o:spid="_x0000_s2136" o:spt="136" type="#_x0000_t136" style="position:absolute;left:31896;top:22371;height:1143;width:2667;rotation:211315f;" fillcolor="#FFFF00" filled="t" stroked="t" coordsize="21600,21600" adj="10800">
              <v:path/>
              <v:fill on="t" color2="#FFFFFF" focussize="0,0"/>
              <v:stroke color="#FFFF00"/>
              <v:imagedata o:title=""/>
              <o:lock v:ext="edit" aspectratio="f"/>
              <v:textpath on="t" fitshape="t" fitpath="t" trim="t" xscale="f" string="商铺" style="font-family:宋体;font-size:16pt;v-text-align:center;"/>
            </v:shape>
            <v:shape id="_x0000_s2137" o:spid="_x0000_s2137" o:spt="136" type="#_x0000_t136" style="position:absolute;left:41421;top:16275;height:1778;width:8636;rotation:1245184f;" fillcolor="#FFFF00" filled="t" stroked="t" coordsize="21600,21600" adj="10800">
              <v:path/>
              <v:fill on="t" color2="#FFFFFF" focussize="0,0"/>
              <v:stroke color="#FFFF00"/>
              <v:imagedata o:title=""/>
              <o:lock v:ext="edit" aspectratio="f"/>
              <v:textpath on="t" fitshape="t" fitpath="t" trim="t" xscale="f" string="星洋塑料厂" style="font-family:宋体;font-size:16pt;v-text-align:center;"/>
            </v:shape>
            <v:shape id="_x0000_s2138" o:spid="_x0000_s2138" o:spt="136" type="#_x0000_t136" style="position:absolute;left:30943;top:32372;height:1778;width:8636;rotation:2293760f;" fillcolor="#FFFF00" filled="t" stroked="t" coordsize="21600,21600" adj="10800">
              <v:path/>
              <v:fill on="t" color2="#FFFFFF" focussize="0,0"/>
              <v:stroke color="#FFFF00"/>
              <v:imagedata o:title=""/>
              <o:lock v:ext="edit" aspectratio="f"/>
              <v:textpath on="t" fitshape="t" fitpath="t" trim="t" xscale="f" string="信越橡胶厂" style="font-family:宋体;font-size:16pt;v-text-align:center;"/>
            </v:shape>
            <v:shape id="_x0000_s2139" o:spid="_x0000_s2139" o:spt="136" type="#_x0000_t136" style="position:absolute;left:50958;top:33623;height:2134;width:8083;rotation:-3342336f;" fillcolor="#FFFF00" filled="t" stroked="t" coordsize="21600,21600" adj="10800">
              <v:path/>
              <v:fill on="t" color2="#FFFFFF" focussize="0,0"/>
              <v:stroke color="#FFFF00"/>
              <v:imagedata o:title=""/>
              <o:lock v:ext="edit" aspectratio="f"/>
              <v:textpath on="t" fitshape="t" fitpath="t" trim="t" xscale="f" string="福斯特卫浴厂" style="font-family:宋体;font-size:16pt;v-text-align:center;"/>
            </v:shape>
            <v:shape id="_x0000_s2140" o:spid="_x0000_s2140" o:spt="136" type="#_x0000_t136" style="position:absolute;left:4305;top:49898;height:1143;width:2667;" fillcolor="#000000" filled="t" stroked="t" coordsize="21600,21600" adj="10800">
              <v:path/>
              <v:fill on="t" color2="#FFFFFF" focussize="0,0"/>
              <v:stroke color="#000000"/>
              <v:imagedata o:title=""/>
              <o:lock v:ext="edit" aspectratio="f"/>
              <v:textpath on="t" fitshape="t" fitpath="t" trim="t" xscale="f" string="20米" style="font-family:宋体;font-size:16pt;v-text-align:center;"/>
            </v:shape>
            <v:shape id="_x0000_s2141" o:spid="_x0000_s2141" o:spt="83" type="#_x0000_t83" style="position:absolute;left:48558;top:32264;height:1759;width:1029;rotation:327680f;" fillcolor="#FF0000" filled="t" stroked="t" coordsize="21600,21600" adj="5400,9450,2700,9450">
              <v:path/>
              <v:fill on="t" color2="#FFFFFF" focussize="0,0"/>
              <v:stroke color="#000000" joinstyle="miter"/>
              <v:imagedata o:title=""/>
              <o:lock v:ext="edit" aspectratio="f"/>
            </v:shape>
            <v:shape id="_x0000_s2142" o:spid="_x0000_s2142" o:spt="83" type="#_x0000_t83" style="position:absolute;left:34848;top:23037;height:1778;width:762;rotation:655360f;" fillcolor="#FF0000" filled="t" stroked="t" coordsize="21600,21600" adj="5400,8100,2700,9450">
              <v:path/>
              <v:fill on="t" color2="#FFFFFF" focussize="0,0"/>
              <v:stroke color="#000000" joinstyle="miter"/>
              <v:imagedata o:title=""/>
              <o:lock v:ext="edit" aspectratio="f"/>
            </v:shape>
            <v:shape id="_x0000_s2143" o:spid="_x0000_s2143" o:spt="83" type="#_x0000_t83" style="position:absolute;left:39389;top:30276;height:1778;width:762;rotation:1179648f;" fillcolor="#FF0000" filled="t" stroked="t" coordsize="21600,21600" adj="5400,9450,2700,9450">
              <v:path/>
              <v:fill on="t" color2="#FFFFFF" focussize="0,0"/>
              <v:stroke color="#000000" joinstyle="miter"/>
              <v:imagedata o:title=""/>
              <o:lock v:ext="edit" aspectratio="f"/>
            </v:shape>
            <v:shape id="_x0000_s2144" o:spid="_x0000_s2144" o:spt="83" type="#_x0000_t83" style="position:absolute;left:42818;top:25228;height:1778;width:762;rotation:1048576f;" fillcolor="#FF0000" filled="t" stroked="t" coordsize="21600,21600" adj="5400,8100,2700,9450">
              <v:path/>
              <v:fill on="t" color2="#FFFFFF" focussize="0,0"/>
              <v:stroke color="#000000" joinstyle="miter"/>
              <v:imagedata o:title=""/>
              <o:lock v:ext="edit" aspectratio="f"/>
            </v:shape>
            <v:shape id="艺术字 6057" o:spid="_x0000_s2145" o:spt="136" type="#_x0000_t136" style="position:absolute;left:47421;top:32182;height:1016;width:1397;rotation:1900544f;" fillcolor="#FF0000" filled="t" stroked="t" coordsize="21600,21600" adj="10800">
              <v:path/>
              <v:fill on="t" color2="#FFFFFF" focussize="0,0"/>
              <v:stroke weight="0.25pt" color="#FF0000"/>
              <v:imagedata o:title=""/>
              <o:lock v:ext="edit" aspectratio="f"/>
              <v:textpath on="t" fitshape="t" fitpath="t" trim="t" xscale="f" string="N1" style="font-family:宋体;font-size:10pt;font-weight:bold;v-text-align:center;"/>
            </v:shape>
            <v:shape id="艺术字 6057" o:spid="_x0000_s2146" o:spt="136" type="#_x0000_t136" style="position:absolute;left:40786;top:30594;height:1016;width:1397;rotation:327680f;" fillcolor="#FF0000" filled="t" stroked="t" coordsize="21600,21600" adj="10800">
              <v:path/>
              <v:fill on="t" color2="#FFFFFF" focussize="0,0"/>
              <v:stroke weight="0.25pt" color="#FF0000"/>
              <v:imagedata o:title=""/>
              <o:lock v:ext="edit" aspectratio="f"/>
              <v:textpath on="t" fitshape="t" fitpath="t" trim="t" xscale="f" string="N2" style="font-family:宋体;font-size:10pt;font-weight:bold;v-text-align:center;"/>
            </v:shape>
            <v:shape id="艺术字 6057" o:spid="_x0000_s2147" o:spt="136" type="#_x0000_t136" style="position:absolute;left:35896;top:23609;height:1016;width:1397;rotation:196608f;" fillcolor="#FF0000" filled="t" stroked="t" coordsize="21600,21600" adj="10800">
              <v:path/>
              <v:fill on="t" color2="#FFFFFF" focussize="0,0"/>
              <v:stroke weight="0.25pt" color="#FF0000"/>
              <v:imagedata o:title=""/>
              <o:lock v:ext="edit" aspectratio="f"/>
              <v:textpath on="t" fitshape="t" fitpath="t" trim="t" xscale="f" string="N3" style="font-family:宋体;font-size:10pt;font-weight:bold;v-text-align:center;"/>
            </v:shape>
            <v:shape id="艺术字 6057" o:spid="_x0000_s2148" o:spt="136" type="#_x0000_t136" style="position:absolute;left:44278;top:24625;height:1016;width:1397;rotation:720896f;" fillcolor="#FF0000" filled="t" stroked="t" coordsize="21600,21600" adj="10800">
              <v:path/>
              <v:fill on="t" color2="#FFFFFF" focussize="0,0"/>
              <v:stroke weight="0.25pt" color="#FF0000"/>
              <v:imagedata o:title=""/>
              <o:lock v:ext="edit" aspectratio="f"/>
              <v:textpath on="t" fitshape="t" fitpath="t" trim="t" xscale="f" string="N4" style="font-family:宋体;font-size:10pt;font-weight:bold;v-text-align:center;"/>
            </v:shape>
            <v:shape id="文本框 34" o:spid="_x0000_s2149" o:spt="202" type="#_x0000_t202" style="position:absolute;left:1035;top:654;height:5334;width:18161;" fillcolor="#FFFFFF" filled="t" stroked="t" coordsize="21600,21600">
              <v:path/>
              <v:fill on="t" color2="#FFFFFF" focussize="0,0"/>
              <v:stroke color="#000000" joinstyle="miter"/>
              <v:imagedata o:title=""/>
              <o:lock v:ext="edit" aspectratio="f"/>
              <v:textbox>
                <w:txbxContent>
                  <w:p>
                    <w:pPr>
                      <w:jc w:val="center"/>
                      <w:rPr>
                        <w:color w:val="FF00FF"/>
                        <w:sz w:val="24"/>
                      </w:rPr>
                    </w:pPr>
                    <w:r>
                      <w:rPr>
                        <w:rFonts w:hint="eastAsia"/>
                        <w:b/>
                        <w:bCs/>
                        <w:sz w:val="24"/>
                      </w:rPr>
                      <w:t>图  例</w:t>
                    </w:r>
                  </w:p>
                  <w:p>
                    <w:pPr>
                      <w:ind w:firstLine="360" w:firstLineChars="150"/>
                    </w:pPr>
                    <w:r>
                      <w:rPr>
                        <w:rFonts w:hint="eastAsia"/>
                        <w:sz w:val="24"/>
                      </w:rPr>
                      <w:t>声环境现状监测点</w:t>
                    </w:r>
                  </w:p>
                </w:txbxContent>
              </v:textbox>
            </v:shape>
            <v:shape id="_x0000_s2150" o:spid="_x0000_s2150" o:spt="83" type="#_x0000_t83" style="position:absolute;left:2813;top:3321;height:1778;width:762;" fillcolor="#FF0000" filled="t" stroked="t" coordsize="21600,21600" adj="5400,8100,2700,9450">
              <v:path/>
              <v:fill on="t" color2="#FFFFFF" focussize="0,0"/>
              <v:stroke color="#000000" joinstyle="miter"/>
              <v:imagedata o:title=""/>
              <o:lock v:ext="edit" aspectratio="f"/>
            </v:shape>
            <v:group id="_x0000_s2151" o:spid="_x0000_s2151" o:spt="203" style="position:absolute;left:3512;top:51327;height:2032;width:7239;" coordorigin="3009,1171871" coordsize="2142,284" o:gfxdata="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GSj9bNoAAAAKAQAADwAAAAAAAAABACAAAAAiAAAA&#10;ZHJzL2Rvd25yZXYueG1sUEsBAhQAFAAAAAgAh07iQA7FSmIiAwAAPwwAAA4AAAAAAAAAAQAgAAAA&#10;KQEAAGRycy9lMm9Eb2MueG1sUEsFBgAAAAAGAAYAWQEAAL0GAAAAAA==&#10;">
              <o:lock v:ext="edit" aspectratio="f"/>
              <v:group id="组合 72" o:spid="_x0000_s2152" o:spt="203" style="position:absolute;left:3009;top:1171871;height:284;width:2142;" coordorigin="3009,1171871" coordsize="2142,284"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任意多边形 70" o:spid="_x0000_s2153" o:spt="100" style="position:absolute;left:3009;top:1172021;height:135;width:2143;" filled="f" stroked="t" coordsize="1260,1" o:gfxdata="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wX5b4A&#10;AADbAAAADwAAAAAAAAABACAAAAAiAAAAZHJzL2Rvd25yZXYueG1sUEsBAhQAFAAAAAgAh07iQDMv&#10;BZ47AAAAOQAAABAAAAAAAAAAAQAgAAAADQEAAGRycy9zaGFwZXhtbC54bWxQSwUGAAAAAAYABgBb&#10;AQAAtwMAAAAA&#10;" path="m0,0l1245,0,1260,0e">
                  <v:fill on="f" focussize="0,0"/>
                  <v:stroke weight="1.5pt" color="#000000" joinstyle="round"/>
                  <v:imagedata o:title=""/>
                  <o:lock v:ext="edit" aspectratio="f"/>
                </v:shape>
                <v:shape id="任意多边形 71" o:spid="_x0000_s2154" o:spt="100" style="position:absolute;left:3009;top:1171871;height:150;width:1;" filled="f" stroked="t" coordsize="1,150" o:gfxdata="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krMjtwAAANsAAAAP&#10;AAAAAAAAAAEAIAAAACIAAABkcnMvZG93bnJldi54bWxQSwECFAAUAAAACACHTuJAMy8FnjsAAAA5&#10;AAAAEAAAAAAAAAABACAAAAAGAQAAZHJzL3NoYXBleG1sLnhtbFBLBQYAAAAABgAGAFsBAACwAwAA&#10;AAA=&#10;" path="m0,0l0,150e">
                  <v:fill on="f" focussize="0,0"/>
                  <v:stroke weight="1.5pt" color="#000000" joinstyle="round"/>
                  <v:imagedata o:title=""/>
                  <o:lock v:ext="edit" aspectratio="f"/>
                </v:shape>
              </v:group>
              <v:shape id="任意多边形 73" o:spid="_x0000_s2155" o:spt="100" style="position:absolute;left:5139;top:1171871;height:150;width:1;" filled="f" stroked="t" coordsize="1,150" o:gfxdata="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94WuLsAAADb&#10;AAAADwAAAAAAAAABACAAAAAiAAAAZHJzL2Rvd25yZXYueG1sUEsBAhQAFAAAAAgAh07iQDMvBZ47&#10;AAAAOQAAABAAAAAAAAAAAQAgAAAACgEAAGRycy9zaGFwZXhtbC54bWxQSwUGAAAAAAYABgBbAQAA&#10;tAMAAAAA&#10;" path="m0,0l0,150e">
                <v:fill on="f" focussize="0,0"/>
                <v:stroke weight="1.5pt" color="#000000" joinstyle="round"/>
                <v:imagedata o:title=""/>
                <o:lock v:ext="edit" aspectratio="f"/>
              </v:shape>
            </v:group>
          </v:group>
        </w:pict>
      </w:r>
      <w:r>
        <w:rPr>
          <w:rFonts w:hint="eastAsia"/>
          <w:color w:val="auto"/>
        </w:rPr>
        <w:drawing>
          <wp:inline distT="0" distB="0" distL="114300" distR="114300">
            <wp:extent cx="7660640" cy="5291455"/>
            <wp:effectExtent l="0" t="0" r="16510" b="4445"/>
            <wp:docPr id="12" name="图片 12" descr="1561607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561607353(1)"/>
                    <pic:cNvPicPr>
                      <a:picLocks noChangeAspect="1"/>
                    </pic:cNvPicPr>
                  </pic:nvPicPr>
                  <pic:blipFill>
                    <a:blip r:embed="rId74"/>
                    <a:srcRect/>
                    <a:stretch>
                      <a:fillRect/>
                    </a:stretch>
                  </pic:blipFill>
                  <pic:spPr>
                    <a:xfrm>
                      <a:off x="0" y="0"/>
                      <a:ext cx="7660640" cy="5291455"/>
                    </a:xfrm>
                    <a:prstGeom prst="rect">
                      <a:avLst/>
                    </a:prstGeom>
                  </pic:spPr>
                </pic:pic>
              </a:graphicData>
            </a:graphic>
          </wp:inline>
        </w:drawing>
      </w:r>
    </w:p>
    <w:p>
      <w:pPr>
        <w:pStyle w:val="42"/>
        <w:spacing w:before="0"/>
        <w:rPr>
          <w:color w:val="auto"/>
        </w:rPr>
        <w:sectPr>
          <w:pgSz w:w="16840" w:h="11907" w:orient="landscape"/>
          <w:pgMar w:top="1304" w:right="1418" w:bottom="1304" w:left="1418" w:header="851" w:footer="851" w:gutter="0"/>
          <w:cols w:space="425" w:num="1"/>
          <w:docGrid w:type="lines" w:linePitch="312" w:charSpace="0"/>
        </w:sectPr>
      </w:pPr>
      <w:r>
        <w:rPr>
          <w:rFonts w:ascii="Times New Roman" w:hAnsi="Times New Roman"/>
          <w:color w:val="auto"/>
          <w:sz w:val="24"/>
          <w:szCs w:val="24"/>
        </w:rPr>
        <w:t>附图2 项目四至图（噪声监测点位图）</w:t>
      </w:r>
    </w:p>
    <w:p>
      <w:pPr>
        <w:pStyle w:val="2"/>
        <w:rPr>
          <w:color w:val="auto"/>
        </w:rPr>
      </w:pPr>
      <w:r>
        <w:rPr>
          <w:color w:val="auto"/>
        </w:rPr>
        <w:pict>
          <v:group id="_x0000_s2156" o:spid="_x0000_s2156" o:spt="203" style="position:absolute;left:0pt;margin-left:22.15pt;margin-top:-0.65pt;height:422.15pt;width:654.75pt;z-index:251658240;mso-width-relative:page;mso-height-relative:page;" coordsize="83153,53611" editas="canvas">
            <o:lock v:ext="edit"/>
            <v:shape id="_x0000_s1133" o:spid="_x0000_s1133" o:spt="75" type="#_x0000_t75" style="position:absolute;left:0;top:0;height:53611;width:83153;" filled="f" stroked="t" coordsize="21600,21600">
              <v:fill on="f" focussize="0,0"/>
              <v:stroke color="#000000" joinstyle="miter"/>
              <v:imagedata o:title=""/>
              <o:lock v:ext="edit" aspectratio="f"/>
            </v:shape>
            <v:shape id="_x0000_s2157" o:spid="_x0000_s2157" o:spt="136" type="#_x0000_t136" style="position:absolute;left:15227;top:13163;height:1397;width:3937;" fillcolor="#000000" filled="t" stroked="t" coordsize="21600,21600" adj="10800">
              <v:path/>
              <v:fill on="t" color2="#FFFFFF" focussize="0,0"/>
              <v:stroke color="#000000"/>
              <v:imagedata o:title=""/>
              <o:lock v:ext="edit" aspectratio="f"/>
              <v:textpath on="t" fitshape="t" fitpath="t" trim="t" xscale="f" string="厂房入口" style="font-family:宋体;font-size:16pt;v-text-align:center;"/>
            </v:shape>
            <v:shape id="_x0000_s2158" o:spid="_x0000_s2158" style="position:absolute;left:17893;top:15513;height:1016;width:889;rotation:6225920f;" filled="f" stroked="t" coordsize="150,1" path="m0,0l150,0e">
              <v:path arrowok="t"/>
              <v:fill on="f" focussize="0,0"/>
              <v:stroke weight="2pt" color="#000000"/>
              <v:imagedata o:title=""/>
              <o:lock v:ext="edit" aspectratio="f"/>
            </v:shape>
            <v:shape id="_x0000_s2159" o:spid="_x0000_s2159" style="position:absolute;left:11195;top:12432;flip:y;height:7461;width:984;rotation:5898240f;" filled="f" stroked="t" coordsize="150,1" path="m0,0l150,0e">
              <v:path arrowok="t"/>
              <v:fill on="f" focussize="0,0"/>
              <v:stroke weight="2pt" color="#000000"/>
              <v:imagedata o:title=""/>
              <o:lock v:ext="edit" aspectratio="f"/>
            </v:shape>
            <v:shape id="艺术字 3083" o:spid="_x0000_s2160" o:spt="136" type="#_x0000_t136" style="position:absolute;left:62566;top:18084;height:2216;width:5404;" fillcolor="#000000" filled="t" stroked="t" coordsize="21600,21600" adj="10800">
              <v:path/>
              <v:fill on="t" color2="#FFFFFF" focussize="0,0"/>
              <v:stroke color="#000000"/>
              <v:imagedata o:title=""/>
              <o:lock v:ext="edit" aspectratio="f"/>
              <v:textpath on="t" fitshape="t" fitpath="t" trim="t" xscale="f" string="造粒区" style="font-family:宋体;font-size:18pt;v-text-align:center;"/>
            </v:shape>
            <v:shape id="艺术字 3083" o:spid="_x0000_s2161" o:spt="136" type="#_x0000_t136" style="position:absolute;left:14662;top:34943;height:1949;width:5588;" fillcolor="#000000" filled="t" stroked="t" coordsize="21600,21600" adj="10800">
              <v:path/>
              <v:fill on="t" color2="#FFFFFF" focussize="0,0"/>
              <v:stroke color="#000000"/>
              <v:imagedata o:title=""/>
              <o:lock v:ext="edit" aspectratio="f"/>
              <v:textpath on="t" fitshape="t" fitpath="t" trim="t" xscale="f" string="办公室" style="font-family:宋体;font-size:18pt;v-text-align:center;"/>
            </v:shape>
            <v:shape id="艺术字 3083" o:spid="_x0000_s2162" o:spt="136" type="#_x0000_t136" style="position:absolute;left:38893;top:18541;height:2261;width:6503;" fillcolor="#000000" filled="t" stroked="t" coordsize="21600,21600" adj="10800">
              <v:path/>
              <v:fill on="t" color2="#FFFFFF" focussize="0,0"/>
              <v:stroke color="#000000"/>
              <v:imagedata o:title=""/>
              <o:lock v:ext="edit" aspectratio="f"/>
              <v:textpath on="t" fitshape="t" fitpath="t" trim="t" xscale="f" string="编织区" style="font-family:宋体;font-size:18pt;v-text-align:center;"/>
            </v:shape>
            <v:shape id="艺术字 3083" o:spid="_x0000_s2163" o:spt="136" type="#_x0000_t136" style="position:absolute;left:64757;top:12604;height:1937;width:5099;" fillcolor="#000000" filled="t" stroked="t" coordsize="21600,21600" adj="10800">
              <v:path/>
              <v:fill on="t" color2="#FFFFFF" focussize="0,0"/>
              <v:stroke color="#000000"/>
              <v:imagedata o:title=""/>
              <o:lock v:ext="edit" aspectratio="f"/>
              <v:textpath on="t" fitshape="t" fitpath="t" trim="t" xscale="f" string="混料区" style="font-family:宋体;font-size:18pt;v-text-align:center;"/>
            </v:shape>
            <v:shape id="_x0000_s2164" o:spid="_x0000_s2164" o:spt="75" type="#_x0000_t75" style="position:absolute;left:76789;top:323;height:9144;width:4064;rotation:-2359296f;" filled="f" o:preferrelative="t" stroked="f" coordsize="21600,21600">
              <v:path/>
              <v:fill on="f" focussize="0,0"/>
              <v:stroke on="f"/>
              <v:imagedata r:id="rId71" o:title=""/>
              <o:lock v:ext="edit" aspectratio="t"/>
            </v:shape>
            <v:shape id="自选图形 3220" o:spid="_x0000_s2165" o:spt="61" type="#_x0000_t61" style="position:absolute;left:44577;top:5346;height:5340;width:13055;" filled="f" stroked="t" coordsize="21600,21600" adj="22525,46667">
              <v:path/>
              <v:fill on="f" focussize="0,0"/>
              <v:stroke weight="1.75pt" color="#000000" joinstyle="miter" dashstyle="1 1"/>
              <v:imagedata o:title=""/>
              <o:lock v:ext="edit" aspectratio="f"/>
              <v:textbox>
                <w:txbxContent>
                  <w:p>
                    <w:r>
                      <w:rPr>
                        <w:rFonts w:hint="eastAsia"/>
                      </w:rPr>
                      <w:t>G1造粒、挤出成型废气排放口</w:t>
                    </w:r>
                  </w:p>
                </w:txbxContent>
              </v:textbox>
            </v:shape>
            <v:shape id="椭圆 3221" o:spid="_x0000_s2166" o:spt="3" type="#_x0000_t3" style="position:absolute;left:58146;top:16935;flip:x;height:622;width:623;" fillcolor="#FFFFFF" filled="t" stroked="t" coordsize="21600,21600">
              <v:path/>
              <v:fill on="t" color2="#FFFFFF" focussize="0,0"/>
              <v:stroke weight="2.25pt" color="#000000"/>
              <v:imagedata o:title=""/>
              <o:lock v:ext="edit" aspectratio="f"/>
            </v:shape>
            <v:shape id="_x0000_s2167" o:spid="_x0000_s2167" o:spt="136" type="#_x0000_t136" style="position:absolute;left:21913;top:17150;height:2299;width:2794;" fillcolor="#000000" filled="t" stroked="t" coordsize="21600,21600" adj="10800">
              <v:path/>
              <v:fill on="t" color2="#FFFFFF" focussize="0,0"/>
              <v:stroke color="#000000"/>
              <v:imagedata o:title=""/>
              <o:lock v:ext="edit" aspectratio="f"/>
              <v:textpath on="t" fitshape="t" fitpath="t" trim="t" xscale="f" string="危废&#10;暂存区" style="font-family:宋体;font-size:16pt;v-text-align:center;"/>
            </v:shape>
            <v:shape id="艺术字 3083" o:spid="_x0000_s2168" o:spt="136" type="#_x0000_t136" style="position:absolute;left:56965;top:27234;height:2153;width:13443;" fillcolor="#000000" filled="t" stroked="t" coordsize="21600,21600" adj="10800">
              <v:path/>
              <v:fill on="t" color2="#FFFFFF" focussize="0,0"/>
              <v:stroke color="#000000"/>
              <v:imagedata o:title=""/>
              <o:lock v:ext="edit" aspectratio="f"/>
              <v:textpath on="t" fitshape="t" fitpath="t" trim="t" xscale="f" string="挤出成型、冷却区" style="font-family:宋体;font-size:18pt;v-text-align:center;"/>
            </v:shape>
            <v:shape id="艺术字 3083" o:spid="_x0000_s2169" o:spt="136" type="#_x0000_t136" style="position:absolute;left:35610;top:35705;height:2298;width:11113;" fillcolor="#000000" filled="t" stroked="t" coordsize="21600,21600" adj="10800">
              <v:path/>
              <v:fill on="t" color2="#FFFFFF" focussize="0,0"/>
              <v:stroke color="#000000"/>
              <v:imagedata o:title=""/>
              <o:lock v:ext="edit" aspectratio="f"/>
              <v:textpath on="t" fitshape="t" fitpath="t" trim="t" xscale="f" string="成品摆放区" style="font-family:宋体;font-size:18pt;v-text-align:center;"/>
            </v:shape>
            <v:rect id="_x0000_s2170" o:spid="_x0000_s2170" o:spt="1" style="position:absolute;left:13081;top:16700;height:22764;width:57912;" filled="f" stroked="t" coordsize="21600,21600">
              <v:path/>
              <v:fill on="f" focussize="0,0"/>
              <v:stroke weight="2pt" color="#000000" joinstyle="miter" startarrow="block" endarrow="block"/>
              <v:imagedata o:title=""/>
              <o:lock v:ext="edit" aspectratio="f"/>
            </v:rect>
            <v:rect id="_x0000_s2171" o:spid="_x0000_s2171" o:spt="1" style="position:absolute;left:63265;top:10674;height:6007;width:7734;" filled="f" stroked="t" coordsize="21600,21600">
              <v:path/>
              <v:fill on="f" focussize="0,0"/>
              <v:stroke weight="2pt" color="#000000" joinstyle="miter" startarrow="block" endarrow="block"/>
              <v:imagedata o:title=""/>
              <o:lock v:ext="edit" aspectratio="f"/>
            </v:rect>
            <v:shape id="_x0000_s2172" o:spid="_x0000_s2172" style="position:absolute;left:21558;top:16674;height:22669;width:6;" filled="f" stroked="t" coordsize="1,3570" path="m0,0l0,3570e">
              <v:path arrowok="t"/>
              <v:fill on="f" focussize="0,0"/>
              <v:stroke weight="2pt" color="#000000"/>
              <v:imagedata o:title=""/>
              <o:lock v:ext="edit" aspectratio="f"/>
            </v:shape>
            <v:shape id="_x0000_s2173" o:spid="_x0000_s2173" style="position:absolute;left:13176;top:32009;height:6;width:8382;" filled="f" stroked="t" coordsize="1320,1" path="m0,0l1320,0e">
              <v:path arrowok="t"/>
              <v:fill on="f" focussize="0,0"/>
              <v:stroke weight="2pt" color="#000000"/>
              <v:imagedata o:title=""/>
              <o:lock v:ext="edit" aspectratio="f"/>
            </v:shape>
            <v:shape id="_x0000_s2174" o:spid="_x0000_s2174" style="position:absolute;left:21558;top:16674;height:3054;width:3429;" filled="f" stroked="t" coordsize="720,615" path="m0,615l720,615,720,0e">
              <v:path arrowok="t"/>
              <v:fill on="f" focussize="0,0"/>
              <v:stroke weight="2pt" color="#000000"/>
              <v:imagedata o:title=""/>
              <o:lock v:ext="edit" aspectratio="f"/>
            </v:shape>
            <v:shape id="艺术字 3083" o:spid="_x0000_s2175" o:spt="136" type="#_x0000_t136" style="position:absolute;left:34658;top:31133;height:2159;width:12471;" fillcolor="#000000" filled="t" stroked="t" coordsize="21600,21600" adj="10800">
              <v:path/>
              <v:fill on="t" color2="#FFFFFF" focussize="0,0"/>
              <v:stroke color="#000000"/>
              <v:imagedata o:title=""/>
              <o:lock v:ext="edit" aspectratio="f"/>
              <v:textpath on="t" fitshape="t" fitpath="t" trim="t" xscale="f" string="检验、包装区" style="font-family:宋体;font-size:18pt;v-text-align:center;"/>
            </v:shape>
            <v:shape id="艺术字 3083" o:spid="_x0000_s2176" o:spt="136" type="#_x0000_t136" style="position:absolute;left:46564;top:26180;height:2057;width:6382;" fillcolor="#000000" filled="t" stroked="t" coordsize="21600,21600" adj="10800">
              <v:path/>
              <v:fill on="t" color2="#FFFFFF" focussize="0,0"/>
              <v:stroke color="#000000"/>
              <v:imagedata o:title=""/>
              <o:lock v:ext="edit" aspectratio="f"/>
              <v:textpath on="t" fitshape="t" fitpath="t" trim="t" xscale="f" string="收卷区" style="font-family:宋体;font-size:18pt;v-text-align:center;"/>
            </v:shape>
            <v:shape id="_x0000_s2177" o:spid="_x0000_s2177" o:spt="136" type="#_x0000_t136" style="position:absolute;left:21926;top:36213;height:2889;width:4102;" fillcolor="#000000" filled="t" stroked="t" coordsize="21600,21600" adj="10800">
              <v:path/>
              <v:fill on="t" color2="#FFFFFF" focussize="0,0"/>
              <v:stroke color="#000000"/>
              <v:imagedata o:title=""/>
              <o:lock v:ext="edit" aspectratio="f"/>
              <v:textpath on="t" fitshape="t" fitpath="t" trim="t" xscale="f" string="一般固&#10;废暂存区" style="font-family:宋体;font-size:16pt;v-text-align:center;"/>
            </v:shape>
            <v:shape id="_x0000_s2178" o:spid="_x0000_s2178" o:spt="136" type="#_x0000_t136" style="position:absolute;left:3352;top:49992;height:1143;width:2667;" fillcolor="#000000" filled="t" stroked="t" coordsize="21600,21600" adj="10800">
              <v:path/>
              <v:fill on="t" color2="#FFFFFF" focussize="0,0"/>
              <v:stroke color="#000000"/>
              <v:imagedata o:title=""/>
              <o:lock v:ext="edit" aspectratio="f"/>
              <v:textpath on="t" fitshape="t" fitpath="t" trim="t" xscale="f" string="10米" style="font-family:宋体;font-size:16pt;v-text-align:center;"/>
            </v:shape>
            <v:shape id="_x0000_s2179" o:spid="_x0000_s2179" o:spt="5" type="#_x0000_t5" style="position:absolute;left:13608;top:37895;height:635;width:635;" fillcolor="#FFFFFF" filled="t" stroked="t" coordsize="21600,21600" adj="10800">
              <v:path/>
              <v:fill on="t" color2="#FFFFFF" focussize="0,0"/>
              <v:stroke weight="0.5pt" color="#000000" joinstyle="miter" startarrow="block" endarrow="block"/>
              <v:imagedata o:title=""/>
              <o:lock v:ext="edit" aspectratio="f"/>
            </v:shape>
            <v:shape id="_x0000_s2180" o:spid="_x0000_s2180" o:spt="61" type="#_x0000_t61" style="position:absolute;left:19640;top:43197;height:4286;width:11709;" filled="f" stroked="t" coordsize="21600,21600" adj="-8679,-22687">
              <v:path/>
              <v:fill on="f" focussize="0,0"/>
              <v:stroke weight="1.75pt" color="#000000" joinstyle="miter" dashstyle="1 1"/>
              <v:imagedata o:title=""/>
              <o:lock v:ext="edit" aspectratio="f"/>
              <v:textbox>
                <w:txbxContent>
                  <w:p>
                    <w:r>
                      <w:rPr>
                        <w:rFonts w:hint="eastAsia"/>
                      </w:rPr>
                      <w:t>生活污水排放口</w:t>
                    </w:r>
                  </w:p>
                </w:txbxContent>
              </v:textbox>
            </v:shape>
            <v:shape id="_x0000_s2181" o:spid="_x0000_s2181" style="position:absolute;left:22187;top:35044;height:4858;width:3714;rotation:-5898240f;" filled="f" stroked="t" coordsize="720,615" path="m0,615l720,615,720,0e">
              <v:path arrowok="t"/>
              <v:fill on="f" focussize="0,0"/>
              <v:stroke weight="2pt" color="#000000"/>
              <v:imagedata o:title=""/>
              <o:lock v:ext="edit" aspectratio="f"/>
            </v:shape>
            <v:group id="_x0000_s2182" o:spid="_x0000_s2182" o:spt="203" style="position:absolute;left:1988;top:50849;height:2159;width:11430;" coordorigin="3009,1171871" coordsize="2142,284" o:gfxdata="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GSj9bNoAAAAKAQAADwAAAAAAAAABACAAAAAiAAAA&#10;ZHJzL2Rvd25yZXYueG1sUEsBAhQAFAAAAAgAh07iQA7FSmIiAwAAPwwAAA4AAAAAAAAAAQAgAAAA&#10;KQEAAGRycy9lMm9Eb2MueG1sUEsFBgAAAAAGAAYAWQEAAL0GAAAAAA==&#10;">
              <o:lock v:ext="edit" aspectratio="f"/>
              <v:group id="组合 72" o:spid="_x0000_s2183" o:spt="203" style="position:absolute;left:3009;top:1171871;height:284;width:2142;" coordorigin="3009,1171871" coordsize="2142,284"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任意多边形 70" o:spid="_x0000_s2184" o:spt="100" style="position:absolute;left:3009;top:1172021;height:135;width:2143;" filled="f" stroked="t" coordsize="1260,1" o:gfxdata="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wX5b4A&#10;AADbAAAADwAAAAAAAAABACAAAAAiAAAAZHJzL2Rvd25yZXYueG1sUEsBAhQAFAAAAAgAh07iQDMv&#10;BZ47AAAAOQAAABAAAAAAAAAAAQAgAAAADQEAAGRycy9zaGFwZXhtbC54bWxQSwUGAAAAAAYABgBb&#10;AQAAtwMAAAAA&#10;" path="m0,0l1245,0,1260,0e">
                  <v:fill on="f" focussize="0,0"/>
                  <v:stroke weight="1.5pt" color="#000000" joinstyle="round"/>
                  <v:imagedata o:title=""/>
                  <o:lock v:ext="edit" aspectratio="f"/>
                </v:shape>
                <v:shape id="任意多边形 71" o:spid="_x0000_s2185" o:spt="100" style="position:absolute;left:3009;top:1171871;height:150;width:1;" filled="f" stroked="t" coordsize="1,150" o:gfxdata="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krMjtwAAANsAAAAP&#10;AAAAAAAAAAEAIAAAACIAAABkcnMvZG93bnJldi54bWxQSwECFAAUAAAACACHTuJAMy8FnjsAAAA5&#10;AAAAEAAAAAAAAAABACAAAAAGAQAAZHJzL3NoYXBleG1sLnhtbFBLBQYAAAAABgAGAFsBAACwAwAA&#10;AAA=&#10;" path="m0,0l0,150e">
                  <v:fill on="f" focussize="0,0"/>
                  <v:stroke weight="1.5pt" color="#000000" joinstyle="round"/>
                  <v:imagedata o:title=""/>
                  <o:lock v:ext="edit" aspectratio="f"/>
                </v:shape>
              </v:group>
              <v:shape id="任意多边形 73" o:spid="_x0000_s2186" o:spt="100" style="position:absolute;left:5139;top:1171871;height:150;width:1;" filled="f" stroked="t" coordsize="1,150" o:gfxdata="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94WuLsAAADb&#10;AAAADwAAAAAAAAABACAAAAAiAAAAZHJzL2Rvd25yZXYueG1sUEsBAhQAFAAAAAgAh07iQDMvBZ47&#10;AAAAOQAAABAAAAAAAAAAAQAgAAAACgEAAGRycy9zaGFwZXhtbC54bWxQSwUGAAAAAAYABgBbAQAA&#10;tAMAAAAA&#10;" path="m0,0l0,150e">
                <v:fill on="f" focussize="0,0"/>
                <v:stroke weight="1.5pt" color="#000000" joinstyle="round"/>
                <v:imagedata o:title=""/>
                <o:lock v:ext="edit" aspectratio="f"/>
              </v:shape>
            </v:group>
          </v:group>
        </w:pict>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pStyle w:val="42"/>
        <w:rPr>
          <w:rFonts w:ascii="Times New Roman" w:hAnsi="Times New Roman"/>
          <w:color w:val="auto"/>
          <w:sz w:val="24"/>
          <w:szCs w:val="24"/>
        </w:rPr>
      </w:pPr>
      <w:r>
        <w:rPr>
          <w:color w:val="auto"/>
          <w:sz w:val="24"/>
          <w:szCs w:val="24"/>
        </w:rPr>
        <w:t>附</w:t>
      </w:r>
      <w:r>
        <w:rPr>
          <w:rFonts w:ascii="Times New Roman" w:hAnsi="Times New Roman"/>
          <w:color w:val="auto"/>
          <w:sz w:val="24"/>
          <w:szCs w:val="24"/>
        </w:rPr>
        <w:t>图3 项目车间平面布置图</w:t>
      </w:r>
    </w:p>
    <w:p>
      <w:pPr>
        <w:tabs>
          <w:tab w:val="center" w:pos="4649"/>
        </w:tabs>
        <w:jc w:val="left"/>
        <w:rPr>
          <w:color w:val="auto"/>
        </w:rPr>
        <w:sectPr>
          <w:pgSz w:w="16840" w:h="11907" w:orient="landscape"/>
          <w:pgMar w:top="1304" w:right="1418" w:bottom="1304" w:left="1418" w:header="851" w:footer="851" w:gutter="0"/>
          <w:cols w:space="425" w:num="1"/>
          <w:docGrid w:type="lines" w:linePitch="312" w:charSpace="0"/>
        </w:sectPr>
      </w:pPr>
    </w:p>
    <w:p>
      <w:pPr>
        <w:rPr>
          <w:b/>
          <w:color w:val="auto"/>
          <w:sz w:val="24"/>
        </w:rPr>
      </w:pPr>
      <w:r>
        <w:rPr>
          <w:rFonts w:hint="eastAsia"/>
          <w:b/>
          <w:color w:val="auto"/>
          <w:sz w:val="24"/>
        </w:rPr>
        <w:drawing>
          <wp:anchor distT="0" distB="0" distL="114935" distR="114935" simplePos="0" relativeHeight="251646976" behindDoc="0" locked="0" layoutInCell="1" allowOverlap="1">
            <wp:simplePos x="0" y="0"/>
            <wp:positionH relativeFrom="column">
              <wp:posOffset>5010150</wp:posOffset>
            </wp:positionH>
            <wp:positionV relativeFrom="paragraph">
              <wp:posOffset>38100</wp:posOffset>
            </wp:positionV>
            <wp:extent cx="3034665" cy="2275205"/>
            <wp:effectExtent l="12700" t="12700" r="19685" b="17145"/>
            <wp:wrapNone/>
            <wp:docPr id="21" name="图片 21" descr="2西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西南"/>
                    <pic:cNvPicPr>
                      <a:picLocks noChangeAspect="1"/>
                    </pic:cNvPicPr>
                  </pic:nvPicPr>
                  <pic:blipFill>
                    <a:blip r:embed="rId75"/>
                    <a:stretch>
                      <a:fillRect/>
                    </a:stretch>
                  </pic:blipFill>
                  <pic:spPr>
                    <a:xfrm>
                      <a:off x="0" y="0"/>
                      <a:ext cx="3034665" cy="2275205"/>
                    </a:xfrm>
                    <a:prstGeom prst="rect">
                      <a:avLst/>
                    </a:prstGeom>
                    <a:ln w="12700" cmpd="sng">
                      <a:solidFill>
                        <a:schemeClr val="tx1"/>
                      </a:solidFill>
                      <a:prstDash val="solid"/>
                    </a:ln>
                  </pic:spPr>
                </pic:pic>
              </a:graphicData>
            </a:graphic>
          </wp:anchor>
        </w:drawing>
      </w:r>
      <w:r>
        <w:rPr>
          <w:color w:val="auto"/>
        </w:rPr>
        <w:drawing>
          <wp:anchor distT="0" distB="0" distL="114935" distR="114935" simplePos="0" relativeHeight="251645952" behindDoc="0" locked="0" layoutInCell="1" allowOverlap="1">
            <wp:simplePos x="0" y="0"/>
            <wp:positionH relativeFrom="column">
              <wp:posOffset>1104265</wp:posOffset>
            </wp:positionH>
            <wp:positionV relativeFrom="paragraph">
              <wp:posOffset>70485</wp:posOffset>
            </wp:positionV>
            <wp:extent cx="3041650" cy="2275205"/>
            <wp:effectExtent l="12700" t="12700" r="12700" b="17145"/>
            <wp:wrapNone/>
            <wp:docPr id="20" name="图片 20" descr="1东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东南"/>
                    <pic:cNvPicPr>
                      <a:picLocks noChangeAspect="1"/>
                    </pic:cNvPicPr>
                  </pic:nvPicPr>
                  <pic:blipFill>
                    <a:blip r:embed="rId76"/>
                    <a:stretch>
                      <a:fillRect/>
                    </a:stretch>
                  </pic:blipFill>
                  <pic:spPr>
                    <a:xfrm>
                      <a:off x="0" y="0"/>
                      <a:ext cx="3041650" cy="2275205"/>
                    </a:xfrm>
                    <a:prstGeom prst="rect">
                      <a:avLst/>
                    </a:prstGeom>
                    <a:ln w="12700" cmpd="sng">
                      <a:solidFill>
                        <a:schemeClr val="tx1"/>
                      </a:solidFill>
                      <a:prstDash val="solid"/>
                    </a:ln>
                  </pic:spPr>
                </pic:pic>
              </a:graphicData>
            </a:graphic>
          </wp:anchor>
        </w:drawing>
      </w: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p>
    <w:p>
      <w:pPr>
        <w:ind w:firstLine="1446" w:firstLineChars="600"/>
        <w:rPr>
          <w:b/>
          <w:color w:val="auto"/>
          <w:sz w:val="24"/>
        </w:rPr>
      </w:pPr>
      <w:r>
        <w:rPr>
          <w:b/>
          <w:color w:val="auto"/>
          <w:sz w:val="24"/>
        </w:rPr>
        <w:t xml:space="preserve">     </w:t>
      </w:r>
      <w:r>
        <w:rPr>
          <w:rFonts w:hint="eastAsia"/>
          <w:b/>
          <w:color w:val="auto"/>
          <w:sz w:val="24"/>
        </w:rPr>
        <w:t xml:space="preserve">       </w:t>
      </w:r>
      <w:r>
        <w:rPr>
          <w:b/>
          <w:color w:val="auto"/>
          <w:sz w:val="24"/>
        </w:rPr>
        <w:t xml:space="preserve">项目东南面福斯特卫浴厂        </w:t>
      </w:r>
      <w:r>
        <w:rPr>
          <w:rFonts w:hint="eastAsia"/>
          <w:b/>
          <w:color w:val="auto"/>
          <w:sz w:val="24"/>
        </w:rPr>
        <w:t xml:space="preserve">       </w:t>
      </w:r>
      <w:r>
        <w:rPr>
          <w:b/>
          <w:color w:val="auto"/>
          <w:sz w:val="24"/>
        </w:rPr>
        <w:t xml:space="preserve">  </w:t>
      </w:r>
      <w:r>
        <w:rPr>
          <w:rFonts w:hint="eastAsia"/>
          <w:b/>
          <w:color w:val="auto"/>
          <w:sz w:val="24"/>
        </w:rPr>
        <w:t xml:space="preserve">             </w:t>
      </w:r>
      <w:r>
        <w:rPr>
          <w:b/>
          <w:color w:val="auto"/>
          <w:sz w:val="24"/>
        </w:rPr>
        <w:t xml:space="preserve"> 项目西南面信越橡胶厂</w:t>
      </w:r>
    </w:p>
    <w:p>
      <w:pPr>
        <w:ind w:firstLine="708" w:firstLineChars="294"/>
        <w:rPr>
          <w:b/>
          <w:color w:val="auto"/>
          <w:sz w:val="24"/>
        </w:rPr>
      </w:pPr>
      <w:r>
        <w:rPr>
          <w:rFonts w:hint="eastAsia"/>
          <w:b/>
          <w:color w:val="auto"/>
          <w:sz w:val="24"/>
        </w:rPr>
        <w:drawing>
          <wp:anchor distT="0" distB="0" distL="114935" distR="114935" simplePos="0" relativeHeight="251649024" behindDoc="0" locked="0" layoutInCell="1" allowOverlap="1">
            <wp:simplePos x="0" y="0"/>
            <wp:positionH relativeFrom="column">
              <wp:posOffset>5029835</wp:posOffset>
            </wp:positionH>
            <wp:positionV relativeFrom="paragraph">
              <wp:posOffset>81915</wp:posOffset>
            </wp:positionV>
            <wp:extent cx="3034665" cy="2275205"/>
            <wp:effectExtent l="12700" t="12700" r="19685" b="17145"/>
            <wp:wrapNone/>
            <wp:docPr id="24" name="图片 24" descr="4东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东北"/>
                    <pic:cNvPicPr>
                      <a:picLocks noChangeAspect="1"/>
                    </pic:cNvPicPr>
                  </pic:nvPicPr>
                  <pic:blipFill>
                    <a:blip r:embed="rId77"/>
                    <a:stretch>
                      <a:fillRect/>
                    </a:stretch>
                  </pic:blipFill>
                  <pic:spPr>
                    <a:xfrm>
                      <a:off x="0" y="0"/>
                      <a:ext cx="3034665" cy="2275205"/>
                    </a:xfrm>
                    <a:prstGeom prst="rect">
                      <a:avLst/>
                    </a:prstGeom>
                    <a:ln w="12700" cmpd="sng">
                      <a:solidFill>
                        <a:schemeClr val="tx1"/>
                      </a:solidFill>
                      <a:prstDash val="solid"/>
                    </a:ln>
                  </pic:spPr>
                </pic:pic>
              </a:graphicData>
            </a:graphic>
          </wp:anchor>
        </w:drawing>
      </w:r>
      <w:r>
        <w:rPr>
          <w:rFonts w:hint="eastAsia"/>
          <w:b/>
          <w:color w:val="auto"/>
          <w:sz w:val="24"/>
        </w:rPr>
        <w:drawing>
          <wp:anchor distT="0" distB="0" distL="114935" distR="114935" simplePos="0" relativeHeight="251648000" behindDoc="0" locked="0" layoutInCell="1" allowOverlap="1">
            <wp:simplePos x="0" y="0"/>
            <wp:positionH relativeFrom="column">
              <wp:posOffset>1115060</wp:posOffset>
            </wp:positionH>
            <wp:positionV relativeFrom="paragraph">
              <wp:posOffset>81915</wp:posOffset>
            </wp:positionV>
            <wp:extent cx="3034665" cy="2275205"/>
            <wp:effectExtent l="12700" t="12700" r="19685" b="17145"/>
            <wp:wrapNone/>
            <wp:docPr id="23" name="图片 23" descr="3西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西北"/>
                    <pic:cNvPicPr>
                      <a:picLocks noChangeAspect="1"/>
                    </pic:cNvPicPr>
                  </pic:nvPicPr>
                  <pic:blipFill>
                    <a:blip r:embed="rId78"/>
                    <a:stretch>
                      <a:fillRect/>
                    </a:stretch>
                  </pic:blipFill>
                  <pic:spPr>
                    <a:xfrm>
                      <a:off x="0" y="0"/>
                      <a:ext cx="3034665" cy="2275205"/>
                    </a:xfrm>
                    <a:prstGeom prst="rect">
                      <a:avLst/>
                    </a:prstGeom>
                    <a:ln w="12700" cmpd="sng">
                      <a:solidFill>
                        <a:schemeClr val="tx1"/>
                      </a:solidFill>
                      <a:prstDash val="solid"/>
                    </a:ln>
                  </pic:spPr>
                </pic:pic>
              </a:graphicData>
            </a:graphic>
          </wp:anchor>
        </w:drawing>
      </w: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708" w:firstLineChars="294"/>
        <w:rPr>
          <w:b/>
          <w:color w:val="auto"/>
          <w:sz w:val="24"/>
        </w:rPr>
      </w:pPr>
    </w:p>
    <w:p>
      <w:pPr>
        <w:ind w:firstLine="964" w:firstLineChars="400"/>
        <w:rPr>
          <w:b/>
          <w:bCs/>
          <w:color w:val="auto"/>
          <w:sz w:val="24"/>
        </w:rPr>
      </w:pPr>
      <w:r>
        <w:rPr>
          <w:rFonts w:hint="eastAsia"/>
          <w:b/>
          <w:color w:val="auto"/>
          <w:sz w:val="24"/>
        </w:rPr>
        <w:t xml:space="preserve"> </w:t>
      </w:r>
      <w:r>
        <w:rPr>
          <w:b/>
          <w:color w:val="auto"/>
          <w:sz w:val="24"/>
        </w:rPr>
        <w:t xml:space="preserve">                </w:t>
      </w:r>
      <w:r>
        <w:rPr>
          <w:rFonts w:hint="eastAsia"/>
          <w:b/>
          <w:color w:val="auto"/>
          <w:sz w:val="24"/>
        </w:rPr>
        <w:t xml:space="preserve"> </w:t>
      </w:r>
      <w:r>
        <w:rPr>
          <w:b/>
          <w:color w:val="auto"/>
          <w:sz w:val="24"/>
        </w:rPr>
        <w:t xml:space="preserve">项目西北面商铺            </w:t>
      </w:r>
      <w:r>
        <w:rPr>
          <w:rFonts w:hint="eastAsia"/>
          <w:b/>
          <w:color w:val="auto"/>
          <w:sz w:val="24"/>
        </w:rPr>
        <w:t xml:space="preserve">                         </w:t>
      </w:r>
      <w:r>
        <w:rPr>
          <w:b/>
          <w:color w:val="auto"/>
          <w:sz w:val="24"/>
        </w:rPr>
        <w:t xml:space="preserve"> 项目东北面星洋塑料厂</w:t>
      </w:r>
    </w:p>
    <w:p>
      <w:pPr>
        <w:ind w:firstLine="964" w:firstLineChars="400"/>
        <w:rPr>
          <w:b/>
          <w:bCs/>
          <w:color w:val="auto"/>
          <w:sz w:val="24"/>
        </w:rPr>
      </w:pPr>
      <w:r>
        <w:rPr>
          <w:b/>
          <w:bCs/>
          <w:color w:val="auto"/>
          <w:sz w:val="24"/>
        </w:rPr>
        <w:t xml:space="preserve">            </w:t>
      </w:r>
    </w:p>
    <w:p>
      <w:pPr>
        <w:pStyle w:val="42"/>
        <w:spacing w:before="0"/>
        <w:rPr>
          <w:rFonts w:ascii="Times New Roman" w:hAnsi="Times New Roman"/>
          <w:color w:val="auto"/>
          <w:sz w:val="24"/>
          <w:szCs w:val="24"/>
        </w:rPr>
        <w:sectPr>
          <w:pgSz w:w="16840" w:h="11907" w:orient="landscape"/>
          <w:pgMar w:top="1304" w:right="1418" w:bottom="1304" w:left="1418" w:header="851" w:footer="851" w:gutter="0"/>
          <w:cols w:space="425" w:num="1"/>
          <w:docGrid w:type="lines" w:linePitch="312" w:charSpace="0"/>
        </w:sectPr>
      </w:pPr>
      <w:r>
        <w:rPr>
          <w:rFonts w:ascii="Times New Roman" w:hAnsi="Times New Roman"/>
          <w:color w:val="auto"/>
          <w:sz w:val="24"/>
          <w:szCs w:val="24"/>
        </w:rPr>
        <w:t>附图</w:t>
      </w:r>
      <w:r>
        <w:rPr>
          <w:rFonts w:hint="eastAsia" w:ascii="Times New Roman" w:hAnsi="Times New Roman"/>
          <w:color w:val="auto"/>
          <w:sz w:val="24"/>
          <w:szCs w:val="24"/>
        </w:rPr>
        <w:t>4</w:t>
      </w:r>
      <w:r>
        <w:rPr>
          <w:rFonts w:ascii="Times New Roman" w:hAnsi="Times New Roman"/>
          <w:color w:val="auto"/>
          <w:sz w:val="24"/>
          <w:szCs w:val="24"/>
        </w:rPr>
        <w:t xml:space="preserve"> 项目四至情况布置图</w:t>
      </w:r>
    </w:p>
    <w:p>
      <w:pPr>
        <w:jc w:val="center"/>
        <w:rPr>
          <w:color w:val="auto"/>
        </w:rPr>
      </w:pPr>
      <w:r>
        <w:rPr>
          <w:color w:val="auto"/>
        </w:rPr>
        <w:drawing>
          <wp:anchor distT="0" distB="0" distL="114300" distR="114300" simplePos="0" relativeHeight="251650048" behindDoc="0" locked="0" layoutInCell="1" allowOverlap="1">
            <wp:simplePos x="0" y="0"/>
            <wp:positionH relativeFrom="column">
              <wp:posOffset>8065770</wp:posOffset>
            </wp:positionH>
            <wp:positionV relativeFrom="paragraph">
              <wp:posOffset>75565</wp:posOffset>
            </wp:positionV>
            <wp:extent cx="406400" cy="914400"/>
            <wp:effectExtent l="0" t="0" r="12700" b="0"/>
            <wp:wrapNone/>
            <wp:docPr id="29"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77"/>
                    <pic:cNvPicPr>
                      <a:picLocks noChangeAspect="1"/>
                    </pic:cNvPicPr>
                  </pic:nvPicPr>
                  <pic:blipFill>
                    <a:blip r:embed="rId71"/>
                    <a:stretch>
                      <a:fillRect/>
                    </a:stretch>
                  </pic:blipFill>
                  <pic:spPr>
                    <a:xfrm>
                      <a:off x="0" y="0"/>
                      <a:ext cx="406400" cy="914400"/>
                    </a:xfrm>
                    <a:prstGeom prst="rect">
                      <a:avLst/>
                    </a:prstGeom>
                    <a:noFill/>
                    <a:ln>
                      <a:noFill/>
                    </a:ln>
                  </pic:spPr>
                </pic:pic>
              </a:graphicData>
            </a:graphic>
          </wp:anchor>
        </w:drawing>
      </w:r>
      <w:r>
        <w:rPr>
          <w:color w:val="auto"/>
        </w:rPr>
        <w:pict>
          <v:shape id="_x0000_s2187" o:spid="_x0000_s2187" o:spt="61" type="#_x0000_t61" style="position:absolute;left:0pt;margin-left:557.45pt;margin-top:284.95pt;height:24pt;width:101.3pt;z-index:251667456;mso-width-relative:page;mso-height-relative:page;" stroked="t" coordsize="21600,21600" adj="682,66915">
            <v:path/>
            <v:fill focussize="0,0"/>
            <v:stroke color="#FF0000" joinstyle="miter"/>
            <v:imagedata o:title=""/>
            <o:lock v:ext="edit"/>
            <v:textbox>
              <w:txbxContent>
                <w:p>
                  <w:pPr>
                    <w:rPr>
                      <w:sz w:val="24"/>
                    </w:rPr>
                  </w:pPr>
                  <w:r>
                    <w:rPr>
                      <w:rFonts w:hint="eastAsia"/>
                      <w:sz w:val="24"/>
                    </w:rPr>
                    <w:t>水口污水处理厂</w:t>
                  </w:r>
                </w:p>
              </w:txbxContent>
            </v:textbox>
          </v:shape>
        </w:pict>
      </w:r>
      <w:r>
        <w:rPr>
          <w:color w:val="auto"/>
        </w:rPr>
        <w:pict>
          <v:shape id="_x0000_s2188" o:spid="_x0000_s2188" o:spt="12" type="#_x0000_t12" style="position:absolute;left:0pt;margin-left:554.8pt;margin-top:359.1pt;height:8pt;width:8pt;z-index:251668480;mso-width-relative:page;mso-height-relative:page;" fillcolor="#FF0000" filled="t" stroked="t" coordsize="21600,21600">
            <v:path/>
            <v:fill on="t" focussize="0,0"/>
            <v:stroke color="#FF0000" joinstyle="miter"/>
            <v:imagedata o:title=""/>
            <o:lock v:ext="edit"/>
          </v:shape>
        </w:pict>
      </w:r>
      <w:r>
        <w:rPr>
          <w:color w:val="auto"/>
        </w:rPr>
        <w:pict>
          <v:shape id="_x0000_s2189" o:spid="_x0000_s2189" o:spt="61" type="#_x0000_t61" style="position:absolute;left:0pt;margin-left:436.55pt;margin-top:165.95pt;height:24pt;width:87pt;z-index:251665408;mso-width-relative:page;mso-height-relative:page;" stroked="t" coordsize="21600,21600" adj="-7240,45895">
            <v:path/>
            <v:fill focussize="0,0"/>
            <v:stroke color="#FF0000" joinstyle="miter"/>
            <v:imagedata o:title=""/>
            <o:lock v:ext="edit"/>
            <v:textbox>
              <w:txbxContent>
                <w:p>
                  <w:pPr>
                    <w:rPr>
                      <w:sz w:val="24"/>
                    </w:rPr>
                  </w:pPr>
                  <w:r>
                    <w:rPr>
                      <w:rFonts w:hint="eastAsia"/>
                      <w:sz w:val="24"/>
                    </w:rPr>
                    <w:t>本项目位置</w:t>
                  </w:r>
                </w:p>
              </w:txbxContent>
            </v:textbox>
          </v:shape>
        </w:pict>
      </w:r>
      <w:r>
        <w:rPr>
          <w:color w:val="auto"/>
        </w:rPr>
        <w:pict>
          <v:shape id="_x0000_s2190" o:spid="_x0000_s2190" o:spt="12" type="#_x0000_t12" style="position:absolute;left:0pt;margin-left:398.4pt;margin-top:216.45pt;height:8pt;width:8pt;z-index:251666432;mso-width-relative:page;mso-height-relative:page;" fillcolor="#FF0000" filled="t" stroked="t" coordsize="21600,21600">
            <v:path/>
            <v:fill on="t" focussize="0,0"/>
            <v:stroke color="#FF0000" joinstyle="miter"/>
            <v:imagedata o:title=""/>
            <o:lock v:ext="edit"/>
          </v:shape>
        </w:pict>
      </w:r>
      <w:r>
        <w:rPr>
          <w:rFonts w:hint="eastAsia"/>
          <w:color w:val="auto"/>
        </w:rPr>
        <w:drawing>
          <wp:inline distT="0" distB="0" distL="114300" distR="114300">
            <wp:extent cx="8060690" cy="5380355"/>
            <wp:effectExtent l="12700" t="12700" r="22860" b="17145"/>
            <wp:docPr id="19" name="图片 19" descr="cfc7c2970eabe6eda6382911b0986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fc7c2970eabe6eda6382911b0986b2"/>
                    <pic:cNvPicPr>
                      <a:picLocks noChangeAspect="1"/>
                    </pic:cNvPicPr>
                  </pic:nvPicPr>
                  <pic:blipFill>
                    <a:blip r:embed="rId79"/>
                    <a:srcRect/>
                    <a:stretch>
                      <a:fillRect/>
                    </a:stretch>
                  </pic:blipFill>
                  <pic:spPr>
                    <a:xfrm>
                      <a:off x="0" y="0"/>
                      <a:ext cx="8060690" cy="5380355"/>
                    </a:xfrm>
                    <a:prstGeom prst="rect">
                      <a:avLst/>
                    </a:prstGeom>
                    <a:ln w="12700" cmpd="sng">
                      <a:solidFill>
                        <a:schemeClr val="tx1"/>
                      </a:solidFill>
                      <a:prstDash val="solid"/>
                    </a:ln>
                  </pic:spPr>
                </pic:pic>
              </a:graphicData>
            </a:graphic>
          </wp:inline>
        </w:drawing>
      </w:r>
    </w:p>
    <w:p>
      <w:pPr>
        <w:pStyle w:val="42"/>
        <w:spacing w:before="0"/>
        <w:rPr>
          <w:rFonts w:ascii="Times New Roman" w:hAnsi="Times New Roman"/>
          <w:color w:val="auto"/>
          <w:sz w:val="24"/>
          <w:szCs w:val="24"/>
        </w:rPr>
        <w:sectPr>
          <w:headerReference r:id="rId20" w:type="default"/>
          <w:footerReference r:id="rId21" w:type="default"/>
          <w:pgSz w:w="16840" w:h="11907" w:orient="landscape"/>
          <w:pgMar w:top="1304" w:right="1418" w:bottom="1304" w:left="1418" w:header="851" w:footer="851" w:gutter="0"/>
          <w:cols w:space="425" w:num="1"/>
          <w:docGrid w:type="lines" w:linePitch="312" w:charSpace="0"/>
        </w:sectPr>
      </w:pPr>
      <w:r>
        <w:rPr>
          <w:rFonts w:ascii="Times New Roman" w:hAnsi="Times New Roman"/>
          <w:color w:val="auto"/>
          <w:sz w:val="24"/>
          <w:szCs w:val="24"/>
        </w:rPr>
        <w:t>附图</w:t>
      </w:r>
      <w:r>
        <w:rPr>
          <w:rFonts w:hint="eastAsia" w:ascii="Times New Roman" w:hAnsi="Times New Roman"/>
          <w:color w:val="auto"/>
          <w:sz w:val="24"/>
          <w:szCs w:val="24"/>
        </w:rPr>
        <w:t>5</w:t>
      </w:r>
      <w:r>
        <w:rPr>
          <w:rFonts w:ascii="Times New Roman" w:hAnsi="Times New Roman"/>
          <w:color w:val="auto"/>
          <w:sz w:val="24"/>
          <w:szCs w:val="24"/>
        </w:rPr>
        <w:t xml:space="preserve"> </w:t>
      </w:r>
      <w:r>
        <w:rPr>
          <w:rFonts w:hint="eastAsia" w:ascii="Times New Roman" w:hAnsi="Times New Roman"/>
          <w:color w:val="auto"/>
          <w:sz w:val="24"/>
          <w:szCs w:val="24"/>
        </w:rPr>
        <w:t>开平市水口污水处理厂污水管网布置图</w:t>
      </w:r>
    </w:p>
    <w:p>
      <w:pPr>
        <w:jc w:val="center"/>
        <w:rPr>
          <w:color w:val="auto"/>
        </w:rPr>
      </w:pPr>
      <w:r>
        <w:rPr>
          <w:color w:val="auto"/>
        </w:rPr>
        <w:pict>
          <v:shape id="_x0000_s2265" o:spid="_x0000_s2265" o:spt="136" type="#_x0000_t136" style="position:absolute;left:0pt;margin-left:247.05pt;margin-top:309.1pt;height:11.45pt;width:26.15pt;rotation:211315f;z-index:-1525400576;mso-width-relative:page;mso-height-relative:page;" fillcolor="#0000FF" filled="t" stroked="t" coordsize="21600,21600" adj="10800">
            <v:path/>
            <v:fill on="t" color2="#FFFFFF" focussize="0,0"/>
            <v:stroke color="#0000FF"/>
            <v:imagedata o:title=""/>
            <o:lock v:ext="edit" aspectratio="f"/>
            <v:textpath on="t" fitshape="t" fitpath="t" trim="t" xscale="f" string="潮安里" style="font-family:宋体;font-size:16pt;v-text-align:center;"/>
          </v:shape>
        </w:pict>
      </w:r>
      <w:r>
        <w:rPr>
          <w:color w:val="auto"/>
        </w:rPr>
        <w:pict>
          <v:shape id="_x0000_s2264" o:spid="_x0000_s2264" o:spt="136" type="#_x0000_t136" style="position:absolute;left:0pt;margin-left:233.5pt;margin-top:253.55pt;height:13.15pt;width:21pt;rotation:211315f;z-index:-2019009536;mso-width-relative:page;mso-height-relative:page;" fillcolor="#0000FF" filled="t" stroked="t" coordsize="21600,21600" adj="10800">
            <v:path/>
            <v:fill on="t" color2="#FFFFFF" focussize="0,0"/>
            <v:stroke color="#0000FF"/>
            <v:imagedata o:title=""/>
            <o:lock v:ext="edit" aspectratio="f"/>
            <v:textpath on="t" fitshape="t" fitpath="t" trim="t" xscale="f" string="公益" style="font-family:宋体;font-size:16pt;v-text-align:center;"/>
          </v:shape>
        </w:pict>
      </w:r>
      <w:r>
        <w:rPr>
          <w:color w:val="auto"/>
        </w:rPr>
        <w:pict>
          <v:shape id="_x0000_s2191" o:spid="_x0000_s2191" o:spt="12" type="#_x0000_t12" style="position:absolute;left:0pt;margin-left:341.4pt;margin-top:206.7pt;height:8pt;width:8pt;z-index:1608784896;mso-width-relative:page;mso-height-relative:page;" fillcolor="#FF0000" filled="t" stroked="t" coordsize="21600,21600">
            <v:path/>
            <v:fill on="t" focussize="0,0"/>
            <v:stroke color="#FF0000" joinstyle="miter"/>
            <v:imagedata o:title=""/>
            <o:lock v:ext="edit"/>
          </v:shape>
        </w:pict>
      </w:r>
      <w:r>
        <w:rPr>
          <w:color w:val="auto"/>
        </w:rPr>
        <w:pict>
          <v:shape id="_x0000_s2192" o:spid="_x0000_s2192" o:spt="61" type="#_x0000_t61" style="position:absolute;left:0pt;margin-left:250.55pt;margin-top:121.7pt;height:24pt;width:87pt;z-index:1608783872;mso-width-relative:page;mso-height-relative:page;" fillcolor="#FFFFFF" filled="t" stroked="t" coordsize="21600,21600" adj="22941,76950">
            <v:path/>
            <v:fill on="t" color2="#FFFFFF" focussize="0,0"/>
            <v:stroke color="#FF0000" joinstyle="miter"/>
            <v:imagedata o:title=""/>
            <o:lock v:ext="edit" aspectratio="f"/>
            <v:textbox>
              <w:txbxContent>
                <w:p>
                  <w:pPr>
                    <w:rPr>
                      <w:sz w:val="24"/>
                    </w:rPr>
                  </w:pPr>
                  <w:r>
                    <w:rPr>
                      <w:rFonts w:hint="eastAsia"/>
                      <w:sz w:val="24"/>
                    </w:rPr>
                    <w:t>本项目位置</w:t>
                  </w:r>
                </w:p>
              </w:txbxContent>
            </v:textbox>
          </v:shape>
        </w:pict>
      </w:r>
      <w:r>
        <w:rPr>
          <w:color w:val="auto"/>
        </w:rPr>
        <w:drawing>
          <wp:anchor distT="0" distB="0" distL="114300" distR="114300" simplePos="0" relativeHeight="1608768512" behindDoc="0" locked="0" layoutInCell="1" allowOverlap="1">
            <wp:simplePos x="0" y="0"/>
            <wp:positionH relativeFrom="column">
              <wp:posOffset>7856220</wp:posOffset>
            </wp:positionH>
            <wp:positionV relativeFrom="paragraph">
              <wp:posOffset>18415</wp:posOffset>
            </wp:positionV>
            <wp:extent cx="406400" cy="914400"/>
            <wp:effectExtent l="0" t="0" r="12700" b="0"/>
            <wp:wrapNone/>
            <wp:docPr id="70"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77"/>
                    <pic:cNvPicPr>
                      <a:picLocks noChangeAspect="1"/>
                    </pic:cNvPicPr>
                  </pic:nvPicPr>
                  <pic:blipFill>
                    <a:blip r:embed="rId71"/>
                    <a:stretch>
                      <a:fillRect/>
                    </a:stretch>
                  </pic:blipFill>
                  <pic:spPr>
                    <a:xfrm>
                      <a:off x="0" y="0"/>
                      <a:ext cx="406400" cy="914400"/>
                    </a:xfrm>
                    <a:prstGeom prst="rect">
                      <a:avLst/>
                    </a:prstGeom>
                    <a:noFill/>
                    <a:ln>
                      <a:noFill/>
                    </a:ln>
                  </pic:spPr>
                </pic:pic>
              </a:graphicData>
            </a:graphic>
          </wp:anchor>
        </w:drawing>
      </w:r>
      <w:r>
        <w:rPr>
          <w:color w:val="auto"/>
        </w:rPr>
        <w:pict>
          <v:shape id="_x0000_s2193" o:spid="_x0000_s2193" o:spt="136" type="#_x0000_t136" style="position:absolute;left:0pt;margin-left:557.2pt;margin-top:392.3pt;height:10pt;width:29.25pt;z-index:1608775680;mso-width-relative:page;mso-height-relative:page;" fillcolor="#FFFF00" filled="t" stroked="t" coordsize="21600,21600" adj="10800">
            <v:path/>
            <v:fill on="t" color2="#FFFFFF" focussize="0,0"/>
            <v:stroke color="#FFFF00"/>
            <v:imagedata o:title=""/>
            <o:lock v:ext="edit" aspectratio="f"/>
            <v:textpath on="t" fitshape="t" fitpath="t" trim="t" xscale="f" string="1公里" style="font-family:宋体;font-size:16pt;v-text-align:center;"/>
          </v:shape>
        </w:pict>
      </w:r>
      <w:r>
        <w:rPr>
          <w:color w:val="auto"/>
        </w:rPr>
        <w:pict>
          <v:group id="_x0000_s2194" o:spid="_x0000_s2194" o:spt="203" style="position:absolute;left:0pt;margin-left:549.25pt;margin-top:399.8pt;height:14pt;width:87pt;z-index:1608775680;mso-width-relative:page;mso-height-relative:page;" coordorigin="3009,1171871" coordsize="2142,284" o:gfxdata="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&#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FcPvr/ZAAAACwEAAA8AAAAAAAAAAQAgAAAAIgAAAGRy&#10;cy9kb3ducmV2LnhtbFBLAQIUABQAAAAIAIdO4kBOGsAgIQMAAEcMAAAOAAAAAAAAAAEAIAAAACgB&#10;AABkcnMvZTJvRG9jLnhtbFBLBQYAAAAABgAGAFkBAAC7BgAAAAA=&#10;">
            <o:lock v:ext="edit" aspectratio="f"/>
            <v:group id="组合 72" o:spid="_x0000_s2195" o:spt="203" style="position:absolute;left:3009;top:1171871;height:284;width:2142;" coordorigin="3009,1171871" coordsize="2142,284"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shape id="_x0000_s2196" o:spid="_x0000_s2196" style="position:absolute;left:3009;top:1172021;height:135;width:2143;" filled="f" stroked="t" coordsize="1260,1" path="m0,0l1245,0,1260,0e">
                <v:fill on="f" focussize="0,0"/>
                <v:stroke weight="1.5pt" color="#FFFF00" joinstyle="round"/>
                <v:imagedata o:title=""/>
                <o:lock v:ext="edit" aspectratio="f"/>
              </v:shape>
              <v:shape id="任意多边形 71" o:spid="_x0000_s2197" style="position:absolute;left:3009;top:1171871;height:150;width:1;" filled="f" stroked="t" coordsize="1,150" path="m0,0l0,150e">
                <v:fill on="f" focussize="0,0"/>
                <v:stroke weight="1.5pt" color="#FFFF00" joinstyle="round"/>
                <v:imagedata o:title=""/>
                <o:lock v:ext="edit" aspectratio="f"/>
              </v:shape>
            </v:group>
            <v:shape id="_x0000_s2198" o:spid="_x0000_s2198" style="position:absolute;left:5139;top:1171871;height:150;width:1;" filled="f" stroked="t" coordsize="1,150" path="m0,0l0,150e">
              <v:fill on="f" focussize="0,0"/>
              <v:stroke weight="1.5pt" color="#FFFF00" joinstyle="round"/>
              <v:imagedata o:title=""/>
              <o:lock v:ext="edit" aspectratio="f"/>
            </v:shape>
          </v:group>
        </w:pict>
      </w:r>
      <w:r>
        <w:rPr>
          <w:color w:val="auto"/>
        </w:rPr>
        <w:pict>
          <v:shape id="_x0000_s2199" o:spid="_x0000_s2199" o:spt="136" type="#_x0000_t136" style="position:absolute;left:0pt;margin-left:246.25pt;margin-top:307.4pt;height:10.35pt;width:28.6pt;rotation:211315f;z-index:-451924992;mso-width-relative:page;mso-height-relative:page;" fillcolor="#0000FF" filled="t" stroked="t" coordsize="21600,21600" adj="10800">
            <v:path/>
            <v:fill on="t" color2="#FFFFFF" focussize="0,0"/>
            <v:stroke color="#0000FF"/>
            <v:imagedata o:title=""/>
            <o:lock v:ext="edit" aspectratio="f"/>
            <v:textpath on="t" fitshape="t" fitpath="t" trim="t" xscale="f" string="潮安里" style="font-family:宋体;font-size:16pt;v-text-align:center;"/>
          </v:shape>
        </w:pict>
      </w:r>
      <w:r>
        <w:rPr>
          <w:color w:val="auto"/>
          <w:sz w:val="21"/>
        </w:rPr>
        <w:pict>
          <v:shape id="_x0000_s2200" o:spid="_x0000_s2200" style="position:absolute;left:0pt;margin-left:186pt;margin-top:273.55pt;height:120pt;width:103.5pt;z-index:742572032;mso-width-relative:page;mso-height-relative:page;" fillcolor="#C2B2A3" filled="t" stroked="t" coordsize="2070,2400" path="m105,15hal0,90hal0,240hal285,270hal450,270hal660,225hal735,150hal825,150hal915,285hal990,525hal1140,735hal1230,825hal1095,900hal885,960hal855,1245hal690,1320hal570,1485hal660,1665hal480,1755hal330,1755hal195,1755hal75,1860hal105,2010hal120,2070hal45,2295hal105,2400hal300,2400hal390,2250hal345,2100hal165,2145hal150,2160hal165,2010hal360,1950hal390,1830hal615,1740hal825,1605hal945,1485hal840,1365hal795,1335hal900,1260hal1125,1185hal1260,1140hal1245,930hal1245,870hal1395,990hal1500,1020hal1620,1065hal1740,1200hal2070,825hal1815,690hal1710,555hal1605,540hal1515,600hal1365,495hal1260,435hal1170,315hal1080,240hal1005,210hal885,150hal855,105hal780,60hal660,0hal465,15hal330,75hal195,30hal105,15haxe">
            <v:fill on="t" color2="#FFFFFF" opacity="30801f" focussize="0,0"/>
            <v:stroke weight="1pt" color="#FFFF00" startarrow="block" endarrow="block"/>
            <v:imagedata o:title=""/>
            <o:lock v:ext="edit" aspectratio="f"/>
          </v:shape>
        </w:pict>
      </w:r>
      <w:r>
        <w:rPr>
          <w:color w:val="auto"/>
        </w:rPr>
        <w:pict>
          <v:shape id="_x0000_s2201" o:spid="_x0000_s2201" o:spt="136" type="#_x0000_t136" style="position:absolute;left:0pt;margin-left:152.1pt;margin-top:328.35pt;height:23.25pt;width:18.7pt;rotation:211315f;z-index:1608768512;mso-width-relative:page;mso-height-relative:page;" fillcolor="#0000FF" filled="t" stroked="t" coordsize="21600,21600" adj="10800">
            <v:path/>
            <v:fill on="t" color2="#FFFFFF" focussize="0,0"/>
            <v:stroke color="#0000FF"/>
            <v:imagedata o:title=""/>
            <o:lock v:ext="edit" aspectratio="f"/>
            <v:textpath on="t" fitshape="t" fitpath="t" trim="t" xscale="f" string="张良&#10;边村" style="font-family:宋体;font-size:16pt;v-text-align:center;"/>
          </v:shape>
        </w:pict>
      </w:r>
      <w:r>
        <w:rPr>
          <w:color w:val="auto"/>
          <w:sz w:val="21"/>
        </w:rPr>
        <w:pict>
          <v:shape id="_x0000_s2202" o:spid="_x0000_s2202" style="position:absolute;left:0pt;margin-left:152.25pt;margin-top:297.85pt;height:64.5pt;width:25.5pt;z-index:742572032;mso-width-relative:page;mso-height-relative:page;" fillcolor="#8B8474" filled="t" stroked="t" coordsize="510,1290" path="m15,0hal165,105hal165,195hal165,375hal165,555hal240,675hal450,660hal510,690hal390,870hal315,975hal300,1050hal90,1230hal0,1290hal15,0haxe">
            <v:fill on="t" color2="#FFFFFF" opacity="30801f" focussize="0,0"/>
            <v:stroke weight="1pt" color="#FFFF00" startarrow="block" endarrow="block"/>
            <v:imagedata o:title=""/>
            <o:lock v:ext="edit" aspectratio="f"/>
          </v:shape>
        </w:pict>
      </w:r>
      <w:r>
        <w:rPr>
          <w:color w:val="auto"/>
        </w:rPr>
        <w:pict>
          <v:shape id="_x0000_s2203" o:spid="_x0000_s2203" o:spt="136" type="#_x0000_t136" style="position:absolute;left:0pt;margin-left:357.95pt;margin-top:286.25pt;height:12.15pt;width:22.7pt;rotation:211315f;z-index:578421760;mso-width-relative:page;mso-height-relative:page;" fillcolor="#0000FF" filled="t" stroked="t" coordsize="21600,21600" adj="10800">
            <v:path/>
            <v:fill on="t" color2="#FFFFFF" focussize="0,0"/>
            <v:stroke color="#0000FF"/>
            <v:imagedata o:title=""/>
            <o:lock v:ext="edit" aspectratio="f"/>
            <v:textpath on="t" fitshape="t" fitpath="t" trim="t" xscale="f" string="谭江" style="font-family:宋体;font-size:16pt;v-text-align:center;"/>
          </v:shape>
        </w:pict>
      </w:r>
      <w:r>
        <w:rPr>
          <w:color w:val="auto"/>
          <w:sz w:val="21"/>
        </w:rPr>
        <w:pict>
          <v:shape id="_x0000_s2204" o:spid="_x0000_s2204" style="position:absolute;left:0pt;margin-left:150.75pt;margin-top:206.15pt;height:158.25pt;width:385.5pt;z-index:742572032;mso-width-relative:page;mso-height-relative:page;" fillcolor="#00B0F0" filled="t" stroked="t" coordsize="7710,3165" path="m0,210hal600,15hal1050,0hal1815,120hal2235,135hal2625,345hal3000,555hal3210,630hal3435,780hal3735,900hal4170,1155hal4515,1410hal4995,1680hal5445,1995hal5835,2310hal6360,2655hal6885,2700hal7215,2610hal7470,2310hal7560,1965hal7650,1590hal7695,1470hal7710,2550hal7605,2700hal7245,2925hal6795,3120hal6165,3165hal5550,3105hal5310,3030hal4650,2715hal4035,2205hal3780,1815hal3420,1485hal3135,1275hal2610,915hal2250,690hal1755,570hal1275,525hal690,525hal165,600hal30,645hal0,210haxe">
            <v:fill on="t" color2="#FFFFFF" opacity="30801f" focussize="0,0"/>
            <v:stroke weight="1pt" color="#FFFF00" startarrow="block" endarrow="block"/>
            <v:imagedata o:title=""/>
            <o:lock v:ext="edit" aspectratio="f"/>
          </v:shape>
        </w:pict>
      </w:r>
      <w:r>
        <w:rPr>
          <w:color w:val="auto"/>
        </w:rPr>
        <w:pict>
          <v:shape id="_x0000_s2205" o:spid="_x0000_s2205" o:spt="136" type="#_x0000_t136" style="position:absolute;left:0pt;margin-left:231.95pt;margin-top:254pt;height:12.15pt;width:22.7pt;rotation:211315f;z-index:-1482271744;mso-width-relative:page;mso-height-relative:page;" fillcolor="#0000FF" filled="t" stroked="t" coordsize="21600,21600" adj="10800">
            <v:path/>
            <v:fill on="t" color2="#FFFFFF" focussize="0,0"/>
            <v:stroke color="#0000FF"/>
            <v:imagedata o:title=""/>
            <o:lock v:ext="edit" aspectratio="f"/>
            <v:textpath on="t" fitshape="t" fitpath="t" trim="t" xscale="f" string="公益" style="font-family:宋体;font-size:16pt;v-text-align:center;"/>
          </v:shape>
        </w:pict>
      </w:r>
      <w:r>
        <w:rPr>
          <w:color w:val="auto"/>
        </w:rPr>
        <w:pict>
          <v:shape id="_x0000_s2206" o:spid="_x0000_s2206" o:spt="136" type="#_x0000_t136" style="position:absolute;left:0pt;margin-left:290.5pt;margin-top:30.8pt;height:13.15pt;width:21pt;rotation:211315f;z-index:745266176;mso-width-relative:page;mso-height-relative:page;" fillcolor="#0000FF" filled="t" stroked="t" coordsize="21600,21600" adj="10800">
            <v:path/>
            <v:fill on="t" color2="#FFFFFF" focussize="0,0"/>
            <v:stroke color="#0000FF"/>
            <v:imagedata o:title=""/>
            <o:lock v:ext="edit" aspectratio="f"/>
            <v:textpath on="t" fitshape="t" fitpath="t" trim="t" xscale="f" string="庆宁" style="font-family:宋体;font-size:16pt;v-text-align:center;"/>
          </v:shape>
        </w:pict>
      </w:r>
      <w:r>
        <w:rPr>
          <w:color w:val="auto"/>
          <w:sz w:val="21"/>
        </w:rPr>
        <w:pict>
          <v:shape id="_x0000_s2207" o:spid="_x0000_s2207" style="position:absolute;left:0pt;margin-left:210.75pt;margin-top:236.9pt;height:45pt;width:69pt;z-index:742572032;mso-width-relative:page;mso-height-relative:page;" fillcolor="#C2B6A2" filled="t" stroked="t" coordsize="1380,900" path="m285,0hal225,225hal90,330hal0,375hal0,525hal15,660hal105,690hal315,690hal405,750hal495,885hal645,900hal810,765hal1005,735hal1200,615hal1380,420hal1350,315hal960,135hal525,30hal285,0haxe">
            <v:fill on="t" color2="#FFFFFF" opacity="30801f" focussize="0,0"/>
            <v:stroke weight="1pt" color="#FFFF00" startarrow="block" endarrow="block"/>
            <v:imagedata o:title=""/>
            <o:lock v:ext="edit" aspectratio="f"/>
          </v:shape>
        </w:pict>
      </w:r>
      <w:r>
        <w:rPr>
          <w:color w:val="auto"/>
        </w:rPr>
        <w:pict>
          <v:shape id="_x0000_s2208" o:spid="_x0000_s2208" o:spt="136" type="#_x0000_t136" style="position:absolute;left:0pt;margin-left:491.45pt;margin-top:86.7pt;height:10.45pt;width:23pt;rotation:211315f;z-index:1782348800;mso-width-relative:page;mso-height-relative:page;" fillcolor="#0000FF" filled="t" stroked="t" coordsize="21600,21600" adj="10800">
            <v:path/>
            <v:fill on="t" color2="#FFFFFF" focussize="0,0"/>
            <v:stroke color="#0000FF"/>
            <v:imagedata o:title=""/>
            <o:lock v:ext="edit" aspectratio="f"/>
            <v:textpath on="t" fitshape="t" fitpath="t" trim="t" xscale="f" string="龙行里" style="font-family:宋体;font-size:16pt;v-text-align:center;"/>
          </v:shape>
        </w:pict>
      </w:r>
      <w:r>
        <w:rPr>
          <w:color w:val="auto"/>
          <w:sz w:val="21"/>
        </w:rPr>
        <w:pict>
          <v:shape id="_x0000_s2209" o:spid="_x0000_s2209" style="position:absolute;left:0pt;margin-left:486.75pt;margin-top:69.65pt;height:40.5pt;width:27pt;z-index:742572032;mso-width-relative:page;mso-height-relative:page;" fillcolor="#AFA799" filled="t" stroked="t" coordsize="540,810" path="m330,0hal240,165hal255,405hal240,495hal150,585hal30,630hal0,720hal75,810hal300,705hal390,585hal405,450hal525,285hal540,165hal480,45hal330,0haxe">
            <v:fill on="t" color2="#FFFFFF" opacity="30801f" focussize="0,0"/>
            <v:stroke weight="1pt" color="#FFFF00" startarrow="block" endarrow="block"/>
            <v:imagedata o:title=""/>
            <o:lock v:ext="edit" aspectratio="f"/>
          </v:shape>
        </w:pict>
      </w:r>
      <w:r>
        <w:rPr>
          <w:color w:val="auto"/>
        </w:rPr>
        <w:pict>
          <v:shape id="_x0000_s2210" o:spid="_x0000_s2210" o:spt="136" type="#_x0000_t136" style="position:absolute;left:0pt;margin-left:153.2pt;margin-top:68pt;height:12.15pt;width:22.7pt;rotation:211315f;z-index:1282003968;mso-width-relative:page;mso-height-relative:page;" fillcolor="#0000FF" filled="t" stroked="t" coordsize="21600,21600" adj="10800">
            <v:path/>
            <v:fill on="t" color2="#FFFFFF" focussize="0,0"/>
            <v:stroke color="#0000FF"/>
            <v:imagedata o:title=""/>
            <o:lock v:ext="edit" aspectratio="f"/>
            <v:textpath on="t" fitshape="t" fitpath="t" trim="t" xscale="f" string="坑溪" style="font-family:宋体;font-size:16pt;v-text-align:center;"/>
          </v:shape>
        </w:pict>
      </w:r>
      <w:r>
        <w:rPr>
          <w:color w:val="auto"/>
          <w:sz w:val="21"/>
        </w:rPr>
        <w:pict>
          <v:shape id="_x0000_s2211" o:spid="_x0000_s2211" style="position:absolute;left:0pt;margin-left:150.75pt;margin-top:50.15pt;height:50.25pt;width:25.5pt;z-index:742572032;mso-width-relative:page;mso-height-relative:page;" fillcolor="#B3A79A" filled="t" stroked="t" coordsize="510,1005" path="m0,195hal150,195hal225,75hal330,0hal465,0hal480,195hal465,360hal465,510hal510,720hal450,855hal405,975hal255,1005hal0,960hal0,195haxe">
            <v:fill on="t" color2="#FFFFFF" opacity="30801f" focussize="0,0"/>
            <v:stroke weight="1pt" color="#DCDF4C" startarrow="block" endarrow="block"/>
            <v:imagedata o:title=""/>
            <o:lock v:ext="edit" aspectratio="f"/>
          </v:shape>
        </w:pict>
      </w:r>
      <w:r>
        <w:rPr>
          <w:color w:val="auto"/>
        </w:rPr>
        <w:pict>
          <v:shape id="_x0000_s2212" o:spid="_x0000_s2212" o:spt="136" type="#_x0000_t136" style="position:absolute;left:0pt;margin-left:368.45pt;margin-top:72.45pt;height:10.45pt;width:23pt;rotation:211315f;z-index:768178176;mso-width-relative:page;mso-height-relative:page;" fillcolor="#0000FF" filled="t" stroked="t" coordsize="21600,21600" adj="10800">
            <v:path/>
            <v:fill on="t" color2="#FFFFFF" focussize="0,0"/>
            <v:stroke color="#0000FF"/>
            <v:imagedata o:title=""/>
            <o:lock v:ext="edit" aspectratio="f"/>
            <v:textpath on="t" fitshape="t" fitpath="t" trim="t" xscale="f" string="东园" style="font-family:宋体;font-size:16pt;v-text-align:center;"/>
          </v:shape>
        </w:pict>
      </w:r>
      <w:r>
        <w:rPr>
          <w:color w:val="auto"/>
          <w:sz w:val="24"/>
        </w:rPr>
        <w:pict>
          <v:shape id="_x0000_s2213" o:spid="_x0000_s2213" style="position:absolute;left:0pt;margin-left:351.15pt;margin-top:57.55pt;height:36pt;width:40.5pt;z-index:765480960;mso-width-relative:page;mso-height-relative:page;" fillcolor="#FFFFFF" filled="t" stroked="t" coordsize="810,720" path="m405,30hal240,0hal105,0hal30,60hal0,120hal0,210hal150,180hal360,120hal405,255hal360,405hal300,510hal285,600hal330,660hal525,720hal735,615hal810,420hal705,165hal615,30hal405,30haxe">
            <v:fill on="t" color2="#FFFFFF" opacity="19661f" focussize="0,0"/>
            <v:stroke color="#FFFF00"/>
            <v:imagedata o:title=""/>
            <o:lock v:ext="edit" aspectratio="f"/>
          </v:shape>
        </w:pict>
      </w:r>
      <w:r>
        <w:rPr>
          <w:color w:val="auto"/>
          <w:sz w:val="22"/>
        </w:rPr>
        <w:pict>
          <v:shape id="_x0000_s2214" o:spid="_x0000_s2214" style="position:absolute;left:0pt;margin-left:168.6pt;margin-top:4.35pt;height:42pt;width:30.75pt;z-index:762787840;mso-width-relative:page;mso-height-relative:page;" fillcolor="#FFFFFF" filled="t" stroked="t" coordsize="630,960" path="m405,0hal150,255hal60,420hal0,600hal15,765hal165,915hal330,960hal525,825hal630,615hal585,540hal570,360hal570,225hal570,75hal570,0hal405,0haxe">
            <v:fill on="t" color2="#FFFFFF" opacity="19661f" focussize="0,0"/>
            <v:stroke color="#FFFF00"/>
            <v:imagedata o:title=""/>
            <o:lock v:ext="edit" aspectratio="f"/>
          </v:shape>
        </w:pict>
      </w:r>
      <w:r>
        <w:rPr>
          <w:color w:val="auto"/>
          <w:sz w:val="21"/>
        </w:rPr>
        <w:pict>
          <v:shape id="_x0000_s2215" o:spid="_x0000_s2215" style="position:absolute;left:0pt;margin-left:291pt;margin-top:22.4pt;height:28.5pt;width:22.5pt;z-index:742572032;mso-width-relative:page;mso-height-relative:page;" fillcolor="#CBC0B1" filled="t" stroked="t" coordsize="450,570" path="m165,30hal75,225hal0,345hal105,465hal165,570hal285,465hal450,375hal420,210hal390,60hal285,0hal165,30haxe">
            <v:fill on="t" color2="#FFFFFF" opacity="30801f" focussize="0,0"/>
            <v:stroke weight="1pt" color="#DCDF4C" startarrow="block" endarrow="block"/>
            <v:imagedata o:title=""/>
            <o:lock v:ext="edit" aspectratio="f"/>
          </v:shape>
        </w:pict>
      </w:r>
      <w:r>
        <w:rPr>
          <w:color w:val="auto"/>
        </w:rPr>
        <w:pict>
          <v:shape id="_x0000_s2216" o:spid="_x0000_s2216" o:spt="136" type="#_x0000_t136" style="position:absolute;left:0pt;margin-left:387.95pt;margin-top:175.2pt;height:10.45pt;width:23pt;rotation:211315f;z-index:749305856;mso-width-relative:page;mso-height-relative:page;" fillcolor="#0000FF" filled="t" stroked="t" coordsize="21600,21600" adj="10800">
            <v:path/>
            <v:fill on="t" color2="#FFFFFF" focussize="0,0"/>
            <v:stroke color="#0000FF"/>
            <v:imagedata o:title=""/>
            <o:lock v:ext="edit" aspectratio="f"/>
            <v:textpath on="t" fitshape="t" fitpath="t" trim="t" xscale="f" string="松山" style="font-family:宋体;font-size:16pt;v-text-align:center;"/>
          </v:shape>
        </w:pict>
      </w:r>
      <w:r>
        <w:rPr>
          <w:color w:val="auto"/>
          <w:sz w:val="22"/>
        </w:rPr>
        <w:pict>
          <v:shape id="_x0000_s2217" o:spid="_x0000_s2217" style="position:absolute;left:0pt;margin-left:389.85pt;margin-top:170.8pt;height:18.75pt;width:22.5pt;z-index:746610688;mso-width-relative:page;mso-height-relative:page;" fillcolor="#FFFFFF" filled="t" stroked="t" coordsize="450,375" path="m105,0hal75,120hal15,165hal0,300hal90,315hal225,375hal345,375hal450,240hal450,105hal420,45hal330,45hal195,75hal105,0haxe">
            <v:fill on="t" color2="#FFFFFF" opacity="19661f" focussize="0,0"/>
            <v:stroke color="#FFFF00"/>
            <v:imagedata o:title=""/>
            <o:lock v:ext="edit" aspectratio="f"/>
          </v:shape>
        </w:pict>
      </w:r>
      <w:r>
        <w:rPr>
          <w:color w:val="auto"/>
        </w:rPr>
        <w:pict>
          <v:shape id="_x0000_s2218" o:spid="_x0000_s2218" style="position:absolute;left:0pt;margin-left:198.6pt;margin-top:164.5pt;height:77.5pt;width:143.1pt;z-index:745266176;mso-width-relative:page;mso-height-relative:page;" fillcolor="#FDEADA" filled="t" stroked="t" coordsize="2862,1550" path="m1000,0hal837,112hal612,275hal462,300hal262,287hal137,287hal0,487hal75,675hal425,812hal862,875hal1212,900hal1600,1062hal1975,1250hal2400,1475hal2525,1550hal2725,1500hal2862,1175hal2787,950hal2625,775hal2225,675hal2037,550hal1887,512hal1762,425hal1762,275hal1762,175hal1537,100hal1300,25hal1000,0haxe">
            <v:fill on="t" color2="#FFFFFF" opacity="27525f" focussize="0,0"/>
            <v:stroke weight="1pt" color="#FFFF00" startarrow="block" endarrow="block"/>
            <v:imagedata o:title=""/>
            <o:lock v:ext="edit" aspectratio="f"/>
          </v:shape>
        </w:pict>
      </w:r>
      <w:r>
        <w:rPr>
          <w:color w:val="auto"/>
        </w:rPr>
        <w:pict>
          <v:shape id="_x0000_s2219" o:spid="_x0000_s2219" o:spt="136" type="#_x0000_t136" style="position:absolute;left:0pt;margin-left:247.25pt;margin-top:190.75pt;height:10.25pt;width:36.8pt;rotation:211315f;z-index:745266176;mso-width-relative:page;mso-height-relative:page;" fillcolor="#0000FF" filled="t" stroked="t" coordsize="21600,21600" adj="10800">
            <v:path/>
            <v:fill on="t" color2="#FFFFFF" focussize="0,0"/>
            <v:stroke color="#0000FF"/>
            <v:imagedata o:title=""/>
            <o:lock v:ext="edit" aspectratio="f"/>
            <v:textpath on="t" fitshape="t" fitpath="t" trim="t" xscale="f" string="新市社区" style="font-family:宋体;font-size:16pt;v-text-align:center;"/>
          </v:shape>
        </w:pict>
      </w:r>
      <w:r>
        <w:rPr>
          <w:color w:val="auto"/>
        </w:rPr>
        <w:pict>
          <v:shape id="_x0000_s2220" o:spid="_x0000_s2220" style="position:absolute;left:0pt;margin-left:150pt;margin-top:102.4pt;height:85pt;width:68.6pt;z-index:745266176;mso-width-relative:page;mso-height-relative:page;" fillcolor="#FDEADA" filled="t" stroked="t" coordsize="1372,1700" path="m822,1700hal1022,1425hal1197,1187hal1347,975hal1372,700hal1222,462hal1122,150hal947,37hal334,0hal97,50hal15,126hal0,336hal30,531hal45,651hal15,756hal9,825hal259,987hal572,1387hal822,1700haxe">
            <v:fill on="t" color2="#FFFFFF" opacity="32768f" focussize="0,0"/>
            <v:stroke weight="1pt" color="#FFFF00" startarrow="block" endarrow="block"/>
            <v:imagedata o:title=""/>
            <o:lock v:ext="edit" aspectratio="f"/>
          </v:shape>
        </w:pict>
      </w:r>
      <w:r>
        <w:rPr>
          <w:color w:val="auto"/>
        </w:rPr>
        <w:pict>
          <v:shape id="_x0000_s2221" o:spid="_x0000_s2221" style="position:absolute;left:0pt;margin-left:211.1pt;margin-top:142pt;height:31.25pt;width:59.35pt;z-index:745266176;mso-width-relative:page;mso-height-relative:page;" fillcolor="#FDEADA" filled="t" stroked="t" coordsize="1187,625" path="m412,0hal287,0hal175,187hal0,475hal75,600hal262,625hal450,562hal575,475hal825,362hal1012,375hal1187,250hal1062,200hal800,175hal625,175hal487,50hal412,0haxe">
            <v:fill on="t" color2="#FFFFFF" opacity="27525f" focussize="0,0"/>
            <v:stroke weight="1pt" color="#FFFF00" startarrow="block" endarrow="block"/>
            <v:imagedata o:title=""/>
            <o:lock v:ext="edit" aspectratio="f"/>
          </v:shape>
        </w:pict>
      </w:r>
      <w:r>
        <w:rPr>
          <w:color w:val="auto"/>
        </w:rPr>
        <w:pict>
          <v:shape id="_x0000_s2222" o:spid="_x0000_s2222" o:spt="136" type="#_x0000_t136" style="position:absolute;left:0pt;margin-left:218.4pt;margin-top:153.85pt;height:10pt;width:36pt;rotation:211315f;z-index:745266176;mso-width-relative:page;mso-height-relative:page;" fillcolor="#0000FF" filled="t" stroked="t" coordsize="21600,21600" adj="10800">
            <v:path/>
            <v:fill on="t" color2="#FFFFFF" focussize="0,0"/>
            <v:stroke color="#0000FF"/>
            <v:imagedata o:title=""/>
            <o:lock v:ext="edit" aspectratio="f"/>
            <v:textpath on="t" fitshape="t" fitpath="t" trim="t" xscale="f" string="东方红社区" style="font-family:宋体;font-size:16pt;v-text-align:center;"/>
          </v:shape>
        </w:pict>
      </w:r>
      <w:r>
        <w:rPr>
          <w:color w:val="auto"/>
        </w:rPr>
        <w:pict>
          <v:shape id="_x0000_s2223" o:spid="_x0000_s2223" o:spt="136" type="#_x0000_t136" style="position:absolute;left:0pt;margin-left:159pt;margin-top:130.7pt;height:10pt;width:36pt;rotation:211315f;z-index:745266176;mso-width-relative:page;mso-height-relative:page;" fillcolor="#0000FF" filled="t" stroked="t" coordsize="21600,21600" adj="10800">
            <v:path/>
            <v:fill on="t" color2="#FFFFFF" focussize="0,0"/>
            <v:stroke color="#0000FF"/>
            <v:imagedata o:title=""/>
            <o:lock v:ext="edit" aspectratio="f"/>
            <v:textpath on="t" fitshape="t" fitpath="t" trim="t" xscale="f" string="人民社区" style="font-family:宋体;font-size:16pt;v-text-align:center;"/>
          </v:shape>
        </w:pict>
      </w:r>
      <w:r>
        <w:rPr>
          <w:color w:val="auto"/>
        </w:rPr>
        <w:pict>
          <v:shape id="_x0000_s2224" o:spid="_x0000_s2224" style="position:absolute;left:0pt;margin-left:397.75pt;margin-top:133.65pt;height:39pt;width:81.75pt;z-index:745266176;mso-width-relative:page;mso-height-relative:page;" fillcolor="#FDEADA" filled="t" stroked="t" coordsize="1635,780" path="m1320,45hal1125,105hal990,90hal840,0hal720,30hal450,165hal300,225hal135,255hal150,420hal105,555hal0,660hal45,780hal150,675hal435,720hal540,660hal840,645hal1050,765hal1260,660hal1425,525hal1635,240hal1575,120hal1440,30hal1320,45haxe">
            <v:fill on="t" color2="#FFFFFF" opacity="30801f" focussize="0,0"/>
            <v:stroke weight="1pt" color="#FFFF00" startarrow="block" endarrow="block"/>
            <v:imagedata o:title=""/>
            <o:lock v:ext="edit" aspectratio="f"/>
          </v:shape>
        </w:pict>
      </w:r>
      <w:r>
        <w:rPr>
          <w:color w:val="auto"/>
        </w:rPr>
        <w:pict>
          <v:shape id="_x0000_s2225" o:spid="_x0000_s2225" style="position:absolute;left:0pt;margin-left:415pt;margin-top:168.15pt;height:28.5pt;width:33.75pt;z-index:745266176;mso-width-relative:page;mso-height-relative:page;" fillcolor="#FDEADA" filled="t" stroked="t" coordsize="675,570" path="m180,60hal150,180hal0,300hal45,465hal225,570hal375,570hal540,435hal660,285hal675,150hal540,45hal345,0hal180,60haxe">
            <v:fill on="t" color2="#FFFFFF" opacity="26869f" focussize="0,0"/>
            <v:stroke weight="1pt" color="#FFFF00" startarrow="block" endarrow="block"/>
            <v:imagedata o:title=""/>
            <o:lock v:ext="edit" aspectratio="f"/>
          </v:shape>
        </w:pict>
      </w:r>
      <w:r>
        <w:rPr>
          <w:color w:val="auto"/>
        </w:rPr>
        <w:pict>
          <v:shape id="_x0000_s2226" o:spid="_x0000_s2226" style="position:absolute;left:0pt;margin-left:347.5pt;margin-top:194.4pt;height:40.5pt;width:86.25pt;z-index:745266176;mso-width-relative:page;mso-height-relative:page;" fillcolor="#FDEADA" filled="t" stroked="t" coordsize="1725,810" path="m0,600hal240,810hal375,810hal630,750hal735,660hal1170,465hal1320,480hal1380,585hal1575,645hal1620,570hal1725,435hal1695,270hal1695,270hal1620,300hal1470,360hal1320,360hal1215,330hal1200,210hal1275,90hal1140,0hal885,45hal930,210hal930,240hal750,435hal585,570hal480,660hal390,690hal345,675hal300,660hal300,555hal270,405hal195,390hal120,390hal15,465hal0,600haxe">
            <v:fill on="t" color2="#FFFFFF" opacity="34734f" focussize="0,0"/>
            <v:stroke weight="1pt" color="#FFFF00" startarrow="block" endarrow="block"/>
            <v:imagedata o:title=""/>
            <o:lock v:ext="edit" aspectratio="f"/>
          </v:shape>
        </w:pict>
      </w:r>
      <w:r>
        <w:rPr>
          <w:color w:val="auto"/>
        </w:rPr>
        <w:pict>
          <v:shape id="_x0000_s2227" o:spid="_x0000_s2227" o:spt="136" type="#_x0000_t136" style="position:absolute;left:0pt;margin-left:386.25pt;margin-top:208.95pt;height:11.15pt;width:25.15pt;rotation:211315f;z-index:745266176;mso-width-relative:page;mso-height-relative:page;" fillcolor="#0000FF" filled="t" stroked="t" coordsize="21600,21600" adj="10800">
            <v:path/>
            <v:fill on="t" color2="#FFFFFF" focussize="0,0"/>
            <v:stroke color="#0000FF"/>
            <v:imagedata o:title=""/>
            <o:lock v:ext="edit" aspectratio="f"/>
            <v:textpath on="t" fitshape="t" fitpath="t" trim="t" xscale="f" string="泮南村" style="font-family:宋体;font-size:16pt;v-text-align:center;"/>
          </v:shape>
        </w:pict>
      </w:r>
      <w:r>
        <w:rPr>
          <w:color w:val="auto"/>
        </w:rPr>
        <w:pict>
          <v:shape id="_x0000_s2228" o:spid="_x0000_s2228" o:spt="136" type="#_x0000_t136" style="position:absolute;left:0pt;margin-left:433pt;margin-top:147.1pt;height:10.75pt;width:22.25pt;rotation:211315f;z-index:745266176;mso-width-relative:page;mso-height-relative:page;" fillcolor="#0000FF" filled="t" stroked="t" coordsize="21600,21600" adj="10800">
            <v:path/>
            <v:fill on="t" color2="#FFFFFF" focussize="0,0"/>
            <v:stroke color="#0000FF"/>
            <v:imagedata o:title=""/>
            <o:lock v:ext="edit" aspectratio="f"/>
            <v:textpath on="t" fitshape="t" fitpath="t" trim="t" xscale="f" string="泮村" style="font-family:宋体;font-size:16pt;v-text-align:center;"/>
          </v:shape>
        </w:pict>
      </w:r>
      <w:r>
        <w:rPr>
          <w:color w:val="auto"/>
        </w:rPr>
        <w:pict>
          <v:shape id="_x0000_s2229" o:spid="_x0000_s2229" o:spt="136" type="#_x0000_t136" style="position:absolute;left:0pt;margin-left:417.95pt;margin-top:177.8pt;height:10.55pt;width:26.25pt;rotation:211315f;z-index:745266176;mso-width-relative:page;mso-height-relative:page;" fillcolor="#0000FF" filled="t" stroked="t" coordsize="21600,21600" adj="10800">
            <v:path/>
            <v:fill on="t" color2="#FFFFFF" focussize="0,0"/>
            <v:stroke color="#0000FF"/>
            <v:imagedata o:title=""/>
            <o:lock v:ext="edit" aspectratio="f"/>
            <v:textpath on="t" fitshape="t" fitpath="t" trim="t" xscale="f" string="永安村" style="font-family:宋体;font-size:16pt;v-text-align:center;"/>
          </v:shape>
        </w:pict>
      </w:r>
      <w:r>
        <w:rPr>
          <w:color w:val="auto"/>
        </w:rPr>
        <w:pict>
          <v:shape id="_x0000_s2230" o:spid="_x0000_s2230" o:spt="136" type="#_x0000_t136" style="position:absolute;left:0pt;margin-left:174.2pt;margin-top:23pt;height:12.15pt;width:22.7pt;rotation:211315f;z-index:765483008;mso-width-relative:page;mso-height-relative:page;" fillcolor="#0000FF" filled="t" stroked="t" coordsize="21600,21600" adj="10800">
            <v:path/>
            <v:fill on="t" color2="#FFFFFF" focussize="0,0"/>
            <v:stroke color="#0000FF"/>
            <v:imagedata o:title=""/>
            <o:lock v:ext="edit" aspectratio="f"/>
            <v:textpath on="t" fitshape="t" fitpath="t" trim="t" xscale="f" string="文郁" style="font-family:宋体;font-size:16pt;v-text-align:center;"/>
          </v:shape>
        </w:pict>
      </w:r>
      <w:r>
        <w:rPr>
          <w:color w:val="auto"/>
        </w:rPr>
        <w:pict>
          <v:shape id="_x0000_s2231" o:spid="_x0000_s2231" o:spt="136" type="#_x0000_t136" style="position:absolute;left:0pt;margin-left:516.95pt;margin-top:47.7pt;height:10.45pt;width:23pt;rotation:211315f;z-index:760090624;mso-width-relative:page;mso-height-relative:page;" fillcolor="#0000FF" filled="t" stroked="t" coordsize="21600,21600" adj="10800">
            <v:path/>
            <v:fill on="t" color2="#FFFFFF" focussize="0,0"/>
            <v:stroke color="#0000FF"/>
            <v:imagedata o:title=""/>
            <o:lock v:ext="edit" aspectratio="f"/>
            <v:textpath on="t" fitshape="t" fitpath="t" trim="t" xscale="f" string="龙溪" style="font-family:宋体;font-size:16pt;v-text-align:center;"/>
          </v:shape>
        </w:pict>
      </w:r>
      <w:r>
        <w:rPr>
          <w:color w:val="auto"/>
          <w:sz w:val="22"/>
        </w:rPr>
        <w:pict>
          <v:shape id="_x0000_s2232" o:spid="_x0000_s2232" style="position:absolute;left:0pt;margin-left:522.6pt;margin-top:44.8pt;height:19.5pt;width:20.25pt;z-index:757395456;mso-width-relative:page;mso-height-relative:page;" fillcolor="#FFFFFF" filled="t" stroked="t" coordsize="405,390" path="m330,0hal135,0hal30,75hal30,135hal0,180hal90,270hal180,390hal300,375hal375,330hal375,180hal405,120hal330,0haxe">
            <v:fill on="t" color2="#FFFFFF" opacity="19661f" focussize="0,0"/>
            <v:stroke color="#FFFF00"/>
            <v:imagedata o:title=""/>
            <o:lock v:ext="edit" aspectratio="f"/>
          </v:shape>
        </w:pict>
      </w:r>
      <w:r>
        <w:rPr>
          <w:color w:val="auto"/>
        </w:rPr>
        <w:pict>
          <v:shape id="_x0000_s2233" o:spid="_x0000_s2233" o:spt="136" type="#_x0000_t136" style="position:absolute;left:0pt;margin-left:415.7pt;margin-top:101.7pt;height:10.45pt;width:23pt;rotation:211315f;z-index:752002048;mso-width-relative:page;mso-height-relative:page;" fillcolor="#0000FF" filled="t" stroked="t" coordsize="21600,21600" adj="10800">
            <v:path/>
            <v:fill on="t" color2="#FFFFFF" focussize="0,0"/>
            <v:stroke color="#0000FF"/>
            <v:imagedata o:title=""/>
            <o:lock v:ext="edit" aspectratio="f"/>
            <v:textpath on="t" fitshape="t" fitpath="t" trim="t" xscale="f" string="金龙里" style="font-family:宋体;font-size:16pt;v-text-align:center;"/>
          </v:shape>
        </w:pict>
      </w:r>
      <w:r>
        <w:rPr>
          <w:color w:val="auto"/>
          <w:sz w:val="22"/>
        </w:rPr>
        <w:pict>
          <v:shape id="_x0000_s2234" o:spid="_x0000_s2234" style="position:absolute;left:0pt;margin-left:412.35pt;margin-top:96.55pt;height:18.75pt;width:30pt;z-index:749306880;mso-width-relative:page;mso-height-relative:page;" fillcolor="#FFFFFF" filled="t" stroked="t" coordsize="600,375" path="m195,0hal30,150hal0,300hal165,375hal345,375hal525,285hal600,195hal555,105hal390,60hal195,0haxe">
            <v:fill on="t" color2="#FFFFFF" opacity="19661f" focussize="0,0"/>
            <v:stroke color="#FFFF00"/>
            <v:imagedata o:title=""/>
            <o:lock v:ext="edit" aspectratio="f"/>
          </v:shape>
        </w:pict>
      </w:r>
      <w:r>
        <w:rPr>
          <w:color w:val="auto"/>
        </w:rPr>
        <w:drawing>
          <wp:inline distT="0" distB="0" distL="114300" distR="114300">
            <wp:extent cx="7630160" cy="5300980"/>
            <wp:effectExtent l="9525" t="9525" r="18415" b="23495"/>
            <wp:docPr id="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
                    <pic:cNvPicPr>
                      <a:picLocks noChangeAspect="1"/>
                    </pic:cNvPicPr>
                  </pic:nvPicPr>
                  <pic:blipFill>
                    <a:blip r:embed="rId80"/>
                    <a:srcRect/>
                    <a:stretch>
                      <a:fillRect/>
                    </a:stretch>
                  </pic:blipFill>
                  <pic:spPr>
                    <a:xfrm>
                      <a:off x="0" y="0"/>
                      <a:ext cx="7630160" cy="5300980"/>
                    </a:xfrm>
                    <a:prstGeom prst="rect">
                      <a:avLst/>
                    </a:prstGeom>
                    <a:noFill/>
                    <a:ln>
                      <a:solidFill>
                        <a:srgbClr val="DCDF4C"/>
                      </a:solidFill>
                    </a:ln>
                  </pic:spPr>
                </pic:pic>
              </a:graphicData>
            </a:graphic>
          </wp:inline>
        </w:drawing>
      </w:r>
    </w:p>
    <w:p>
      <w:pPr>
        <w:pStyle w:val="42"/>
        <w:spacing w:before="0"/>
        <w:rPr>
          <w:rStyle w:val="50"/>
          <w:rFonts w:ascii="Times New Roman" w:hAnsi="Times New Roman"/>
          <w:b w:val="0"/>
          <w:bCs w:val="0"/>
          <w:color w:val="auto"/>
        </w:rPr>
        <w:sectPr>
          <w:headerReference r:id="rId22" w:type="default"/>
          <w:footerReference r:id="rId23" w:type="default"/>
          <w:pgSz w:w="16840" w:h="11907" w:orient="landscape"/>
          <w:pgMar w:top="1304" w:right="1418" w:bottom="1304" w:left="1418" w:header="851" w:footer="851" w:gutter="0"/>
          <w:cols w:space="425" w:num="1"/>
          <w:docGrid w:type="lines" w:linePitch="312" w:charSpace="0"/>
        </w:sectPr>
      </w:pPr>
      <w:r>
        <w:rPr>
          <w:rFonts w:ascii="Times New Roman" w:hAnsi="Times New Roman"/>
          <w:color w:val="auto"/>
          <w:sz w:val="24"/>
          <w:szCs w:val="24"/>
        </w:rPr>
        <w:t>附图</w:t>
      </w:r>
      <w:r>
        <w:rPr>
          <w:rFonts w:hint="eastAsia" w:ascii="Times New Roman" w:hAnsi="Times New Roman"/>
          <w:color w:val="auto"/>
          <w:sz w:val="24"/>
          <w:szCs w:val="24"/>
        </w:rPr>
        <w:t>6</w:t>
      </w:r>
      <w:r>
        <w:rPr>
          <w:rFonts w:ascii="Times New Roman" w:hAnsi="Times New Roman"/>
          <w:color w:val="auto"/>
          <w:sz w:val="24"/>
          <w:szCs w:val="24"/>
        </w:rPr>
        <w:t xml:space="preserve"> 项目周围敏感点图</w:t>
      </w: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lang w:val="en-US" w:eastAsia="zh-CN"/>
        </w:rPr>
        <w:t>5km</w:t>
      </w:r>
      <w:r>
        <w:rPr>
          <w:rFonts w:hint="eastAsia" w:ascii="Times New Roman" w:hAnsi="Times New Roman"/>
          <w:color w:val="auto"/>
          <w:sz w:val="24"/>
          <w:szCs w:val="24"/>
          <w:highlight w:val="none"/>
          <w:lang w:eastAsia="zh-CN"/>
        </w:rPr>
        <w:t>）</w:t>
      </w:r>
    </w:p>
    <w:p>
      <w:pPr>
        <w:autoSpaceDE w:val="0"/>
        <w:autoSpaceDN w:val="0"/>
        <w:adjustRightInd w:val="0"/>
        <w:jc w:val="center"/>
        <w:rPr>
          <w:color w:val="auto"/>
        </w:rPr>
      </w:pPr>
      <w:r>
        <w:rPr>
          <w:color w:val="auto"/>
        </w:rPr>
        <w:pict>
          <v:group id="_x0000_s2235" o:spid="_x0000_s2235" o:spt="203" style="position:absolute;left:0pt;margin-left:35.5pt;margin-top:-4.05pt;height:414.45pt;width:629pt;z-index:251664384;mso-width-relative:page;mso-height-relative:page;" coordsize="79883,52635" editas="canvas">
            <o:lock v:ext="edit"/>
            <v:shape id="_x0000_s1469" o:spid="_x0000_s1469" o:spt="75" type="#_x0000_t75" style="position:absolute;left:0;top:0;height:52635;width:79883;" filled="f" stroked="f" coordsize="21600,21600">
              <v:path/>
              <v:fill on="f" focussize="0,0"/>
              <v:stroke on="f"/>
              <v:imagedata o:title=""/>
              <o:lock v:ext="edit" aspectratio="f"/>
            </v:shape>
            <v:shape id="_x0000_s2236" o:spid="_x0000_s2236" o:spt="61" type="#_x0000_t61" style="position:absolute;left:31794;top:37515;height:3048;width:12865;" fillcolor="#FFFFFF" filled="t" stroked="t" coordsize="21600,21600" adj="25470,45315">
              <v:path/>
              <v:fill on="t" color2="#FFFFFF" focussize="0,0"/>
              <v:stroke color="#FF0000" joinstyle="miter"/>
              <v:imagedata o:title=""/>
              <o:lock v:ext="edit" aspectratio="f"/>
              <v:textbox>
                <w:txbxContent>
                  <w:p>
                    <w:pPr>
                      <w:rPr>
                        <w:sz w:val="24"/>
                      </w:rPr>
                    </w:pPr>
                    <w:r>
                      <w:rPr>
                        <w:rFonts w:hint="eastAsia"/>
                        <w:sz w:val="24"/>
                      </w:rPr>
                      <w:t>水口污水处理厂</w:t>
                    </w:r>
                  </w:p>
                </w:txbxContent>
              </v:textbox>
            </v:shape>
            <v:shape id="_x0000_s2237" o:spid="_x0000_s2237" o:spt="12" type="#_x0000_t12" style="position:absolute;left:46983;top:43884;height:1016;width:1016;" fillcolor="#FF0000" filled="t" stroked="t" coordsize="21600,21600">
              <v:path/>
              <v:fill on="t" color2="#FFFFFF" focussize="0,0"/>
              <v:stroke color="#FF0000" joinstyle="miter"/>
              <v:imagedata o:title=""/>
              <o:lock v:ext="edit" aspectratio="f"/>
            </v:shape>
            <v:shape id="_x0000_s2238" o:spid="_x0000_s2238" o:spt="61" type="#_x0000_t61" style="position:absolute;left:38728;top:24498;height:3048;width:11049;" fillcolor="#FFFFFF" filled="t" stroked="t" coordsize="21600,21600" adj="-7240,45895">
              <v:path/>
              <v:fill on="t" color2="#FFFFFF" focussize="0,0"/>
              <v:stroke color="#FF0000" joinstyle="miter"/>
              <v:imagedata o:title=""/>
              <o:lock v:ext="edit" aspectratio="f"/>
              <v:textbox>
                <w:txbxContent>
                  <w:p>
                    <w:pPr>
                      <w:rPr>
                        <w:sz w:val="24"/>
                      </w:rPr>
                    </w:pPr>
                    <w:r>
                      <w:rPr>
                        <w:rFonts w:hint="eastAsia"/>
                        <w:sz w:val="24"/>
                      </w:rPr>
                      <w:t>本项目位置</w:t>
                    </w:r>
                  </w:p>
                </w:txbxContent>
              </v:textbox>
            </v:shape>
            <v:shape id="_x0000_s2239" o:spid="_x0000_s2239" o:spt="12" type="#_x0000_t12" style="position:absolute;left:33883;top:30911;height:1016;width:1016;" fillcolor="#FF0000" filled="t" stroked="t" coordsize="21600,21600">
              <v:path/>
              <v:fill on="t" color2="#FFFFFF" focussize="0,0"/>
              <v:stroke color="#FF0000" joinstyle="miter"/>
              <v:imagedata o:title=""/>
              <o:lock v:ext="edit" aspectratio="f"/>
            </v:shape>
            <v:shape id="艺术字 6057" o:spid="_x0000_s2240" o:spt="136" type="#_x0000_t136" style="position:absolute;left:39712;top:45358;height:1568;width:2521;" fillcolor="#00B0F0" filled="t" stroked="t" coordsize="21600,21600" adj="10800">
              <v:path/>
              <v:fill on="t" color2="#FFFFFF" focussize="0,0"/>
              <v:stroke weight="0.25pt" color="#00B0F0"/>
              <v:imagedata o:title=""/>
              <o:lock v:ext="edit" aspectratio="f"/>
              <v:textpath on="t" fitshape="t" fitpath="t" trim="t" xscale="f" string="潭江" style="font-family:宋体;font-size:10pt;font-weight:bold;v-text-align:center;"/>
            </v:shape>
            <v:line id="_x0000_s2241" o:spid="_x0000_s2241" o:spt="20" style="position:absolute;left:50793;top:46983;flip:x y;height:3810;width:0;" filled="f" stroked="t" coordsize="21600,21600">
              <v:path arrowok="t"/>
              <v:fill on="f" focussize="0,0"/>
              <v:stroke color="#FF0000" startarrow="block" endarrow="block"/>
              <v:imagedata o:title=""/>
              <o:lock v:ext="edit" aspectratio="f"/>
            </v:line>
            <v:shape id="艺术字 6057" o:spid="_x0000_s2242" o:spt="136" type="#_x0000_t136" style="position:absolute;left:51581;top:48641;height:762;width:1587;" fillcolor="#FF0000" filled="t" stroked="t" coordsize="21600,21600" adj="10800">
              <v:path/>
              <v:fill on="t" color2="#FFFFFF" focussize="0,0"/>
              <v:stroke weight="0.25pt" color="#FF0000"/>
              <v:imagedata o:title=""/>
              <o:lock v:ext="edit" aspectratio="f"/>
              <v:textpath on="t" fitshape="t" fitpath="t" trim="t" xscale="f" string="W2" style="font-family:宋体;font-size:10pt;font-weight:bold;v-text-align:center;"/>
            </v:shape>
            <v:shape id="_x0000_s2243" o:spid="_x0000_s2243" o:spt="75" type="#_x0000_t75" style="position:absolute;left:844;top:463;height:9144;width:4064;" filled="f" o:preferrelative="t" stroked="f" coordsize="21600,21600">
              <v:path/>
              <v:fill on="f" focussize="0,0"/>
              <v:stroke on="f"/>
              <v:imagedata r:id="rId71" o:title=""/>
              <o:lock v:ext="edit" aspectratio="t"/>
            </v:shape>
            <v:shape id="文本框 34" o:spid="_x0000_s2244" o:spt="202" type="#_x0000_t202" style="position:absolute;left:60610;top:558;height:10637;width:18415;" fillcolor="#FFFFFF" filled="t" stroked="t" coordsize="21600,21600">
              <v:path/>
              <v:fill on="t" color2="#FFFFFF" focussize="0,0"/>
              <v:stroke color="#000000" joinstyle="miter"/>
              <v:imagedata o:title=""/>
              <o:lock v:ext="edit" aspectratio="f"/>
              <v:textbox>
                <w:txbxContent>
                  <w:p>
                    <w:pPr>
                      <w:jc w:val="center"/>
                      <w:rPr>
                        <w:color w:val="FF00FF"/>
                        <w:sz w:val="24"/>
                      </w:rPr>
                    </w:pPr>
                    <w:r>
                      <w:rPr>
                        <w:rFonts w:hint="eastAsia"/>
                        <w:b/>
                        <w:bCs/>
                        <w:sz w:val="28"/>
                        <w:szCs w:val="28"/>
                      </w:rPr>
                      <w:t>图  例</w:t>
                    </w:r>
                  </w:p>
                  <w:p>
                    <w:pPr>
                      <w:rPr>
                        <w:sz w:val="24"/>
                      </w:rPr>
                    </w:pPr>
                    <w:r>
                      <w:rPr>
                        <w:rFonts w:hint="eastAsia"/>
                        <w:color w:val="FF0000"/>
                        <w:sz w:val="24"/>
                      </w:rPr>
                      <w:t>W</w:t>
                    </w:r>
                    <w:r>
                      <w:rPr>
                        <w:rFonts w:hint="eastAsia"/>
                        <w:sz w:val="24"/>
                      </w:rPr>
                      <w:t xml:space="preserve"> 地表水现状监测断面</w:t>
                    </w:r>
                  </w:p>
                  <w:p>
                    <w:pPr>
                      <w:rPr>
                        <w:sz w:val="24"/>
                      </w:rPr>
                    </w:pPr>
                    <w:r>
                      <w:rPr>
                        <w:rFonts w:hint="eastAsia"/>
                        <w:sz w:val="24"/>
                      </w:rPr>
                      <w:t>G1大气环境现状监测点</w:t>
                    </w:r>
                  </w:p>
                  <w:p>
                    <w:pPr>
                      <w:rPr>
                        <w:sz w:val="24"/>
                      </w:rPr>
                    </w:pPr>
                  </w:p>
                </w:txbxContent>
              </v:textbox>
            </v:shape>
            <v:shape id="_x0000_s2245" o:spid="_x0000_s2245" o:spt="136" type="#_x0000_t136" style="position:absolute;left:67868;top:47993;height:1270;width:3715;" fillcolor="#FFFF00" filled="t" stroked="t" coordsize="21600,21600" adj="10800">
              <v:path/>
              <v:fill on="t" color2="#FFFFFF" focussize="0,0"/>
              <v:stroke color="#FFFF00"/>
              <v:imagedata o:title=""/>
              <o:lock v:ext="edit" aspectratio="f"/>
              <v:textpath on="t" fitshape="t" fitpath="t" trim="t" xscale="f" string="1公里" style="font-family:宋体;font-size:16pt;v-text-align:center;"/>
            </v:shape>
            <v:shape id="_x0000_s2246" o:spid="_x0000_s2246" o:spt="61" type="#_x0000_t61" style="position:absolute;left:24339;top:10941;height:3048;width:18853;" fillcolor="#FFFFFF" filled="t" stroked="t" coordsize="21600,21600" adj="-4284,46575">
              <v:path/>
              <v:fill on="t" color2="#FFFFFF" focussize="0,0"/>
              <v:stroke color="#FF0000" joinstyle="miter"/>
              <v:imagedata o:title=""/>
              <o:lock v:ext="edit" aspectratio="f"/>
              <v:textbox>
                <w:txbxContent>
                  <w:p>
                    <w:r>
                      <w:rPr>
                        <w:rFonts w:hint="eastAsia"/>
                        <w:sz w:val="24"/>
                      </w:rPr>
                      <w:t>开平市水口镇怡泰五金厂</w:t>
                    </w:r>
                  </w:p>
                </w:txbxContent>
              </v:textbox>
            </v:shape>
            <v:shape id="_x0000_s2247" o:spid="_x0000_s2247" o:spt="12" type="#_x0000_t12" style="position:absolute;left:19608;top:17418;height:1016;width:1016;" fillcolor="#FF0000" filled="t" stroked="t" coordsize="21600,21600">
              <v:path/>
              <v:fill on="t" color2="#FFFFFF" focussize="0,0"/>
              <v:stroke color="#FF0000" joinstyle="miter"/>
              <v:imagedata o:title=""/>
              <o:lock v:ext="edit" aspectratio="f"/>
            </v:shape>
            <v:shape id="_x0000_s2248" o:spid="_x0000_s2248" style="position:absolute;left:20459;top:17976;height:13050;width:13621;" filled="f" stroked="t" coordsize="2145,2055" path="m0,0l2145,2055e">
              <v:path arrowok="t"/>
              <v:fill on="f" focussize="0,0"/>
              <v:stroke weight="1pt" color="#FFFF00" startarrow="block" endarrow="block"/>
              <v:imagedata o:title=""/>
              <o:lock v:ext="edit" aspectratio="f"/>
            </v:shape>
            <v:shape id="艺术字 6057" o:spid="_x0000_s2249" o:spt="136" type="#_x0000_t136" style="position:absolute;left:28562;top:23799;height:953;width:3143;" fillcolor="#FFFF00" filled="t" stroked="t" coordsize="21600,21600" adj="10800">
              <v:path/>
              <v:fill on="t" color2="#FFFFFF" focussize="0,0"/>
              <v:stroke weight="0.25pt" color="#FFFF00"/>
              <v:imagedata o:title=""/>
              <o:lock v:ext="edit" aspectratio="f"/>
              <v:textpath on="t" fitshape="t" fitpath="t" trim="t" xscale="f" string="1980m" style="font-family:宋体;font-size:10pt;font-weight:bold;v-text-align:center;"/>
            </v:shape>
            <v:shape id="艺术字 6057" o:spid="_x0000_s2250" o:spt="136" type="#_x0000_t136" style="position:absolute;left:17545;top:17449;height:1270;width:1778;" fillcolor="#000000" filled="t" stroked="t" coordsize="21600,21600" adj="10800">
              <v:path/>
              <v:fill on="t" color2="#FFFFFF" focussize="0,0"/>
              <v:stroke weight="0.25pt" color="#000000"/>
              <v:imagedata o:title=""/>
              <o:lock v:ext="edit" aspectratio="f"/>
              <v:textpath on="t" fitshape="t" fitpath="t" trim="t" xscale="f" string="G1" style="font-family:宋体;font-size:10pt;font-weight:bold;v-text-align:center;"/>
            </v:shape>
            <v:group id="_x0000_s2251" o:spid="_x0000_s2251" o:spt="203" style="position:absolute;left:66853;top:49517;height:1778;width:11049;" coordorigin="3009,1171871" coordsize="2142,284" o:gfxdata="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&#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FcPvr/ZAAAACwEAAA8AAAAAAAAAAQAgAAAAIgAAAGRy&#10;cy9kb3ducmV2LnhtbFBLAQIUABQAAAAIAIdO4kBOGsAgIQMAAEcMAAAOAAAAAAAAAAEAIAAAACgB&#10;AABkcnMvZTJvRG9jLnhtbFBLBQYAAAAABgAGAFkBAAC7BgAAAAA=&#10;">
              <o:lock v:ext="edit" aspectratio="f"/>
              <v:group id="组合 72" o:spid="_x0000_s2252" o:spt="203" style="position:absolute;left:3009;top:1171871;height:284;width:2142;" coordorigin="3009,1171871" coordsize="2142,284"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shape id="任意多边形 70" o:spid="_x0000_s2253" style="position:absolute;left:3009;top:1172021;height:135;width:2143;" filled="f" stroked="t" coordsize="1260,1" path="m0,0l1245,0,1260,0e">
                  <v:fill on="f" focussize="0,0"/>
                  <v:stroke weight="1.5pt" color="#FFFF00" joinstyle="round"/>
                  <v:imagedata o:title=""/>
                  <o:lock v:ext="edit" aspectratio="f"/>
                </v:shape>
                <v:shape id="任意多边形 71" o:spid="_x0000_s2254" style="position:absolute;left:3009;top:1171871;height:150;width:1;" filled="f" stroked="t" coordsize="1,150" path="m0,0l0,150e">
                  <v:fill on="f" focussize="0,0"/>
                  <v:stroke weight="1.5pt" color="#FFFF00" joinstyle="round"/>
                  <v:imagedata o:title=""/>
                  <o:lock v:ext="edit" aspectratio="f"/>
                </v:shape>
              </v:group>
              <v:shape id="任意多边形 73" o:spid="_x0000_s2255" style="position:absolute;left:5139;top:1171871;height:150;width:1;" filled="f" stroked="t" coordsize="1,150" path="m0,0l0,150e">
                <v:fill on="f" focussize="0,0"/>
                <v:stroke weight="1.5pt" color="#FFFF00" joinstyle="round"/>
                <v:imagedata o:title=""/>
                <o:lock v:ext="edit" aspectratio="f"/>
              </v:shape>
            </v:group>
          </v:group>
        </w:pict>
      </w:r>
      <w:r>
        <w:rPr>
          <w:rFonts w:hint="eastAsia"/>
          <w:color w:val="auto"/>
        </w:rPr>
        <w:drawing>
          <wp:inline distT="0" distB="0" distL="114300" distR="114300">
            <wp:extent cx="7848600" cy="5143500"/>
            <wp:effectExtent l="0" t="0" r="0" b="0"/>
            <wp:docPr id="28" name="图片 28" descr="d0454986feded78fc02661abe2e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0454986feded78fc02661abe2e4873"/>
                    <pic:cNvPicPr>
                      <a:picLocks noChangeAspect="1"/>
                    </pic:cNvPicPr>
                  </pic:nvPicPr>
                  <pic:blipFill>
                    <a:blip r:embed="rId81"/>
                    <a:stretch>
                      <a:fillRect/>
                    </a:stretch>
                  </pic:blipFill>
                  <pic:spPr>
                    <a:xfrm>
                      <a:off x="0" y="0"/>
                      <a:ext cx="7848600" cy="5143500"/>
                    </a:xfrm>
                    <a:prstGeom prst="rect">
                      <a:avLst/>
                    </a:prstGeom>
                  </pic:spPr>
                </pic:pic>
              </a:graphicData>
            </a:graphic>
          </wp:inline>
        </w:drawing>
      </w:r>
    </w:p>
    <w:p>
      <w:pPr>
        <w:pStyle w:val="42"/>
        <w:rPr>
          <w:rFonts w:ascii="Times New Roman" w:hAnsi="Times New Roman"/>
          <w:color w:val="auto"/>
          <w:sz w:val="24"/>
          <w:szCs w:val="24"/>
        </w:rPr>
      </w:pPr>
      <w:r>
        <w:rPr>
          <w:rFonts w:hint="eastAsia" w:ascii="Times New Roman" w:hAnsi="Times New Roman"/>
          <w:color w:val="auto"/>
          <w:sz w:val="24"/>
          <w:szCs w:val="24"/>
        </w:rPr>
        <w:t>附图7</w:t>
      </w:r>
      <w:r>
        <w:rPr>
          <w:rFonts w:ascii="Times New Roman" w:hAnsi="Times New Roman"/>
          <w:color w:val="auto"/>
          <w:sz w:val="24"/>
          <w:szCs w:val="24"/>
        </w:rPr>
        <w:t xml:space="preserve"> </w:t>
      </w:r>
      <w:r>
        <w:rPr>
          <w:rFonts w:hint="eastAsia" w:ascii="Times New Roman" w:hAnsi="Times New Roman"/>
          <w:color w:val="auto"/>
          <w:sz w:val="24"/>
          <w:szCs w:val="24"/>
        </w:rPr>
        <w:t>地表水环境监测断面、大气环境现状监测点与项目位置关系图</w:t>
      </w:r>
    </w:p>
    <w:p>
      <w:pPr>
        <w:pStyle w:val="2"/>
        <w:rPr>
          <w:color w:val="auto"/>
        </w:rPr>
        <w:sectPr>
          <w:headerReference r:id="rId24" w:type="default"/>
          <w:footerReference r:id="rId25" w:type="default"/>
          <w:pgSz w:w="16840" w:h="11907" w:orient="landscape"/>
          <w:pgMar w:top="1304" w:right="1418" w:bottom="1304" w:left="1418" w:header="851" w:footer="851" w:gutter="0"/>
          <w:cols w:space="425" w:num="1"/>
          <w:docGrid w:type="lines" w:linePitch="312" w:charSpace="0"/>
        </w:sectPr>
      </w:pPr>
    </w:p>
    <w:p>
      <w:pPr>
        <w:pStyle w:val="2"/>
        <w:rPr>
          <w:rFonts w:ascii="Times New Roman" w:cs="Times New Roman"/>
          <w:color w:val="auto"/>
        </w:rPr>
      </w:pPr>
      <w:r>
        <w:rPr>
          <w:rFonts w:ascii="Times New Roman" w:cs="Times New Roman"/>
          <w:color w:val="auto"/>
        </w:rPr>
        <w:pict>
          <v:shape id="圆角矩形标注 85" o:spid="_x0000_s2256" o:spt="62" type="#_x0000_t62" style="position:absolute;left:0pt;margin-left:277.3pt;margin-top:77pt;height:24.7pt;width:90pt;z-index:497382400;mso-width-relative:page;mso-height-relative:page;" fillcolor="#FFFFFF" filled="t" stroked="t" coordsize="21600,21600" o:gfxdata="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&#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VhkQ11wAAAAsBAAAPAAAAAAAAAAEAIAAAACIAAABk&#10;cnMvZG93bnJldi54bWxQSwECFAAUAAAACACHTuJAwqvDZnkCAADQBAAADgAAAAAAAAABACAAAAAm&#10;AQAAZHJzL2Uyb0RvYy54bWxQSwUGAAAAAAYABgBZAQAAEQYAAAAA&#10;" adj="-2434,52819,14400">
            <v:path/>
            <v:fill on="t" focussize="0,0"/>
            <v:stroke color="#000000" miterlimit="8" joinstyle="miter"/>
            <v:imagedata o:title=""/>
            <o:lock v:ext="edit" aspectratio="f"/>
            <v:textbox>
              <w:txbxContent>
                <w:p>
                  <w:r>
                    <w:rPr>
                      <w:rFonts w:hint="eastAsia"/>
                    </w:rPr>
                    <w:t>建设项目：二类</w:t>
                  </w:r>
                </w:p>
              </w:txbxContent>
            </v:textbox>
          </v:shape>
        </w:pict>
      </w:r>
      <w:r>
        <w:rPr>
          <w:rFonts w:ascii="Times New Roman" w:cs="Times New Roman"/>
          <w:color w:val="auto"/>
        </w:rPr>
        <w:pict>
          <v:shape id="五角星 87" o:spid="_x0000_s2257" style="position:absolute;left:0pt;margin-left:261.55pt;margin-top:135.75pt;height:8pt;width:7.45pt;z-index:497383424;mso-width-relative:page;mso-height-relative:page;" fillcolor="#FF0000" filled="t" stroked="t" coordsize="94615,101600" o:gfxdata="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xe&#10;HZnaAAAACwEAAA8AAAAAAAAAAQAgAAAAIgAAAGRycy9kb3ducmV2LnhtbFBLAQIUABQAAAAIAIdO&#10;4kBv7bLVIQIAADMEAAAOAAAAAAAAAAEAIAAAACkBAABkcnMvZTJvRG9jLnhtbFBLBQYAAAAABgAG&#10;AFkBAAC8BQ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rFonts w:ascii="Times New Roman" w:cs="Times New Roman"/>
          <w:color w:val="auto"/>
        </w:rPr>
        <w:drawing>
          <wp:inline distT="0" distB="0" distL="114300" distR="114300">
            <wp:extent cx="5540375" cy="5752465"/>
            <wp:effectExtent l="12700" t="12700" r="28575" b="26035"/>
            <wp:docPr id="86" name="图片 3" descr="江门市环境空气质量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descr="江门市环境空气质量功能区划图"/>
                    <pic:cNvPicPr>
                      <a:picLocks noChangeAspect="1"/>
                    </pic:cNvPicPr>
                  </pic:nvPicPr>
                  <pic:blipFill>
                    <a:blip r:embed="rId82"/>
                    <a:stretch>
                      <a:fillRect/>
                    </a:stretch>
                  </pic:blipFill>
                  <pic:spPr>
                    <a:xfrm>
                      <a:off x="0" y="0"/>
                      <a:ext cx="5540375" cy="5752465"/>
                    </a:xfrm>
                    <a:prstGeom prst="rect">
                      <a:avLst/>
                    </a:prstGeom>
                    <a:noFill/>
                    <a:ln w="12700" cap="flat" cmpd="sng">
                      <a:solidFill>
                        <a:srgbClr val="000000"/>
                      </a:solidFill>
                      <a:prstDash val="solid"/>
                      <a:round/>
                      <a:headEnd type="none" w="med" len="med"/>
                      <a:tailEnd type="none" w="med" len="med"/>
                    </a:ln>
                  </pic:spPr>
                </pic:pic>
              </a:graphicData>
            </a:graphic>
          </wp:inline>
        </w:drawing>
      </w:r>
    </w:p>
    <w:p>
      <w:pPr>
        <w:pStyle w:val="42"/>
        <w:spacing w:before="0"/>
        <w:rPr>
          <w:rFonts w:hint="eastAsia" w:ascii="Times New Roman" w:hAnsi="Times New Roman" w:eastAsia="宋体"/>
          <w:color w:val="auto"/>
          <w:sz w:val="24"/>
          <w:szCs w:val="24"/>
          <w:lang w:eastAsia="zh-CN"/>
        </w:rPr>
        <w:sectPr>
          <w:pgSz w:w="11906" w:h="16838"/>
          <w:pgMar w:top="1361" w:right="1418" w:bottom="1361" w:left="1418" w:header="851" w:footer="992" w:gutter="0"/>
          <w:pgBorders>
            <w:top w:val="none" w:sz="0" w:space="0"/>
            <w:left w:val="none" w:sz="0" w:space="0"/>
            <w:bottom w:val="none" w:sz="0" w:space="0"/>
            <w:right w:val="none" w:sz="0" w:space="0"/>
          </w:pgBorders>
          <w:cols w:space="720" w:num="1"/>
          <w:docGrid w:type="linesAndChars" w:linePitch="312" w:charSpace="0"/>
        </w:sectPr>
      </w:pPr>
      <w:r>
        <w:rPr>
          <w:rFonts w:ascii="Times New Roman" w:hAnsi="Times New Roman"/>
          <w:color w:val="auto"/>
          <w:sz w:val="24"/>
          <w:szCs w:val="24"/>
        </w:rPr>
        <w:t>附图</w:t>
      </w:r>
      <w:r>
        <w:rPr>
          <w:rFonts w:hint="eastAsia" w:ascii="Times New Roman" w:hAnsi="Times New Roman"/>
          <w:color w:val="auto"/>
          <w:sz w:val="24"/>
          <w:szCs w:val="24"/>
          <w:lang w:val="en-US" w:eastAsia="zh-CN"/>
        </w:rPr>
        <w:t>8</w:t>
      </w:r>
      <w:r>
        <w:rPr>
          <w:rFonts w:ascii="Times New Roman" w:hAnsi="Times New Roman"/>
          <w:color w:val="auto"/>
          <w:sz w:val="24"/>
          <w:szCs w:val="24"/>
        </w:rPr>
        <w:t xml:space="preserve"> 项目大气环境区划图</w:t>
      </w:r>
    </w:p>
    <w:p>
      <w:pPr>
        <w:pStyle w:val="2"/>
        <w:jc w:val="both"/>
        <w:rPr>
          <w:rFonts w:hint="eastAsia" w:ascii="Times New Roman" w:eastAsia="宋体" w:cs="Times New Roman"/>
          <w:b/>
          <w:bCs/>
          <w:color w:val="auto"/>
          <w:sz w:val="21"/>
          <w:szCs w:val="21"/>
          <w:lang w:eastAsia="zh-CN"/>
        </w:rPr>
      </w:pPr>
      <w:r>
        <w:rPr>
          <w:rFonts w:ascii="Times New Roman" w:cs="Times New Roman"/>
          <w:color w:val="auto"/>
        </w:rPr>
        <w:pict>
          <v:shape id="圆角矩形标注 89" o:spid="_x0000_s2258" o:spt="62" type="#_x0000_t62" style="position:absolute;left:0pt;margin-left:265.35pt;margin-top:80.15pt;height:24.7pt;width:92.85pt;z-index:497384448;mso-width-relative:page;mso-height-relative:page;" fillcolor="#FFFFFF" filled="t" stroked="t" coordsize="21600,21600" o:gfxdata="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1jtfx2QAAAAoBAAAPAAAAAAAAAAEAIAAAACIAAABkcnMvZG93&#10;bnJldi54bWxQSwECFAAUAAAACACHTuJAKnSNw3ECAADQBAAADgAAAAAAAAABACAAAAAoAQAAZHJz&#10;L2Uyb0RvYy54bWxQSwUGAAAAAAYABgBZAQAACwYAAAAA&#10;" adj="-2108,53475">
            <v:path/>
            <v:fill on="t" color2="#FFFFFF" focussize="0,0"/>
            <v:stroke color="#000000" miterlimit="8" joinstyle="miter"/>
            <v:imagedata o:title=""/>
            <o:lock v:ext="edit" aspectratio="f"/>
            <v:textbox>
              <w:txbxContent>
                <w:p>
                  <w:pPr>
                    <w:rPr>
                      <w:szCs w:val="21"/>
                    </w:rPr>
                  </w:pPr>
                  <w:r>
                    <w:rPr>
                      <w:rFonts w:hint="eastAsia"/>
                      <w:szCs w:val="21"/>
                    </w:rPr>
                    <w:t>项目位置：</w:t>
                  </w:r>
                  <w:r>
                    <w:t>Ⅱ类</w:t>
                  </w:r>
                </w:p>
              </w:txbxContent>
            </v:textbox>
          </v:shape>
        </w:pict>
      </w:r>
      <w:r>
        <w:rPr>
          <w:rFonts w:ascii="Times New Roman" w:cs="Times New Roman"/>
          <w:color w:val="auto"/>
        </w:rPr>
        <w:pict>
          <v:shape id="五角星 94" o:spid="_x0000_s2259" style="position:absolute;left:0pt;margin-left:249.9pt;margin-top:141.35pt;height:8pt;width:7.45pt;z-index:497385472;mso-width-relative:page;mso-height-relative:page;" fillcolor="#FF0000" filled="t" stroked="t" coordsize="94615,101600" o:gfxdata="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d&#10;vxDU2wAAAAsBAAAPAAAAAAAAAAEAIAAAACIAAABkcnMvZG93bnJldi54bWxQSwECFAAUAAAACACH&#10;TuJAWw4KBCECAAAzBAAADgAAAAAAAAABACAAAAAqAQAAZHJzL2Uyb0RvYy54bWxQSwUGAAAAAAYA&#10;BgBZAQAAvQU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rFonts w:hint="eastAsia" w:ascii="Times New Roman" w:hAnsi="Times New Roman" w:eastAsia="宋体"/>
          <w:color w:val="auto"/>
          <w:sz w:val="24"/>
          <w:szCs w:val="24"/>
          <w:lang w:eastAsia="zh-CN"/>
        </w:rPr>
        <w:drawing>
          <wp:anchor distT="0" distB="0" distL="114935" distR="114935" simplePos="0" relativeHeight="742569984" behindDoc="0" locked="0" layoutInCell="1" allowOverlap="1">
            <wp:simplePos x="0" y="0"/>
            <wp:positionH relativeFrom="column">
              <wp:posOffset>3411855</wp:posOffset>
            </wp:positionH>
            <wp:positionV relativeFrom="paragraph">
              <wp:posOffset>3617595</wp:posOffset>
            </wp:positionV>
            <wp:extent cx="1614805" cy="1572260"/>
            <wp:effectExtent l="0" t="0" r="4445" b="8890"/>
            <wp:wrapNone/>
            <wp:docPr id="64" name="图片 64" descr="1572921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572921510(1)"/>
                    <pic:cNvPicPr>
                      <a:picLocks noChangeAspect="1"/>
                    </pic:cNvPicPr>
                  </pic:nvPicPr>
                  <pic:blipFill>
                    <a:blip r:embed="rId83"/>
                    <a:stretch>
                      <a:fillRect/>
                    </a:stretch>
                  </pic:blipFill>
                  <pic:spPr>
                    <a:xfrm>
                      <a:off x="0" y="0"/>
                      <a:ext cx="1614805" cy="1572260"/>
                    </a:xfrm>
                    <a:prstGeom prst="rect">
                      <a:avLst/>
                    </a:prstGeom>
                  </pic:spPr>
                </pic:pic>
              </a:graphicData>
            </a:graphic>
          </wp:anchor>
        </w:drawing>
      </w:r>
      <w:r>
        <w:rPr>
          <w:rFonts w:hint="eastAsia" w:ascii="Times New Roman" w:eastAsia="宋体" w:cs="Times New Roman"/>
          <w:b/>
          <w:bCs/>
          <w:color w:val="auto"/>
          <w:sz w:val="21"/>
          <w:szCs w:val="21"/>
          <w:lang w:eastAsia="zh-CN"/>
        </w:rPr>
        <w:drawing>
          <wp:inline distT="0" distB="0" distL="114300" distR="114300">
            <wp:extent cx="7589520" cy="5368925"/>
            <wp:effectExtent l="0" t="0" r="11430" b="3175"/>
            <wp:docPr id="65" name="图片 65" descr="10江门市水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0江门市水环境功能区划图"/>
                    <pic:cNvPicPr>
                      <a:picLocks noChangeAspect="1"/>
                    </pic:cNvPicPr>
                  </pic:nvPicPr>
                  <pic:blipFill>
                    <a:blip r:embed="rId84"/>
                    <a:stretch>
                      <a:fillRect/>
                    </a:stretch>
                  </pic:blipFill>
                  <pic:spPr>
                    <a:xfrm>
                      <a:off x="0" y="0"/>
                      <a:ext cx="7589520" cy="5368925"/>
                    </a:xfrm>
                    <a:prstGeom prst="rect">
                      <a:avLst/>
                    </a:prstGeom>
                  </pic:spPr>
                </pic:pic>
              </a:graphicData>
            </a:graphic>
          </wp:inline>
        </w:drawing>
      </w:r>
    </w:p>
    <w:p>
      <w:pPr>
        <w:pStyle w:val="42"/>
        <w:spacing w:before="0"/>
        <w:rPr>
          <w:rFonts w:ascii="Times New Roman" w:hAnsi="Times New Roman"/>
          <w:color w:val="auto"/>
          <w:sz w:val="24"/>
          <w:szCs w:val="24"/>
        </w:rPr>
        <w:sectPr>
          <w:footerReference r:id="rId27" w:type="first"/>
          <w:footerReference r:id="rId26" w:type="default"/>
          <w:pgSz w:w="16783" w:h="11850" w:orient="landscape"/>
          <w:pgMar w:top="1418" w:right="1417" w:bottom="1418" w:left="1417" w:header="851" w:footer="992" w:gutter="0"/>
          <w:pgBorders>
            <w:top w:val="none" w:sz="0" w:space="0"/>
            <w:left w:val="none" w:sz="0" w:space="0"/>
            <w:bottom w:val="none" w:sz="0" w:space="0"/>
            <w:right w:val="none" w:sz="0" w:space="0"/>
          </w:pgBorders>
          <w:pgNumType w:fmt="numberInDash"/>
          <w:cols w:space="720" w:num="1"/>
          <w:titlePg/>
          <w:docGrid w:type="lines" w:linePitch="318" w:charSpace="0"/>
        </w:sectPr>
      </w:pPr>
      <w:r>
        <w:rPr>
          <w:rFonts w:ascii="Times New Roman" w:hAnsi="Times New Roman"/>
          <w:color w:val="auto"/>
          <w:sz w:val="24"/>
          <w:szCs w:val="24"/>
        </w:rPr>
        <w:t>附图</w:t>
      </w:r>
      <w:r>
        <w:rPr>
          <w:rFonts w:hint="eastAsia" w:ascii="Times New Roman" w:hAnsi="Times New Roman"/>
          <w:color w:val="auto"/>
          <w:sz w:val="24"/>
          <w:szCs w:val="24"/>
          <w:lang w:val="en-US" w:eastAsia="zh-CN"/>
        </w:rPr>
        <w:t>9</w:t>
      </w:r>
      <w:r>
        <w:rPr>
          <w:rFonts w:ascii="Times New Roman" w:hAnsi="Times New Roman"/>
          <w:color w:val="auto"/>
          <w:sz w:val="24"/>
          <w:szCs w:val="24"/>
        </w:rPr>
        <w:t xml:space="preserve"> 项目水环境功能区划图</w:t>
      </w:r>
    </w:p>
    <w:p>
      <w:pPr>
        <w:pStyle w:val="2"/>
        <w:jc w:val="both"/>
        <w:rPr>
          <w:rFonts w:ascii="Times New Roman" w:cs="Times New Roman"/>
          <w:color w:val="auto"/>
        </w:rPr>
      </w:pPr>
      <w:r>
        <w:rPr>
          <w:rFonts w:ascii="Times New Roman" w:cs="Times New Roman"/>
          <w:color w:val="auto"/>
        </w:rPr>
        <w:pict>
          <v:shape id="五角星 91" o:spid="_x0000_s2260" style="position:absolute;left:0pt;margin-left:304.85pt;margin-top:166.8pt;height:8pt;width:7.45pt;z-index:497387520;mso-width-relative:page;mso-height-relative:page;" fillcolor="#FF0000" filled="t" stroked="t" coordsize="94615,101600" o:gfxdata="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8c7adsAAAALAQAADwAAAAAAAAABACAAAAAiAAAAZHJzL2Rvd25yZXYueG1sUEsBAhQAFAAAAAgA&#10;h07iQEkWMEoiAgAAMwQAAA4AAAAAAAAAAQAgAAAAKgEAAGRycy9lMm9Eb2MueG1sUEsFBgAAAAAG&#10;AAYAWQEAAL4FA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rFonts w:hint="eastAsia" w:ascii="Times New Roman" w:hAnsi="Times New Roman" w:eastAsia="宋体"/>
          <w:color w:val="auto"/>
          <w:sz w:val="24"/>
          <w:szCs w:val="24"/>
          <w:lang w:eastAsia="zh-CN"/>
        </w:rPr>
        <w:drawing>
          <wp:anchor distT="0" distB="0" distL="114935" distR="114935" simplePos="0" relativeHeight="742571008" behindDoc="0" locked="0" layoutInCell="1" allowOverlap="1">
            <wp:simplePos x="0" y="0"/>
            <wp:positionH relativeFrom="column">
              <wp:posOffset>4933315</wp:posOffset>
            </wp:positionH>
            <wp:positionV relativeFrom="paragraph">
              <wp:posOffset>3131820</wp:posOffset>
            </wp:positionV>
            <wp:extent cx="1610360" cy="2087245"/>
            <wp:effectExtent l="9525" t="9525" r="18415" b="17780"/>
            <wp:wrapNone/>
            <wp:docPr id="43" name="图片 43" descr="15729217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572921700(1)"/>
                    <pic:cNvPicPr>
                      <a:picLocks noChangeAspect="1"/>
                    </pic:cNvPicPr>
                  </pic:nvPicPr>
                  <pic:blipFill>
                    <a:blip r:embed="rId85"/>
                    <a:stretch>
                      <a:fillRect/>
                    </a:stretch>
                  </pic:blipFill>
                  <pic:spPr>
                    <a:xfrm>
                      <a:off x="0" y="0"/>
                      <a:ext cx="1610360" cy="2087245"/>
                    </a:xfrm>
                    <a:prstGeom prst="rect">
                      <a:avLst/>
                    </a:prstGeom>
                    <a:ln>
                      <a:solidFill>
                        <a:schemeClr val="tx1"/>
                      </a:solidFill>
                    </a:ln>
                  </pic:spPr>
                </pic:pic>
              </a:graphicData>
            </a:graphic>
          </wp:anchor>
        </w:drawing>
      </w:r>
      <w:r>
        <w:rPr>
          <w:rFonts w:ascii="Times New Roman" w:cs="Times New Roman"/>
          <w:color w:val="auto"/>
        </w:rPr>
        <w:pict>
          <v:shape id="圆角矩形标注 90" o:spid="_x0000_s2261" o:spt="62" type="#_x0000_t62" style="position:absolute;left:0pt;margin-left:326pt;margin-top:86.65pt;height:41.15pt;width:92.2pt;z-index:497386496;mso-width-relative:page;mso-height-relative:page;" fillcolor="#FFFFFF" filled="t" stroked="t" coordsize="21600,21600" o:gfxdata="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zMC0dgAAAALAQAADwAAAAAAAAABACAAAAAiAAAAZHJzL2Rvd25y&#10;ZXYueG1sUEsBAhQAFAAAAAgAh07iQLDLYQhwAgAA0AQAAA4AAAAAAAAAAQAgAAAAJwEAAGRycy9l&#10;Mm9Eb2MueG1sUEsFBgAAAAAGAAYAWQEAAAkGAAAAAA==&#10;" adj="-3297,41835">
            <v:path/>
            <v:fill on="t" color2="#FFFFFF" focussize="0,0"/>
            <v:stroke color="#000000" miterlimit="8" joinstyle="miter"/>
            <v:imagedata o:title=""/>
            <o:lock v:ext="edit" aspectratio="f"/>
            <v:textbox>
              <w:txbxContent>
                <w:p>
                  <w:pPr>
                    <w:rPr>
                      <w:rFonts w:hint="eastAsia" w:eastAsia="宋体"/>
                      <w:szCs w:val="21"/>
                      <w:lang w:eastAsia="zh-CN"/>
                    </w:rPr>
                  </w:pPr>
                  <w:r>
                    <w:rPr>
                      <w:rFonts w:hint="eastAsia"/>
                      <w:szCs w:val="21"/>
                    </w:rPr>
                    <w:t>建设项目：</w:t>
                  </w:r>
                  <w:r>
                    <w:rPr>
                      <w:rFonts w:hint="eastAsia"/>
                      <w:szCs w:val="21"/>
                      <w:lang w:eastAsia="zh-CN"/>
                    </w:rPr>
                    <w:t>分散式开发利用区</w:t>
                  </w:r>
                </w:p>
              </w:txbxContent>
            </v:textbox>
          </v:shape>
        </w:pict>
      </w:r>
      <w:r>
        <w:rPr>
          <w:rFonts w:ascii="Times New Roman" w:cs="Times New Roman"/>
          <w:color w:val="auto"/>
        </w:rPr>
        <w:drawing>
          <wp:inline distT="0" distB="0" distL="114300" distR="114300">
            <wp:extent cx="7479665" cy="5485765"/>
            <wp:effectExtent l="0" t="0" r="6985" b="635"/>
            <wp:docPr id="92" name="图片 5" descr="页面提取自－广州及深圳等地下水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descr="页面提取自－广州及深圳等地下水功能区划"/>
                    <pic:cNvPicPr>
                      <a:picLocks noChangeAspect="1"/>
                    </pic:cNvPicPr>
                  </pic:nvPicPr>
                  <pic:blipFill>
                    <a:blip r:embed="rId86"/>
                    <a:stretch>
                      <a:fillRect/>
                    </a:stretch>
                  </pic:blipFill>
                  <pic:spPr>
                    <a:xfrm>
                      <a:off x="0" y="0"/>
                      <a:ext cx="7479665" cy="5485765"/>
                    </a:xfrm>
                    <a:prstGeom prst="rect">
                      <a:avLst/>
                    </a:prstGeom>
                    <a:noFill/>
                    <a:ln w="12700">
                      <a:noFill/>
                    </a:ln>
                  </pic:spPr>
                </pic:pic>
              </a:graphicData>
            </a:graphic>
          </wp:inline>
        </w:drawing>
      </w:r>
    </w:p>
    <w:p>
      <w:pPr>
        <w:pStyle w:val="42"/>
        <w:spacing w:before="0"/>
        <w:rPr>
          <w:rFonts w:hint="eastAsia" w:ascii="Times New Roman" w:hAnsi="Times New Roman" w:eastAsia="宋体"/>
          <w:color w:val="auto"/>
          <w:sz w:val="24"/>
          <w:szCs w:val="24"/>
          <w:lang w:eastAsia="zh-CN"/>
        </w:rPr>
        <w:sectPr>
          <w:footerReference r:id="rId28" w:type="default"/>
          <w:pgSz w:w="16838" w:h="11906" w:orient="landscape"/>
          <w:pgMar w:top="1418" w:right="1361" w:bottom="1418" w:left="1361" w:header="851" w:footer="992" w:gutter="0"/>
          <w:pgBorders>
            <w:top w:val="none" w:sz="0" w:space="0"/>
            <w:left w:val="none" w:sz="0" w:space="0"/>
            <w:bottom w:val="none" w:sz="0" w:space="0"/>
            <w:right w:val="none" w:sz="0" w:space="0"/>
          </w:pgBorders>
          <w:cols w:space="720" w:num="1"/>
          <w:docGrid w:type="linesAndChars" w:linePitch="312" w:charSpace="0"/>
        </w:sectPr>
      </w:pPr>
      <w:r>
        <w:rPr>
          <w:rFonts w:ascii="Times New Roman" w:hAnsi="Times New Roman"/>
          <w:color w:val="auto"/>
          <w:sz w:val="24"/>
          <w:szCs w:val="24"/>
        </w:rPr>
        <w:t>附图</w:t>
      </w:r>
      <w:r>
        <w:rPr>
          <w:rFonts w:hint="eastAsia" w:ascii="Times New Roman" w:hAnsi="Times New Roman"/>
          <w:color w:val="auto"/>
          <w:sz w:val="24"/>
          <w:szCs w:val="24"/>
          <w:lang w:val="en-US" w:eastAsia="zh-CN"/>
        </w:rPr>
        <w:t>10</w:t>
      </w:r>
      <w:r>
        <w:rPr>
          <w:rFonts w:ascii="Times New Roman" w:hAnsi="Times New Roman"/>
          <w:color w:val="auto"/>
          <w:sz w:val="24"/>
          <w:szCs w:val="24"/>
        </w:rPr>
        <w:t xml:space="preserve"> 项目地下水功能区划图</w:t>
      </w:r>
    </w:p>
    <w:p>
      <w:pPr>
        <w:rPr>
          <w:rFonts w:hint="eastAsia" w:eastAsia="宋体"/>
          <w:color w:val="auto"/>
          <w:lang w:eastAsia="zh-CN"/>
        </w:rPr>
      </w:pPr>
      <w:r>
        <w:rPr>
          <w:color w:val="auto"/>
        </w:rPr>
        <w:pict>
          <v:shape id="五角星 148" o:spid="_x0000_s2262" style="position:absolute;left:0pt;margin-left:280.6pt;margin-top:216.95pt;height:8pt;width:7.45pt;z-index:497419264;mso-width-relative:page;mso-height-relative:page;" fillcolor="#FF0000" filled="t" stroked="t" coordsize="94615,101600" o:gfxdata="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N&#10;yrdC2wAAAAsBAAAPAAAAAAAAAAEAIAAAACIAAABkcnMvZG93bnJldi54bWxQSwECFAAUAAAACACH&#10;TuJAjsQFnyECAAA1BAAADgAAAAAAAAABACAAAAAqAQAAZHJzL2Uyb0RvYy54bWxQSwUGAAAAAAYA&#10;BgBZAQAAvQU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color w:val="auto"/>
        </w:rPr>
        <w:pict>
          <v:shape id="圆角矩形标注 28" o:spid="_x0000_s2263" o:spt="62" type="#_x0000_t62" style="position:absolute;left:0pt;margin-left:304.3pt;margin-top:134pt;height:44.95pt;width:77.2pt;z-index:497418240;mso-width-relative:page;mso-height-relative:page;" fillcolor="#FFFFFF" filled="t" stroked="t" coordsize="21600,21600" o:gfxdata="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V/0aJ2gAAAAsBAAAPAAAAAAAAAAEAIAAAACIAAABkcnMvZG93bnJl&#10;di54bWxQSwECFAAUAAAACACHTuJAgc46F20CAADPBAAADgAAAAAAAAABACAAAAApAQAAZHJzL2Uy&#10;b0RvYy54bWxQSwUGAAAAAAYABgBZAQAACAYAAAAA&#10;" adj="-4840,39788,14400">
            <v:path/>
            <v:fill on="t" focussize="0,0"/>
            <v:stroke color="#000000" miterlimit="8" joinstyle="miter"/>
            <v:imagedata o:title=""/>
            <o:lock v:ext="edit" aspectratio="f"/>
            <v:textbox>
              <w:txbxContent>
                <w:p>
                  <w:pPr>
                    <w:rPr>
                      <w:szCs w:val="21"/>
                    </w:rPr>
                  </w:pPr>
                  <w:r>
                    <w:rPr>
                      <w:rFonts w:hint="eastAsia"/>
                      <w:szCs w:val="21"/>
                    </w:rPr>
                    <w:t>项目位置：</w:t>
                  </w:r>
                </w:p>
                <w:p>
                  <w:pPr>
                    <w:rPr>
                      <w:szCs w:val="21"/>
                    </w:rPr>
                  </w:pPr>
                  <w:r>
                    <w:rPr>
                      <w:rFonts w:hint="eastAsia"/>
                      <w:szCs w:val="21"/>
                      <w:lang w:eastAsia="zh-CN"/>
                    </w:rPr>
                    <w:t>重点开发</w:t>
                  </w:r>
                  <w:r>
                    <w:rPr>
                      <w:rFonts w:hint="eastAsia"/>
                      <w:szCs w:val="21"/>
                    </w:rPr>
                    <w:t>区</w:t>
                  </w:r>
                </w:p>
              </w:txbxContent>
            </v:textbox>
          </v:shape>
        </w:pict>
      </w:r>
      <w:r>
        <w:rPr>
          <w:rFonts w:hint="eastAsia" w:eastAsia="宋体"/>
          <w:color w:val="auto"/>
          <w:lang w:eastAsia="zh-CN"/>
        </w:rPr>
        <w:drawing>
          <wp:inline distT="0" distB="0" distL="114300" distR="114300">
            <wp:extent cx="5861685" cy="8288020"/>
            <wp:effectExtent l="0" t="0" r="5715" b="17780"/>
            <wp:docPr id="66" name="图片 66" descr="01主体功能区划分总图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01主体功能区划分总图0127"/>
                    <pic:cNvPicPr>
                      <a:picLocks noChangeAspect="1"/>
                    </pic:cNvPicPr>
                  </pic:nvPicPr>
                  <pic:blipFill>
                    <a:blip r:embed="rId87"/>
                    <a:stretch>
                      <a:fillRect/>
                    </a:stretch>
                  </pic:blipFill>
                  <pic:spPr>
                    <a:xfrm>
                      <a:off x="0" y="0"/>
                      <a:ext cx="5861685" cy="8288020"/>
                    </a:xfrm>
                    <a:prstGeom prst="rect">
                      <a:avLst/>
                    </a:prstGeom>
                  </pic:spPr>
                </pic:pic>
              </a:graphicData>
            </a:graphic>
          </wp:inline>
        </w:drawing>
      </w:r>
    </w:p>
    <w:p>
      <w:pPr>
        <w:pStyle w:val="42"/>
        <w:spacing w:before="0"/>
        <w:rPr>
          <w:b/>
          <w:bCs/>
          <w:color w:val="auto"/>
          <w:sz w:val="21"/>
          <w:szCs w:val="21"/>
        </w:rPr>
      </w:pPr>
      <w:r>
        <w:rPr>
          <w:rFonts w:ascii="Times New Roman" w:hAnsi="Times New Roman"/>
          <w:color w:val="auto"/>
          <w:sz w:val="24"/>
          <w:szCs w:val="24"/>
        </w:rPr>
        <w:t>附图</w:t>
      </w:r>
      <w:r>
        <w:rPr>
          <w:rFonts w:hint="eastAsia" w:ascii="Times New Roman" w:hAnsi="Times New Roman"/>
          <w:color w:val="auto"/>
          <w:sz w:val="24"/>
          <w:szCs w:val="24"/>
          <w:lang w:val="en-US" w:eastAsia="zh-CN"/>
        </w:rPr>
        <w:t>11</w:t>
      </w:r>
      <w:r>
        <w:rPr>
          <w:rFonts w:ascii="Times New Roman" w:hAnsi="Times New Roman"/>
          <w:color w:val="auto"/>
          <w:sz w:val="24"/>
          <w:szCs w:val="24"/>
        </w:rPr>
        <w:t xml:space="preserve"> </w:t>
      </w:r>
      <w:r>
        <w:rPr>
          <w:rFonts w:hint="eastAsia" w:ascii="Times New Roman" w:hAnsi="Times New Roman"/>
          <w:color w:val="auto"/>
          <w:sz w:val="24"/>
          <w:szCs w:val="24"/>
        </w:rPr>
        <w:t>江门市主体功能</w:t>
      </w:r>
      <w:r>
        <w:rPr>
          <w:rFonts w:ascii="Times New Roman" w:hAnsi="Times New Roman"/>
          <w:color w:val="auto"/>
          <w:sz w:val="24"/>
          <w:szCs w:val="24"/>
        </w:rPr>
        <w:t>区划图</w:t>
      </w:r>
      <w:bookmarkStart w:id="42" w:name="_GoBack"/>
      <w:bookmarkEnd w:id="42"/>
    </w:p>
    <w:sectPr>
      <w:headerReference r:id="rId29" w:type="default"/>
      <w:footerReference r:id="rId30" w:type="default"/>
      <w:pgSz w:w="11907" w:h="16840"/>
      <w:pgMar w:top="1440" w:right="1134" w:bottom="1134" w:left="136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2FF" w:usb1="400004FF" w:usb2="00000000" w:usb3="00000000" w:csb0="2000019F" w:csb1="00000000"/>
  </w:font>
  <w:font w:name="仿宋体">
    <w:altName w:val="仿宋"/>
    <w:panose1 w:val="00000000000000000000"/>
    <w:charset w:val="86"/>
    <w:family w:val="roma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仿宋_GB2312">
    <w:altName w:val="仿宋"/>
    <w:panose1 w:val="00000000000000000000"/>
    <w:charset w:val="86"/>
    <w:family w:val="auto"/>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方正仿宋_GBK">
    <w:altName w:val="微软雅黑"/>
    <w:panose1 w:val="00000000000000000000"/>
    <w:charset w:val="86"/>
    <w:family w:val="script"/>
    <w:pitch w:val="default"/>
    <w:sig w:usb0="00000000" w:usb1="00000000" w:usb2="00000010" w:usb3="00000000" w:csb0="003C0040" w:csb1="00000000"/>
  </w:font>
  <w:font w:name="Noto Sans CJK JP Regular">
    <w:altName w:val="Segoe Print"/>
    <w:panose1 w:val="00000000000000000000"/>
    <w:charset w:val="00"/>
    <w:family w:val="swiss"/>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思源宋体 CN">
    <w:altName w:val="宋体"/>
    <w:panose1 w:val="00000000000000000000"/>
    <w:charset w:val="00"/>
    <w:family w:val="roman"/>
    <w:pitch w:val="default"/>
    <w:sig w:usb0="00000000" w:usb1="00000000" w:usb2="00000016" w:usb3="00000000" w:csb0="00060107" w:csb1="00000000"/>
  </w:font>
  <w:font w:name="TimesNewRomanPSMT">
    <w:altName w:val="Times New Roman"/>
    <w:panose1 w:val="00000000000000000000"/>
    <w:charset w:val="86"/>
    <w:family w:val="auto"/>
    <w:pitch w:val="default"/>
    <w:sig w:usb0="00000000" w:usb1="00000000" w:usb2="00000000" w:usb3="00000000" w:csb0="00040000" w:csb1="00000000"/>
  </w:font>
  <w:font w:name="等线">
    <w:altName w:val="微软雅黑"/>
    <w:panose1 w:val="02010600030101010101"/>
    <w:charset w:val="86"/>
    <w:family w:val="auto"/>
    <w:pitch w:val="default"/>
    <w:sig w:usb0="00000000" w:usb1="00000000" w:usb2="00000016" w:usb3="00000000" w:csb0="0004000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80F3C52" w:usb2="00000016" w:usb3="00000000" w:csb0="0004001F" w:csb1="00000000"/>
  </w:font>
  <w:font w:name="TT174o00">
    <w:altName w:val="宋体"/>
    <w:panose1 w:val="00000000000000000000"/>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48"/>
      </w:rPr>
    </w:pPr>
    <w:r>
      <w:rPr>
        <w:rStyle w:val="48"/>
      </w:rPr>
      <w:fldChar w:fldCharType="begin"/>
    </w:r>
    <w:r>
      <w:rPr>
        <w:rStyle w:val="48"/>
      </w:rPr>
      <w:instrText xml:space="preserve">PAGE  </w:instrText>
    </w:r>
    <w:r>
      <w:rPr>
        <w:rStyle w:val="48"/>
      </w:rPr>
      <w:fldChar w:fldCharType="end"/>
    </w:r>
  </w:p>
  <w:p>
    <w:pPr>
      <w:pStyle w:val="36"/>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jc w:val="center"/>
    </w:pPr>
    <w:r>
      <w:fldChar w:fldCharType="begin"/>
    </w:r>
    <w:r>
      <w:instrText xml:space="preserve"> PAGE   \* MERGEFORMAT </w:instrText>
    </w:r>
    <w:r>
      <w:fldChar w:fldCharType="separate"/>
    </w:r>
    <w:r>
      <w:rPr>
        <w:lang w:val="zh-CN"/>
      </w:rPr>
      <w:t>48</w:t>
    </w:r>
    <w:r>
      <w:rPr>
        <w:lang w:val="zh-CN"/>
      </w:rPr>
      <w:fldChar w:fldCharType="end"/>
    </w:r>
  </w:p>
  <w:p>
    <w:pPr>
      <w:pStyle w:val="36"/>
      <w:rPr>
        <w:szCs w:val="2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560" w:firstLineChars="200"/>
      <w:jc w:val="both"/>
      <w:rPr>
        <w:rFonts w:ascii="仿宋_GB2312" w:eastAsia="仿宋_GB2312"/>
        <w:sz w:val="28"/>
        <w:szCs w:val="28"/>
      </w:rPr>
    </w:pPr>
    <w:r>
      <w:rPr>
        <w:rFonts w:hint="eastAsia" w:ascii="仿宋_GB2312" w:eastAsia="仿宋_GB2312"/>
        <w:sz w:val="28"/>
        <w:szCs w:val="28"/>
      </w:rPr>
      <w:t>—</w:t>
    </w:r>
    <w:r>
      <w:rPr>
        <w:rStyle w:val="48"/>
        <w:rFonts w:hint="eastAsia" w:ascii="仿宋_GB2312" w:eastAsia="仿宋_GB2312"/>
        <w:sz w:val="28"/>
        <w:szCs w:val="28"/>
      </w:rPr>
      <w:fldChar w:fldCharType="begin"/>
    </w:r>
    <w:r>
      <w:rPr>
        <w:rStyle w:val="48"/>
        <w:rFonts w:hint="eastAsia" w:ascii="仿宋_GB2312" w:eastAsia="仿宋_GB2312"/>
        <w:sz w:val="28"/>
        <w:szCs w:val="28"/>
      </w:rPr>
      <w:instrText xml:space="preserve"> PAGE </w:instrText>
    </w:r>
    <w:r>
      <w:rPr>
        <w:rStyle w:val="48"/>
        <w:rFonts w:hint="eastAsia" w:ascii="仿宋_GB2312" w:eastAsia="仿宋_GB2312"/>
        <w:sz w:val="28"/>
        <w:szCs w:val="28"/>
      </w:rPr>
      <w:fldChar w:fldCharType="separate"/>
    </w:r>
    <w:r>
      <w:rPr>
        <w:rStyle w:val="48"/>
        <w:rFonts w:ascii="仿宋_GB2312" w:eastAsia="仿宋_GB2312"/>
        <w:sz w:val="28"/>
        <w:szCs w:val="28"/>
      </w:rPr>
      <w:t>2</w:t>
    </w:r>
    <w:r>
      <w:rPr>
        <w:rStyle w:val="48"/>
        <w:rFonts w:hint="eastAsia" w:ascii="仿宋_GB2312" w:eastAsia="仿宋_GB2312"/>
        <w:sz w:val="28"/>
        <w:szCs w:val="28"/>
      </w:rPr>
      <w:fldChar w:fldCharType="end"/>
    </w:r>
    <w:r>
      <w:rPr>
        <w:rFonts w:hint="eastAsia" w:ascii="仿宋_GB2312" w:eastAsia="仿宋_GB2312"/>
        <w:sz w:val="28"/>
        <w:szCs w:val="28"/>
      </w:rPr>
      <w:t>—</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szCs w:val="28"/>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szCs w:val="28"/>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szCs w:val="28"/>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szCs w:val="28"/>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szCs w:val="28"/>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szCs w:val="28"/>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jc w:val="center"/>
    </w:pPr>
    <w:r>
      <w:fldChar w:fldCharType="begin"/>
    </w:r>
    <w:r>
      <w:instrText xml:space="preserve"> PAGE   \* MERGEFORMAT </w:instrText>
    </w:r>
    <w:r>
      <w:fldChar w:fldCharType="separate"/>
    </w:r>
    <w:r>
      <w:rPr>
        <w:lang w:val="zh-CN"/>
      </w:rPr>
      <w:t>7</w:t>
    </w:r>
    <w:r>
      <w:rPr>
        <w:lang w:val="zh-CN"/>
      </w:rPr>
      <w:fldChar w:fldCharType="end"/>
    </w:r>
  </w:p>
  <w:p>
    <w:pPr>
      <w:pStyle w:val="3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jc w:val="center"/>
    </w:pPr>
    <w:r>
      <w:fldChar w:fldCharType="begin"/>
    </w:r>
    <w:r>
      <w:instrText xml:space="preserve"> PAGE   \* MERGEFORMAT </w:instrText>
    </w:r>
    <w:r>
      <w:fldChar w:fldCharType="separate"/>
    </w:r>
    <w:r>
      <w:rPr>
        <w:lang w:val="zh-CN"/>
      </w:rPr>
      <w:t>5</w:t>
    </w:r>
    <w:r>
      <w:rPr>
        <w:lang w:val="zh-CN"/>
      </w:rPr>
      <w:fldChar w:fldCharType="end"/>
    </w:r>
  </w:p>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48"/>
      </w:rPr>
    </w:pPr>
    <w:r>
      <w:rPr>
        <w:rStyle w:val="48"/>
      </w:rPr>
      <w:fldChar w:fldCharType="begin"/>
    </w:r>
    <w:r>
      <w:rPr>
        <w:rStyle w:val="48"/>
      </w:rPr>
      <w:instrText xml:space="preserve">PAGE  </w:instrText>
    </w:r>
    <w:r>
      <w:rPr>
        <w:rStyle w:val="48"/>
      </w:rPr>
      <w:fldChar w:fldCharType="separate"/>
    </w:r>
    <w:r>
      <w:rPr>
        <w:rStyle w:val="48"/>
      </w:rPr>
      <w:t>8</w:t>
    </w:r>
    <w:r>
      <w:rPr>
        <w:rStyle w:val="48"/>
      </w:rPr>
      <w:fldChar w:fldCharType="end"/>
    </w:r>
  </w:p>
  <w:p>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48"/>
      </w:rPr>
    </w:pPr>
    <w:r>
      <w:rPr>
        <w:rStyle w:val="48"/>
      </w:rPr>
      <w:fldChar w:fldCharType="begin"/>
    </w:r>
    <w:r>
      <w:rPr>
        <w:rStyle w:val="48"/>
      </w:rPr>
      <w:instrText xml:space="preserve">PAGE  </w:instrText>
    </w:r>
    <w:r>
      <w:rPr>
        <w:rStyle w:val="48"/>
      </w:rPr>
      <w:fldChar w:fldCharType="separate"/>
    </w:r>
    <w:r>
      <w:rPr>
        <w:rStyle w:val="48"/>
      </w:rPr>
      <w:t>16</w:t>
    </w:r>
    <w:r>
      <w:rPr>
        <w:rStyle w:val="48"/>
      </w:rPr>
      <w:fldChar w:fldCharType="end"/>
    </w:r>
  </w:p>
  <w:p>
    <w:r>
      <w:rPr>
        <w:rStyle w:val="48"/>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48"/>
      </w:rPr>
    </w:pPr>
    <w:r>
      <w:rPr>
        <w:rStyle w:val="48"/>
      </w:rPr>
      <w:fldChar w:fldCharType="begin"/>
    </w:r>
    <w:r>
      <w:rPr>
        <w:rStyle w:val="48"/>
      </w:rPr>
      <w:instrText xml:space="preserve">PAGE  </w:instrText>
    </w:r>
    <w:r>
      <w:rPr>
        <w:rStyle w:val="48"/>
      </w:rPr>
      <w:fldChar w:fldCharType="separate"/>
    </w:r>
    <w:r>
      <w:rPr>
        <w:rStyle w:val="48"/>
      </w:rPr>
      <w:t>20</w:t>
    </w:r>
    <w:r>
      <w:rPr>
        <w:rStyle w:val="4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48"/>
      </w:rPr>
    </w:pPr>
    <w:r>
      <w:rPr>
        <w:rStyle w:val="48"/>
      </w:rPr>
      <w:fldChar w:fldCharType="begin"/>
    </w:r>
    <w:r>
      <w:rPr>
        <w:rStyle w:val="48"/>
      </w:rPr>
      <w:instrText xml:space="preserve">PAGE  </w:instrText>
    </w:r>
    <w:r>
      <w:rPr>
        <w:rStyle w:val="48"/>
      </w:rPr>
      <w:fldChar w:fldCharType="separate"/>
    </w:r>
    <w:r>
      <w:rPr>
        <w:rStyle w:val="48"/>
      </w:rPr>
      <w:t>22</w:t>
    </w:r>
    <w:r>
      <w:rPr>
        <w:rStyle w:val="48"/>
      </w:rPr>
      <w:fldChar w:fldCharType="end"/>
    </w:r>
  </w:p>
  <w:p>
    <w:r>
      <w:rPr>
        <w:rStyle w:val="48"/>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48"/>
      </w:rPr>
    </w:pPr>
    <w:r>
      <w:rPr>
        <w:rStyle w:val="48"/>
      </w:rPr>
      <w:fldChar w:fldCharType="begin"/>
    </w:r>
    <w:r>
      <w:rPr>
        <w:rStyle w:val="48"/>
      </w:rPr>
      <w:instrText xml:space="preserve">PAGE  </w:instrText>
    </w:r>
    <w:r>
      <w:rPr>
        <w:rStyle w:val="48"/>
      </w:rPr>
      <w:fldChar w:fldCharType="separate"/>
    </w:r>
    <w:r>
      <w:rPr>
        <w:rStyle w:val="48"/>
      </w:rPr>
      <w:t>30</w:t>
    </w:r>
    <w:r>
      <w:rPr>
        <w:rStyle w:val="48"/>
      </w:rPr>
      <w:fldChar w:fldCharType="end"/>
    </w: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pP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pPr>
    <w:r>
      <w:rPr>
        <w:rFonts w:hint="eastAsia"/>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pPr>
    <w:r>
      <w:rPr>
        <w:rFonts w:hint="eastAsia"/>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EBE4352"/>
    <w:multiLevelType w:val="singleLevel"/>
    <w:tmpl w:val="AEBE4352"/>
    <w:lvl w:ilvl="0" w:tentative="0">
      <w:start w:val="6"/>
      <w:numFmt w:val="decimal"/>
      <w:suff w:val="nothing"/>
      <w:lvlText w:val="%1、"/>
      <w:lvlJc w:val="left"/>
    </w:lvl>
  </w:abstractNum>
  <w:abstractNum w:abstractNumId="1">
    <w:nsid w:val="F38C90E0"/>
    <w:multiLevelType w:val="singleLevel"/>
    <w:tmpl w:val="F38C90E0"/>
    <w:lvl w:ilvl="0" w:tentative="0">
      <w:start w:val="1"/>
      <w:numFmt w:val="bullet"/>
      <w:pStyle w:val="10"/>
      <w:lvlText w:val=""/>
      <w:lvlJc w:val="left"/>
      <w:pPr>
        <w:tabs>
          <w:tab w:val="left" w:pos="780"/>
        </w:tabs>
        <w:ind w:left="780" w:hanging="360"/>
      </w:pPr>
      <w:rPr>
        <w:rFonts w:hint="default" w:ascii="Wingdings" w:hAnsi="Wingdings"/>
      </w:rPr>
    </w:lvl>
  </w:abstractNum>
  <w:abstractNum w:abstractNumId="2">
    <w:nsid w:val="FFF6BD2C"/>
    <w:multiLevelType w:val="singleLevel"/>
    <w:tmpl w:val="FFF6BD2C"/>
    <w:lvl w:ilvl="0" w:tentative="0">
      <w:start w:val="6"/>
      <w:numFmt w:val="chineseCounting"/>
      <w:suff w:val="nothing"/>
      <w:lvlText w:val="%1、"/>
      <w:lvlJc w:val="left"/>
      <w:rPr>
        <w:rFonts w:hint="eastAsia"/>
      </w:rPr>
    </w:lvl>
  </w:abstractNum>
  <w:abstractNum w:abstractNumId="3">
    <w:nsid w:val="01567D9A"/>
    <w:multiLevelType w:val="singleLevel"/>
    <w:tmpl w:val="01567D9A"/>
    <w:lvl w:ilvl="0" w:tentative="0">
      <w:start w:val="1"/>
      <w:numFmt w:val="decimal"/>
      <w:lvlText w:val="%1."/>
      <w:lvlJc w:val="left"/>
      <w:pPr>
        <w:tabs>
          <w:tab w:val="left" w:pos="312"/>
        </w:tabs>
      </w:pPr>
    </w:lvl>
  </w:abstractNum>
  <w:abstractNum w:abstractNumId="4">
    <w:nsid w:val="04690D27"/>
    <w:multiLevelType w:val="singleLevel"/>
    <w:tmpl w:val="04690D27"/>
    <w:lvl w:ilvl="0" w:tentative="0">
      <w:start w:val="1"/>
      <w:numFmt w:val="decimal"/>
      <w:suff w:val="nothing"/>
      <w:lvlText w:val="%1、"/>
      <w:lvlJc w:val="left"/>
    </w:lvl>
  </w:abstractNum>
  <w:abstractNum w:abstractNumId="5">
    <w:nsid w:val="1AFC7BAF"/>
    <w:multiLevelType w:val="multilevel"/>
    <w:tmpl w:val="1AFC7BAF"/>
    <w:lvl w:ilvl="0" w:tentative="0">
      <w:start w:val="1"/>
      <w:numFmt w:val="decimal"/>
      <w:lvlText w:val="表 %1 "/>
      <w:lvlJc w:val="left"/>
      <w:pPr>
        <w:ind w:left="420" w:hanging="420"/>
      </w:pPr>
      <w:rPr>
        <w:rFonts w:hint="eastAsia"/>
        <w:b/>
        <w:lang w:val="en-U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
    <w:nsid w:val="47AB34A2"/>
    <w:multiLevelType w:val="multilevel"/>
    <w:tmpl w:val="47AB34A2"/>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486806FE"/>
    <w:multiLevelType w:val="multilevel"/>
    <w:tmpl w:val="486806FE"/>
    <w:lvl w:ilvl="0" w:tentative="0">
      <w:start w:val="1"/>
      <w:numFmt w:val="decimal"/>
      <w:lvlText w:val="%1."/>
      <w:lvlJc w:val="left"/>
      <w:pPr>
        <w:tabs>
          <w:tab w:val="left" w:pos="420"/>
        </w:tabs>
        <w:ind w:left="420" w:hanging="420"/>
      </w:pPr>
      <w:rPr>
        <w:color w:val="auto"/>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6100038B"/>
    <w:multiLevelType w:val="multilevel"/>
    <w:tmpl w:val="6100038B"/>
    <w:lvl w:ilvl="0" w:tentative="0">
      <w:start w:val="1"/>
      <w:numFmt w:val="decimal"/>
      <w:pStyle w:val="117"/>
      <w:lvlText w:val="表 %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9F76C17"/>
    <w:multiLevelType w:val="multilevel"/>
    <w:tmpl w:val="69F76C17"/>
    <w:lvl w:ilvl="0" w:tentative="0">
      <w:start w:val="1"/>
      <w:numFmt w:val="chineseCountingThousand"/>
      <w:suff w:val="space"/>
      <w:lvlText w:val="第%1章"/>
      <w:lvlJc w:val="left"/>
      <w:pPr>
        <w:ind w:left="0" w:firstLine="0"/>
      </w:pPr>
      <w:rPr>
        <w:rFonts w:hint="eastAsia" w:ascii="隶书" w:eastAsia="隶书"/>
        <w:b/>
        <w:i w:val="0"/>
        <w:outline w:val="0"/>
        <w:shadow/>
        <w:emboss w:val="0"/>
        <w:imprint w:val="0"/>
        <w:sz w:val="36"/>
      </w:rPr>
    </w:lvl>
    <w:lvl w:ilvl="1" w:tentative="0">
      <w:start w:val="1"/>
      <w:numFmt w:val="chineseCountingThousand"/>
      <w:suff w:val="nothing"/>
      <w:lvlText w:val="%2."/>
      <w:lvlJc w:val="left"/>
      <w:pPr>
        <w:ind w:left="425" w:hanging="425"/>
      </w:pPr>
      <w:rPr>
        <w:rFonts w:hint="eastAsia"/>
      </w:rPr>
    </w:lvl>
    <w:lvl w:ilvl="2" w:tentative="0">
      <w:start w:val="1"/>
      <w:numFmt w:val="chineseCountingThousand"/>
      <w:suff w:val="nothing"/>
      <w:lvlText w:val="(%3)."/>
      <w:lvlJc w:val="left"/>
      <w:pPr>
        <w:ind w:left="0" w:firstLine="0"/>
      </w:pPr>
      <w:rPr>
        <w:rFonts w:hint="eastAsia" w:ascii="楷体_GB2312" w:eastAsia="楷体_GB2312"/>
      </w:rPr>
    </w:lvl>
    <w:lvl w:ilvl="3" w:tentative="0">
      <w:start w:val="1"/>
      <w:numFmt w:val="decimal"/>
      <w:pStyle w:val="17"/>
      <w:suff w:val="nothing"/>
      <w:lvlText w:val="%4."/>
      <w:lvlJc w:val="left"/>
      <w:pPr>
        <w:ind w:left="0" w:firstLine="0"/>
      </w:pPr>
      <w:rPr>
        <w:rFonts w:hint="eastAsia" w:ascii="宋体" w:eastAsia="宋体"/>
      </w:rPr>
    </w:lvl>
    <w:lvl w:ilvl="4" w:tentative="0">
      <w:start w:val="1"/>
      <w:numFmt w:val="decimal"/>
      <w:pStyle w:val="18"/>
      <w:suff w:val="nothing"/>
      <w:lvlText w:val="(%5)."/>
      <w:lvlJc w:val="left"/>
      <w:pPr>
        <w:ind w:left="0" w:firstLine="0"/>
      </w:pPr>
      <w:rPr>
        <w:rFonts w:hint="eastAsia" w:ascii="宋体" w:eastAsia="宋体"/>
      </w:rPr>
    </w:lvl>
    <w:lvl w:ilvl="5" w:tentative="0">
      <w:start w:val="1"/>
      <w:numFmt w:val="upperLetter"/>
      <w:pStyle w:val="20"/>
      <w:lvlText w:val="%6."/>
      <w:lvlJc w:val="left"/>
      <w:pPr>
        <w:tabs>
          <w:tab w:val="left" w:pos="0"/>
        </w:tabs>
        <w:ind w:left="0" w:firstLine="0"/>
      </w:pPr>
      <w:rPr>
        <w:rFonts w:hint="eastAsia" w:ascii="宋体" w:eastAsia="宋体"/>
      </w:rPr>
    </w:lvl>
    <w:lvl w:ilvl="6" w:tentative="0">
      <w:start w:val="1"/>
      <w:numFmt w:val="decimal"/>
      <w:pStyle w:val="21"/>
      <w:lvlText w:val="%7"/>
      <w:lvlJc w:val="left"/>
      <w:pPr>
        <w:tabs>
          <w:tab w:val="left" w:pos="0"/>
        </w:tabs>
        <w:ind w:left="0" w:firstLine="0"/>
      </w:pPr>
      <w:rPr>
        <w:rFonts w:hint="default" w:ascii="Times New Roman" w:hAnsi="Times New Roman"/>
      </w:rPr>
    </w:lvl>
    <w:lvl w:ilvl="7" w:tentative="0">
      <w:start w:val="1"/>
      <w:numFmt w:val="decimal"/>
      <w:pStyle w:val="22"/>
      <w:lvlText w:val="%8"/>
      <w:lvlJc w:val="left"/>
      <w:pPr>
        <w:tabs>
          <w:tab w:val="left" w:pos="0"/>
        </w:tabs>
        <w:ind w:left="0" w:firstLine="0"/>
      </w:pPr>
      <w:rPr>
        <w:rFonts w:hint="default" w:ascii="Times New Roman" w:hAnsi="Times New Roman"/>
      </w:rPr>
    </w:lvl>
    <w:lvl w:ilvl="8" w:tentative="0">
      <w:start w:val="1"/>
      <w:numFmt w:val="decimal"/>
      <w:pStyle w:val="23"/>
      <w:lvlText w:val="%9"/>
      <w:lvlJc w:val="left"/>
      <w:pPr>
        <w:tabs>
          <w:tab w:val="left" w:pos="0"/>
        </w:tabs>
        <w:ind w:left="0" w:firstLine="0"/>
      </w:pPr>
      <w:rPr>
        <w:rFonts w:hint="default" w:ascii="Times New Roman" w:hAnsi="Times New Roman"/>
      </w:rPr>
    </w:lvl>
  </w:abstractNum>
  <w:abstractNum w:abstractNumId="10">
    <w:nsid w:val="72F9ECC9"/>
    <w:multiLevelType w:val="singleLevel"/>
    <w:tmpl w:val="72F9ECC9"/>
    <w:lvl w:ilvl="0" w:tentative="0">
      <w:start w:val="1"/>
      <w:numFmt w:val="chineseCounting"/>
      <w:suff w:val="nothing"/>
      <w:lvlText w:val="%1、"/>
      <w:lvlJc w:val="left"/>
      <w:rPr>
        <w:rFonts w:hint="eastAsia"/>
      </w:rPr>
    </w:lvl>
  </w:abstractNum>
  <w:abstractNum w:abstractNumId="11">
    <w:nsid w:val="742505C2"/>
    <w:multiLevelType w:val="multilevel"/>
    <w:tmpl w:val="742505C2"/>
    <w:lvl w:ilvl="0" w:tentative="0">
      <w:start w:val="1"/>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9"/>
  </w:num>
  <w:num w:numId="2">
    <w:abstractNumId w:val="1"/>
  </w:num>
  <w:num w:numId="3">
    <w:abstractNumId w:val="8"/>
  </w:num>
  <w:num w:numId="4">
    <w:abstractNumId w:val="11"/>
  </w:num>
  <w:num w:numId="5">
    <w:abstractNumId w:val="5"/>
  </w:num>
  <w:num w:numId="6">
    <w:abstractNumId w:val="10"/>
  </w:num>
  <w:num w:numId="7">
    <w:abstractNumId w:val="4"/>
  </w:num>
  <w:num w:numId="8">
    <w:abstractNumId w:val="3"/>
  </w:num>
  <w:num w:numId="9">
    <w:abstractNumId w:val="7"/>
  </w:num>
  <w:num w:numId="10">
    <w:abstractNumId w:val="6"/>
  </w:num>
  <w:num w:numId="11">
    <w:abstractNumId w:val="2"/>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172A27"/>
    <w:rsid w:val="0000195F"/>
    <w:rsid w:val="000042AF"/>
    <w:rsid w:val="0000492E"/>
    <w:rsid w:val="000058C5"/>
    <w:rsid w:val="0000650E"/>
    <w:rsid w:val="00006513"/>
    <w:rsid w:val="00007E25"/>
    <w:rsid w:val="00010684"/>
    <w:rsid w:val="000108D7"/>
    <w:rsid w:val="000111F7"/>
    <w:rsid w:val="00011E59"/>
    <w:rsid w:val="00012105"/>
    <w:rsid w:val="00012968"/>
    <w:rsid w:val="0001361A"/>
    <w:rsid w:val="000136F3"/>
    <w:rsid w:val="00013FA1"/>
    <w:rsid w:val="000164D2"/>
    <w:rsid w:val="000173DA"/>
    <w:rsid w:val="000223F8"/>
    <w:rsid w:val="00025E6A"/>
    <w:rsid w:val="00026D6F"/>
    <w:rsid w:val="00030336"/>
    <w:rsid w:val="000304F6"/>
    <w:rsid w:val="000309F2"/>
    <w:rsid w:val="00031AD2"/>
    <w:rsid w:val="000340B6"/>
    <w:rsid w:val="00035BC0"/>
    <w:rsid w:val="00040106"/>
    <w:rsid w:val="00040582"/>
    <w:rsid w:val="00041E72"/>
    <w:rsid w:val="000427F3"/>
    <w:rsid w:val="00044113"/>
    <w:rsid w:val="00047128"/>
    <w:rsid w:val="00047EA3"/>
    <w:rsid w:val="00047EB1"/>
    <w:rsid w:val="0005037F"/>
    <w:rsid w:val="00051131"/>
    <w:rsid w:val="000547D6"/>
    <w:rsid w:val="0006002D"/>
    <w:rsid w:val="00060C98"/>
    <w:rsid w:val="00061774"/>
    <w:rsid w:val="00061BF3"/>
    <w:rsid w:val="00063A4C"/>
    <w:rsid w:val="00063E8A"/>
    <w:rsid w:val="00064DC0"/>
    <w:rsid w:val="00065735"/>
    <w:rsid w:val="000664A3"/>
    <w:rsid w:val="00066D98"/>
    <w:rsid w:val="00066ED0"/>
    <w:rsid w:val="000701C8"/>
    <w:rsid w:val="00070525"/>
    <w:rsid w:val="00071834"/>
    <w:rsid w:val="00072C66"/>
    <w:rsid w:val="000746B1"/>
    <w:rsid w:val="000753BF"/>
    <w:rsid w:val="0007605E"/>
    <w:rsid w:val="00076591"/>
    <w:rsid w:val="00080739"/>
    <w:rsid w:val="00081180"/>
    <w:rsid w:val="000830C9"/>
    <w:rsid w:val="00083543"/>
    <w:rsid w:val="000837D7"/>
    <w:rsid w:val="000846E0"/>
    <w:rsid w:val="00084D05"/>
    <w:rsid w:val="00086C38"/>
    <w:rsid w:val="00090D87"/>
    <w:rsid w:val="00092027"/>
    <w:rsid w:val="00092CC9"/>
    <w:rsid w:val="000947F0"/>
    <w:rsid w:val="00095643"/>
    <w:rsid w:val="00095DDF"/>
    <w:rsid w:val="00097D95"/>
    <w:rsid w:val="00097DDB"/>
    <w:rsid w:val="000A0015"/>
    <w:rsid w:val="000A0372"/>
    <w:rsid w:val="000A07CF"/>
    <w:rsid w:val="000A0FDA"/>
    <w:rsid w:val="000A1F04"/>
    <w:rsid w:val="000A2741"/>
    <w:rsid w:val="000A2B1D"/>
    <w:rsid w:val="000A2BC4"/>
    <w:rsid w:val="000A30EB"/>
    <w:rsid w:val="000A4481"/>
    <w:rsid w:val="000A44FD"/>
    <w:rsid w:val="000A56F2"/>
    <w:rsid w:val="000A5786"/>
    <w:rsid w:val="000A5CC1"/>
    <w:rsid w:val="000A6483"/>
    <w:rsid w:val="000A721D"/>
    <w:rsid w:val="000B2544"/>
    <w:rsid w:val="000B395F"/>
    <w:rsid w:val="000B475A"/>
    <w:rsid w:val="000B4F95"/>
    <w:rsid w:val="000B4FB5"/>
    <w:rsid w:val="000B5751"/>
    <w:rsid w:val="000B5BA7"/>
    <w:rsid w:val="000B5D3D"/>
    <w:rsid w:val="000C0519"/>
    <w:rsid w:val="000C06F4"/>
    <w:rsid w:val="000C1F36"/>
    <w:rsid w:val="000C251E"/>
    <w:rsid w:val="000C2892"/>
    <w:rsid w:val="000C2D25"/>
    <w:rsid w:val="000C2F48"/>
    <w:rsid w:val="000C2F9B"/>
    <w:rsid w:val="000C396D"/>
    <w:rsid w:val="000C7E73"/>
    <w:rsid w:val="000C7FF7"/>
    <w:rsid w:val="000D215E"/>
    <w:rsid w:val="000D23BE"/>
    <w:rsid w:val="000D3E52"/>
    <w:rsid w:val="000D538F"/>
    <w:rsid w:val="000D53DC"/>
    <w:rsid w:val="000D5984"/>
    <w:rsid w:val="000D6C43"/>
    <w:rsid w:val="000D7136"/>
    <w:rsid w:val="000E05DF"/>
    <w:rsid w:val="000E1E3B"/>
    <w:rsid w:val="000E22FA"/>
    <w:rsid w:val="000E3370"/>
    <w:rsid w:val="000E5900"/>
    <w:rsid w:val="000E5C81"/>
    <w:rsid w:val="000E67FD"/>
    <w:rsid w:val="000F0A25"/>
    <w:rsid w:val="000F1BDC"/>
    <w:rsid w:val="000F1DFE"/>
    <w:rsid w:val="000F1FD5"/>
    <w:rsid w:val="000F249A"/>
    <w:rsid w:val="000F2A07"/>
    <w:rsid w:val="000F2BEA"/>
    <w:rsid w:val="000F3FD3"/>
    <w:rsid w:val="000F493B"/>
    <w:rsid w:val="000F5CB8"/>
    <w:rsid w:val="000F6750"/>
    <w:rsid w:val="00100254"/>
    <w:rsid w:val="001011CB"/>
    <w:rsid w:val="0010178A"/>
    <w:rsid w:val="00101D81"/>
    <w:rsid w:val="001033CE"/>
    <w:rsid w:val="001036A9"/>
    <w:rsid w:val="00105A2C"/>
    <w:rsid w:val="00106949"/>
    <w:rsid w:val="00107214"/>
    <w:rsid w:val="001076E6"/>
    <w:rsid w:val="00107705"/>
    <w:rsid w:val="0010790B"/>
    <w:rsid w:val="0011018F"/>
    <w:rsid w:val="0011147C"/>
    <w:rsid w:val="00111E0F"/>
    <w:rsid w:val="00112514"/>
    <w:rsid w:val="00113455"/>
    <w:rsid w:val="001152F8"/>
    <w:rsid w:val="0011662C"/>
    <w:rsid w:val="00116C99"/>
    <w:rsid w:val="00120264"/>
    <w:rsid w:val="00122646"/>
    <w:rsid w:val="001239A7"/>
    <w:rsid w:val="00123D91"/>
    <w:rsid w:val="001254D4"/>
    <w:rsid w:val="00125BAD"/>
    <w:rsid w:val="00125FC5"/>
    <w:rsid w:val="0012603A"/>
    <w:rsid w:val="00126B52"/>
    <w:rsid w:val="00127235"/>
    <w:rsid w:val="0013210F"/>
    <w:rsid w:val="001328C2"/>
    <w:rsid w:val="001335AD"/>
    <w:rsid w:val="00133734"/>
    <w:rsid w:val="00134552"/>
    <w:rsid w:val="00134888"/>
    <w:rsid w:val="00134CBC"/>
    <w:rsid w:val="00135173"/>
    <w:rsid w:val="00135598"/>
    <w:rsid w:val="00135C5C"/>
    <w:rsid w:val="00136BB3"/>
    <w:rsid w:val="00136CC8"/>
    <w:rsid w:val="00140234"/>
    <w:rsid w:val="00141C0B"/>
    <w:rsid w:val="00142CF0"/>
    <w:rsid w:val="00142FD7"/>
    <w:rsid w:val="0014360B"/>
    <w:rsid w:val="00145021"/>
    <w:rsid w:val="001453FA"/>
    <w:rsid w:val="00145ED0"/>
    <w:rsid w:val="00146AD5"/>
    <w:rsid w:val="00146DB2"/>
    <w:rsid w:val="0014718A"/>
    <w:rsid w:val="0014781E"/>
    <w:rsid w:val="001478CF"/>
    <w:rsid w:val="00147FC0"/>
    <w:rsid w:val="00151BD0"/>
    <w:rsid w:val="00152AD8"/>
    <w:rsid w:val="00155BDA"/>
    <w:rsid w:val="00156B91"/>
    <w:rsid w:val="001572C8"/>
    <w:rsid w:val="00160025"/>
    <w:rsid w:val="00160D3D"/>
    <w:rsid w:val="00161EBA"/>
    <w:rsid w:val="00162985"/>
    <w:rsid w:val="001631CB"/>
    <w:rsid w:val="001633FF"/>
    <w:rsid w:val="00163565"/>
    <w:rsid w:val="00164423"/>
    <w:rsid w:val="001645E3"/>
    <w:rsid w:val="00165735"/>
    <w:rsid w:val="00165A36"/>
    <w:rsid w:val="00166DD4"/>
    <w:rsid w:val="00170789"/>
    <w:rsid w:val="00170C11"/>
    <w:rsid w:val="00171EB2"/>
    <w:rsid w:val="00171F57"/>
    <w:rsid w:val="00172635"/>
    <w:rsid w:val="00172A27"/>
    <w:rsid w:val="00173DB3"/>
    <w:rsid w:val="00182C86"/>
    <w:rsid w:val="00183007"/>
    <w:rsid w:val="0018426D"/>
    <w:rsid w:val="00184619"/>
    <w:rsid w:val="0019016A"/>
    <w:rsid w:val="00191852"/>
    <w:rsid w:val="00191FFB"/>
    <w:rsid w:val="00192A24"/>
    <w:rsid w:val="00193504"/>
    <w:rsid w:val="00194D1E"/>
    <w:rsid w:val="00195429"/>
    <w:rsid w:val="00195B1D"/>
    <w:rsid w:val="0019614F"/>
    <w:rsid w:val="00196662"/>
    <w:rsid w:val="00197126"/>
    <w:rsid w:val="00197920"/>
    <w:rsid w:val="00197DA0"/>
    <w:rsid w:val="00197E6A"/>
    <w:rsid w:val="001A13C3"/>
    <w:rsid w:val="001A2436"/>
    <w:rsid w:val="001A2CB9"/>
    <w:rsid w:val="001A3AC6"/>
    <w:rsid w:val="001A3EE5"/>
    <w:rsid w:val="001A6B92"/>
    <w:rsid w:val="001A782C"/>
    <w:rsid w:val="001B026D"/>
    <w:rsid w:val="001B0D8A"/>
    <w:rsid w:val="001B4136"/>
    <w:rsid w:val="001B417C"/>
    <w:rsid w:val="001B452E"/>
    <w:rsid w:val="001B613C"/>
    <w:rsid w:val="001B62FB"/>
    <w:rsid w:val="001B74F8"/>
    <w:rsid w:val="001C0764"/>
    <w:rsid w:val="001C0971"/>
    <w:rsid w:val="001C13C6"/>
    <w:rsid w:val="001C1B18"/>
    <w:rsid w:val="001C3A6C"/>
    <w:rsid w:val="001C5821"/>
    <w:rsid w:val="001C5C4A"/>
    <w:rsid w:val="001C62AF"/>
    <w:rsid w:val="001C6C2B"/>
    <w:rsid w:val="001D0370"/>
    <w:rsid w:val="001D13DB"/>
    <w:rsid w:val="001D1501"/>
    <w:rsid w:val="001D45FB"/>
    <w:rsid w:val="001D4BB6"/>
    <w:rsid w:val="001D5AF3"/>
    <w:rsid w:val="001D654C"/>
    <w:rsid w:val="001D69FA"/>
    <w:rsid w:val="001D7427"/>
    <w:rsid w:val="001E2121"/>
    <w:rsid w:val="001E4849"/>
    <w:rsid w:val="001F0DF6"/>
    <w:rsid w:val="001F1877"/>
    <w:rsid w:val="001F4702"/>
    <w:rsid w:val="001F4781"/>
    <w:rsid w:val="001F4A2F"/>
    <w:rsid w:val="001F6104"/>
    <w:rsid w:val="001F6769"/>
    <w:rsid w:val="001F7959"/>
    <w:rsid w:val="001F7C1E"/>
    <w:rsid w:val="0020053E"/>
    <w:rsid w:val="00202223"/>
    <w:rsid w:val="00202596"/>
    <w:rsid w:val="00204481"/>
    <w:rsid w:val="0020471F"/>
    <w:rsid w:val="00204837"/>
    <w:rsid w:val="00205433"/>
    <w:rsid w:val="00207D49"/>
    <w:rsid w:val="00207F22"/>
    <w:rsid w:val="00211430"/>
    <w:rsid w:val="00211B27"/>
    <w:rsid w:val="0021231B"/>
    <w:rsid w:val="0021292D"/>
    <w:rsid w:val="00214073"/>
    <w:rsid w:val="002164F3"/>
    <w:rsid w:val="002173A4"/>
    <w:rsid w:val="0021742E"/>
    <w:rsid w:val="002175FC"/>
    <w:rsid w:val="00217E4F"/>
    <w:rsid w:val="00220BA3"/>
    <w:rsid w:val="00221EA5"/>
    <w:rsid w:val="0022361B"/>
    <w:rsid w:val="002236A6"/>
    <w:rsid w:val="002238BB"/>
    <w:rsid w:val="0022459A"/>
    <w:rsid w:val="0022508D"/>
    <w:rsid w:val="002257C6"/>
    <w:rsid w:val="00225BD1"/>
    <w:rsid w:val="00225DD7"/>
    <w:rsid w:val="00226483"/>
    <w:rsid w:val="002264B5"/>
    <w:rsid w:val="002311D5"/>
    <w:rsid w:val="002316AF"/>
    <w:rsid w:val="00232B68"/>
    <w:rsid w:val="00233F1C"/>
    <w:rsid w:val="00237165"/>
    <w:rsid w:val="00237EE6"/>
    <w:rsid w:val="00237F86"/>
    <w:rsid w:val="00240111"/>
    <w:rsid w:val="00240165"/>
    <w:rsid w:val="00240692"/>
    <w:rsid w:val="00241DE0"/>
    <w:rsid w:val="00241DF4"/>
    <w:rsid w:val="00242F8A"/>
    <w:rsid w:val="00243367"/>
    <w:rsid w:val="00244457"/>
    <w:rsid w:val="00244CCA"/>
    <w:rsid w:val="00245579"/>
    <w:rsid w:val="0024649F"/>
    <w:rsid w:val="002479EC"/>
    <w:rsid w:val="00251090"/>
    <w:rsid w:val="002546E8"/>
    <w:rsid w:val="002560D0"/>
    <w:rsid w:val="0025714E"/>
    <w:rsid w:val="00260A50"/>
    <w:rsid w:val="00263A4C"/>
    <w:rsid w:val="00264847"/>
    <w:rsid w:val="00266195"/>
    <w:rsid w:val="0026657A"/>
    <w:rsid w:val="00266F9A"/>
    <w:rsid w:val="00267497"/>
    <w:rsid w:val="00267A52"/>
    <w:rsid w:val="00270A72"/>
    <w:rsid w:val="00271248"/>
    <w:rsid w:val="00271255"/>
    <w:rsid w:val="00271F2F"/>
    <w:rsid w:val="002737ED"/>
    <w:rsid w:val="00274723"/>
    <w:rsid w:val="00274D69"/>
    <w:rsid w:val="0027581D"/>
    <w:rsid w:val="002774D7"/>
    <w:rsid w:val="00277552"/>
    <w:rsid w:val="00282590"/>
    <w:rsid w:val="0028259F"/>
    <w:rsid w:val="0028460E"/>
    <w:rsid w:val="00284B15"/>
    <w:rsid w:val="00285188"/>
    <w:rsid w:val="00285BEC"/>
    <w:rsid w:val="00286A22"/>
    <w:rsid w:val="0029004A"/>
    <w:rsid w:val="00290258"/>
    <w:rsid w:val="002905BB"/>
    <w:rsid w:val="002905BF"/>
    <w:rsid w:val="00291308"/>
    <w:rsid w:val="00291E21"/>
    <w:rsid w:val="00292E3C"/>
    <w:rsid w:val="002963E7"/>
    <w:rsid w:val="002A02B8"/>
    <w:rsid w:val="002A330A"/>
    <w:rsid w:val="002A44A2"/>
    <w:rsid w:val="002A49F7"/>
    <w:rsid w:val="002A7513"/>
    <w:rsid w:val="002A78C0"/>
    <w:rsid w:val="002A7E34"/>
    <w:rsid w:val="002B0B7A"/>
    <w:rsid w:val="002B1222"/>
    <w:rsid w:val="002B20FA"/>
    <w:rsid w:val="002B2C46"/>
    <w:rsid w:val="002B3FA1"/>
    <w:rsid w:val="002B6009"/>
    <w:rsid w:val="002B62AC"/>
    <w:rsid w:val="002B7883"/>
    <w:rsid w:val="002C11B3"/>
    <w:rsid w:val="002C398D"/>
    <w:rsid w:val="002C4267"/>
    <w:rsid w:val="002C7F74"/>
    <w:rsid w:val="002D0DF0"/>
    <w:rsid w:val="002D0E25"/>
    <w:rsid w:val="002D1BE6"/>
    <w:rsid w:val="002D1E8A"/>
    <w:rsid w:val="002D2F9A"/>
    <w:rsid w:val="002D34E3"/>
    <w:rsid w:val="002D4528"/>
    <w:rsid w:val="002D51C0"/>
    <w:rsid w:val="002D5C99"/>
    <w:rsid w:val="002D63F9"/>
    <w:rsid w:val="002D666B"/>
    <w:rsid w:val="002D7082"/>
    <w:rsid w:val="002E0225"/>
    <w:rsid w:val="002E04E3"/>
    <w:rsid w:val="002E0855"/>
    <w:rsid w:val="002E174D"/>
    <w:rsid w:val="002E2336"/>
    <w:rsid w:val="002E2880"/>
    <w:rsid w:val="002E43D0"/>
    <w:rsid w:val="002E4634"/>
    <w:rsid w:val="002E4FA5"/>
    <w:rsid w:val="002E51A6"/>
    <w:rsid w:val="002E6684"/>
    <w:rsid w:val="002E73E8"/>
    <w:rsid w:val="002E78D4"/>
    <w:rsid w:val="002F0CD2"/>
    <w:rsid w:val="002F0EEB"/>
    <w:rsid w:val="002F28BC"/>
    <w:rsid w:val="002F3220"/>
    <w:rsid w:val="002F4771"/>
    <w:rsid w:val="002F51C1"/>
    <w:rsid w:val="002F54C1"/>
    <w:rsid w:val="002F74C0"/>
    <w:rsid w:val="00300DF3"/>
    <w:rsid w:val="0030307B"/>
    <w:rsid w:val="003035E9"/>
    <w:rsid w:val="00305075"/>
    <w:rsid w:val="00305B32"/>
    <w:rsid w:val="00307A1A"/>
    <w:rsid w:val="003102DD"/>
    <w:rsid w:val="00312CFF"/>
    <w:rsid w:val="0031333F"/>
    <w:rsid w:val="003133C8"/>
    <w:rsid w:val="00315229"/>
    <w:rsid w:val="00315558"/>
    <w:rsid w:val="00315C8E"/>
    <w:rsid w:val="0031629E"/>
    <w:rsid w:val="00323278"/>
    <w:rsid w:val="00323A30"/>
    <w:rsid w:val="003242CC"/>
    <w:rsid w:val="00324B43"/>
    <w:rsid w:val="003271F6"/>
    <w:rsid w:val="00327E99"/>
    <w:rsid w:val="003315B1"/>
    <w:rsid w:val="00332098"/>
    <w:rsid w:val="00332148"/>
    <w:rsid w:val="00337B4B"/>
    <w:rsid w:val="003405BC"/>
    <w:rsid w:val="003417D2"/>
    <w:rsid w:val="00342006"/>
    <w:rsid w:val="003422EA"/>
    <w:rsid w:val="00344E5D"/>
    <w:rsid w:val="003476B2"/>
    <w:rsid w:val="00350AD3"/>
    <w:rsid w:val="00351EB8"/>
    <w:rsid w:val="003529F3"/>
    <w:rsid w:val="00353589"/>
    <w:rsid w:val="003537F2"/>
    <w:rsid w:val="0035446D"/>
    <w:rsid w:val="00355021"/>
    <w:rsid w:val="00355D51"/>
    <w:rsid w:val="003560C6"/>
    <w:rsid w:val="003656FF"/>
    <w:rsid w:val="00365A5A"/>
    <w:rsid w:val="00366153"/>
    <w:rsid w:val="003661A8"/>
    <w:rsid w:val="00367189"/>
    <w:rsid w:val="00367B5E"/>
    <w:rsid w:val="00372F10"/>
    <w:rsid w:val="003736BB"/>
    <w:rsid w:val="003742E5"/>
    <w:rsid w:val="003743E6"/>
    <w:rsid w:val="00374B0C"/>
    <w:rsid w:val="0037563E"/>
    <w:rsid w:val="003768F2"/>
    <w:rsid w:val="003778E5"/>
    <w:rsid w:val="003809AC"/>
    <w:rsid w:val="00380C47"/>
    <w:rsid w:val="00381792"/>
    <w:rsid w:val="00384292"/>
    <w:rsid w:val="003854F7"/>
    <w:rsid w:val="00386926"/>
    <w:rsid w:val="0038740C"/>
    <w:rsid w:val="0038780F"/>
    <w:rsid w:val="003908A0"/>
    <w:rsid w:val="00391C17"/>
    <w:rsid w:val="003927D9"/>
    <w:rsid w:val="0039294A"/>
    <w:rsid w:val="00396082"/>
    <w:rsid w:val="00396CB4"/>
    <w:rsid w:val="00397FB3"/>
    <w:rsid w:val="003A0E77"/>
    <w:rsid w:val="003A2508"/>
    <w:rsid w:val="003A2C48"/>
    <w:rsid w:val="003A3075"/>
    <w:rsid w:val="003A32EB"/>
    <w:rsid w:val="003A3CE5"/>
    <w:rsid w:val="003A49CD"/>
    <w:rsid w:val="003A4F79"/>
    <w:rsid w:val="003A509C"/>
    <w:rsid w:val="003A60FB"/>
    <w:rsid w:val="003B1C5F"/>
    <w:rsid w:val="003B2555"/>
    <w:rsid w:val="003B2CFB"/>
    <w:rsid w:val="003B49F8"/>
    <w:rsid w:val="003B4C61"/>
    <w:rsid w:val="003B4FE7"/>
    <w:rsid w:val="003B52A4"/>
    <w:rsid w:val="003B563C"/>
    <w:rsid w:val="003B77F0"/>
    <w:rsid w:val="003C1EED"/>
    <w:rsid w:val="003C2347"/>
    <w:rsid w:val="003C32AA"/>
    <w:rsid w:val="003C41DF"/>
    <w:rsid w:val="003C4325"/>
    <w:rsid w:val="003C4861"/>
    <w:rsid w:val="003C4D32"/>
    <w:rsid w:val="003C52C1"/>
    <w:rsid w:val="003C54B1"/>
    <w:rsid w:val="003C79AD"/>
    <w:rsid w:val="003C7D94"/>
    <w:rsid w:val="003D038F"/>
    <w:rsid w:val="003D14F7"/>
    <w:rsid w:val="003D2132"/>
    <w:rsid w:val="003D37A5"/>
    <w:rsid w:val="003D4557"/>
    <w:rsid w:val="003D4C1D"/>
    <w:rsid w:val="003D57CA"/>
    <w:rsid w:val="003D63B0"/>
    <w:rsid w:val="003D6ECE"/>
    <w:rsid w:val="003D6FB2"/>
    <w:rsid w:val="003D7AB2"/>
    <w:rsid w:val="003E01DF"/>
    <w:rsid w:val="003E05F2"/>
    <w:rsid w:val="003E0BC1"/>
    <w:rsid w:val="003E1A1D"/>
    <w:rsid w:val="003E2DA1"/>
    <w:rsid w:val="003E38C1"/>
    <w:rsid w:val="003E426A"/>
    <w:rsid w:val="003E43DC"/>
    <w:rsid w:val="003E49E8"/>
    <w:rsid w:val="003E5BE1"/>
    <w:rsid w:val="003E6D79"/>
    <w:rsid w:val="003E750B"/>
    <w:rsid w:val="003E7576"/>
    <w:rsid w:val="003F1DBC"/>
    <w:rsid w:val="003F2659"/>
    <w:rsid w:val="003F2673"/>
    <w:rsid w:val="003F3CF3"/>
    <w:rsid w:val="003F6400"/>
    <w:rsid w:val="003F6D52"/>
    <w:rsid w:val="0040122F"/>
    <w:rsid w:val="0040170C"/>
    <w:rsid w:val="00401F73"/>
    <w:rsid w:val="00403DAE"/>
    <w:rsid w:val="004046D0"/>
    <w:rsid w:val="00405B8B"/>
    <w:rsid w:val="004060B7"/>
    <w:rsid w:val="00406600"/>
    <w:rsid w:val="004073C7"/>
    <w:rsid w:val="00407E48"/>
    <w:rsid w:val="0041025A"/>
    <w:rsid w:val="004132F1"/>
    <w:rsid w:val="00413437"/>
    <w:rsid w:val="004141A4"/>
    <w:rsid w:val="00415667"/>
    <w:rsid w:val="0041581B"/>
    <w:rsid w:val="0041584E"/>
    <w:rsid w:val="00415C14"/>
    <w:rsid w:val="004161C1"/>
    <w:rsid w:val="004165A9"/>
    <w:rsid w:val="00416822"/>
    <w:rsid w:val="00416E32"/>
    <w:rsid w:val="00417A7B"/>
    <w:rsid w:val="00420744"/>
    <w:rsid w:val="00420919"/>
    <w:rsid w:val="004210F7"/>
    <w:rsid w:val="00421E04"/>
    <w:rsid w:val="0042272A"/>
    <w:rsid w:val="00423042"/>
    <w:rsid w:val="00423059"/>
    <w:rsid w:val="00423181"/>
    <w:rsid w:val="0042530F"/>
    <w:rsid w:val="00426308"/>
    <w:rsid w:val="004265F6"/>
    <w:rsid w:val="00430A4D"/>
    <w:rsid w:val="00430E14"/>
    <w:rsid w:val="004310B0"/>
    <w:rsid w:val="00431287"/>
    <w:rsid w:val="0043273E"/>
    <w:rsid w:val="00433089"/>
    <w:rsid w:val="0043374F"/>
    <w:rsid w:val="00433CF7"/>
    <w:rsid w:val="00434BBE"/>
    <w:rsid w:val="00435E1F"/>
    <w:rsid w:val="004373D7"/>
    <w:rsid w:val="00440A73"/>
    <w:rsid w:val="00440CDB"/>
    <w:rsid w:val="0044161E"/>
    <w:rsid w:val="00443239"/>
    <w:rsid w:val="004434EC"/>
    <w:rsid w:val="0044440F"/>
    <w:rsid w:val="0044581E"/>
    <w:rsid w:val="00446A0A"/>
    <w:rsid w:val="00446C28"/>
    <w:rsid w:val="00450773"/>
    <w:rsid w:val="0045187D"/>
    <w:rsid w:val="0045384D"/>
    <w:rsid w:val="00454890"/>
    <w:rsid w:val="0045521D"/>
    <w:rsid w:val="0045610A"/>
    <w:rsid w:val="00457118"/>
    <w:rsid w:val="00457BBF"/>
    <w:rsid w:val="00460D80"/>
    <w:rsid w:val="00462549"/>
    <w:rsid w:val="00465696"/>
    <w:rsid w:val="00466143"/>
    <w:rsid w:val="0046631A"/>
    <w:rsid w:val="00467C1F"/>
    <w:rsid w:val="00470C29"/>
    <w:rsid w:val="004712CA"/>
    <w:rsid w:val="00471C7C"/>
    <w:rsid w:val="0047219E"/>
    <w:rsid w:val="004729E0"/>
    <w:rsid w:val="00472EA8"/>
    <w:rsid w:val="0047326E"/>
    <w:rsid w:val="00476CF6"/>
    <w:rsid w:val="00480635"/>
    <w:rsid w:val="00480CC2"/>
    <w:rsid w:val="00480DED"/>
    <w:rsid w:val="00481863"/>
    <w:rsid w:val="00482413"/>
    <w:rsid w:val="00482EB4"/>
    <w:rsid w:val="004832B6"/>
    <w:rsid w:val="00483751"/>
    <w:rsid w:val="0048375B"/>
    <w:rsid w:val="00483AC3"/>
    <w:rsid w:val="00484098"/>
    <w:rsid w:val="0048416C"/>
    <w:rsid w:val="00484555"/>
    <w:rsid w:val="00484D66"/>
    <w:rsid w:val="00486276"/>
    <w:rsid w:val="00487A0D"/>
    <w:rsid w:val="00487C48"/>
    <w:rsid w:val="00487F69"/>
    <w:rsid w:val="004913CC"/>
    <w:rsid w:val="00491987"/>
    <w:rsid w:val="00491A4F"/>
    <w:rsid w:val="00491B7D"/>
    <w:rsid w:val="00492455"/>
    <w:rsid w:val="004938AB"/>
    <w:rsid w:val="00494357"/>
    <w:rsid w:val="004946AC"/>
    <w:rsid w:val="00496580"/>
    <w:rsid w:val="004970B8"/>
    <w:rsid w:val="00497A18"/>
    <w:rsid w:val="004A0636"/>
    <w:rsid w:val="004A38BA"/>
    <w:rsid w:val="004A4821"/>
    <w:rsid w:val="004A4F40"/>
    <w:rsid w:val="004B093E"/>
    <w:rsid w:val="004B204F"/>
    <w:rsid w:val="004B2B5C"/>
    <w:rsid w:val="004B2DFF"/>
    <w:rsid w:val="004B3E40"/>
    <w:rsid w:val="004B3F13"/>
    <w:rsid w:val="004B4267"/>
    <w:rsid w:val="004B43B7"/>
    <w:rsid w:val="004B43BC"/>
    <w:rsid w:val="004B4AB4"/>
    <w:rsid w:val="004B4F1D"/>
    <w:rsid w:val="004B650B"/>
    <w:rsid w:val="004B724D"/>
    <w:rsid w:val="004B7AE3"/>
    <w:rsid w:val="004C072D"/>
    <w:rsid w:val="004C0B7D"/>
    <w:rsid w:val="004C0C15"/>
    <w:rsid w:val="004C0C64"/>
    <w:rsid w:val="004C2B2D"/>
    <w:rsid w:val="004C3A89"/>
    <w:rsid w:val="004C596E"/>
    <w:rsid w:val="004C6B1C"/>
    <w:rsid w:val="004C6B2C"/>
    <w:rsid w:val="004C6FE6"/>
    <w:rsid w:val="004C7FE7"/>
    <w:rsid w:val="004D03D9"/>
    <w:rsid w:val="004D12EC"/>
    <w:rsid w:val="004D18E7"/>
    <w:rsid w:val="004D1A7D"/>
    <w:rsid w:val="004D2DF2"/>
    <w:rsid w:val="004D49C5"/>
    <w:rsid w:val="004D4BC8"/>
    <w:rsid w:val="004D4C67"/>
    <w:rsid w:val="004D62EB"/>
    <w:rsid w:val="004D7201"/>
    <w:rsid w:val="004E1551"/>
    <w:rsid w:val="004E1E31"/>
    <w:rsid w:val="004E28C2"/>
    <w:rsid w:val="004E3212"/>
    <w:rsid w:val="004E4274"/>
    <w:rsid w:val="004E5F8B"/>
    <w:rsid w:val="004E60A3"/>
    <w:rsid w:val="004E793C"/>
    <w:rsid w:val="004F0521"/>
    <w:rsid w:val="004F05A9"/>
    <w:rsid w:val="004F076E"/>
    <w:rsid w:val="004F3308"/>
    <w:rsid w:val="004F50B5"/>
    <w:rsid w:val="004F5C68"/>
    <w:rsid w:val="004F6929"/>
    <w:rsid w:val="004F7FE5"/>
    <w:rsid w:val="005003F5"/>
    <w:rsid w:val="00500E85"/>
    <w:rsid w:val="005016D0"/>
    <w:rsid w:val="00501A5F"/>
    <w:rsid w:val="00502B73"/>
    <w:rsid w:val="00507947"/>
    <w:rsid w:val="00511E2F"/>
    <w:rsid w:val="00512246"/>
    <w:rsid w:val="00512D20"/>
    <w:rsid w:val="00513DE7"/>
    <w:rsid w:val="00516DE2"/>
    <w:rsid w:val="005171DD"/>
    <w:rsid w:val="0052008C"/>
    <w:rsid w:val="00520C65"/>
    <w:rsid w:val="00522699"/>
    <w:rsid w:val="00522C53"/>
    <w:rsid w:val="00524BDE"/>
    <w:rsid w:val="00524C26"/>
    <w:rsid w:val="0052687A"/>
    <w:rsid w:val="00527050"/>
    <w:rsid w:val="00530518"/>
    <w:rsid w:val="00531724"/>
    <w:rsid w:val="00533770"/>
    <w:rsid w:val="00534336"/>
    <w:rsid w:val="0053466D"/>
    <w:rsid w:val="005352B4"/>
    <w:rsid w:val="005367F8"/>
    <w:rsid w:val="0054096C"/>
    <w:rsid w:val="00540D25"/>
    <w:rsid w:val="0054150D"/>
    <w:rsid w:val="0054195B"/>
    <w:rsid w:val="00541B6F"/>
    <w:rsid w:val="005429DF"/>
    <w:rsid w:val="00542BA1"/>
    <w:rsid w:val="005444A6"/>
    <w:rsid w:val="005453CD"/>
    <w:rsid w:val="005463DF"/>
    <w:rsid w:val="00546BB3"/>
    <w:rsid w:val="00546D3D"/>
    <w:rsid w:val="005471F8"/>
    <w:rsid w:val="00547676"/>
    <w:rsid w:val="00550ABC"/>
    <w:rsid w:val="005520F8"/>
    <w:rsid w:val="00553EFE"/>
    <w:rsid w:val="005549C1"/>
    <w:rsid w:val="0055535C"/>
    <w:rsid w:val="005554BF"/>
    <w:rsid w:val="00555DE3"/>
    <w:rsid w:val="005566AD"/>
    <w:rsid w:val="005600C0"/>
    <w:rsid w:val="0056264D"/>
    <w:rsid w:val="00563160"/>
    <w:rsid w:val="00564D52"/>
    <w:rsid w:val="0056597A"/>
    <w:rsid w:val="00570367"/>
    <w:rsid w:val="00573455"/>
    <w:rsid w:val="00573FA7"/>
    <w:rsid w:val="00574AEF"/>
    <w:rsid w:val="005753A7"/>
    <w:rsid w:val="00575AA4"/>
    <w:rsid w:val="0057625D"/>
    <w:rsid w:val="00576A40"/>
    <w:rsid w:val="00580BC2"/>
    <w:rsid w:val="00580E58"/>
    <w:rsid w:val="0058110C"/>
    <w:rsid w:val="005817E5"/>
    <w:rsid w:val="00582EDC"/>
    <w:rsid w:val="00583F66"/>
    <w:rsid w:val="00584DBC"/>
    <w:rsid w:val="0058524A"/>
    <w:rsid w:val="005867F9"/>
    <w:rsid w:val="00586973"/>
    <w:rsid w:val="00586A82"/>
    <w:rsid w:val="00587036"/>
    <w:rsid w:val="00587300"/>
    <w:rsid w:val="00587E08"/>
    <w:rsid w:val="005909D7"/>
    <w:rsid w:val="00590B9C"/>
    <w:rsid w:val="00591329"/>
    <w:rsid w:val="00591456"/>
    <w:rsid w:val="00591ADE"/>
    <w:rsid w:val="00591BD8"/>
    <w:rsid w:val="0059207B"/>
    <w:rsid w:val="0059338A"/>
    <w:rsid w:val="00593F87"/>
    <w:rsid w:val="00594713"/>
    <w:rsid w:val="00594F15"/>
    <w:rsid w:val="0059501F"/>
    <w:rsid w:val="0059560C"/>
    <w:rsid w:val="0059590E"/>
    <w:rsid w:val="00595C65"/>
    <w:rsid w:val="00596831"/>
    <w:rsid w:val="00597626"/>
    <w:rsid w:val="005A07A6"/>
    <w:rsid w:val="005A13FA"/>
    <w:rsid w:val="005A187A"/>
    <w:rsid w:val="005A2B03"/>
    <w:rsid w:val="005A34F7"/>
    <w:rsid w:val="005A557E"/>
    <w:rsid w:val="005A68FC"/>
    <w:rsid w:val="005A7184"/>
    <w:rsid w:val="005A7CF6"/>
    <w:rsid w:val="005A7E78"/>
    <w:rsid w:val="005B1F92"/>
    <w:rsid w:val="005B41E4"/>
    <w:rsid w:val="005B4FCF"/>
    <w:rsid w:val="005B525F"/>
    <w:rsid w:val="005B6886"/>
    <w:rsid w:val="005C0A81"/>
    <w:rsid w:val="005C0B11"/>
    <w:rsid w:val="005C0DC7"/>
    <w:rsid w:val="005C224A"/>
    <w:rsid w:val="005C27AA"/>
    <w:rsid w:val="005C563C"/>
    <w:rsid w:val="005C58E8"/>
    <w:rsid w:val="005C5E4B"/>
    <w:rsid w:val="005C733B"/>
    <w:rsid w:val="005D14EC"/>
    <w:rsid w:val="005D1A62"/>
    <w:rsid w:val="005D1E8E"/>
    <w:rsid w:val="005D2D3A"/>
    <w:rsid w:val="005D3EF4"/>
    <w:rsid w:val="005D41EB"/>
    <w:rsid w:val="005D519F"/>
    <w:rsid w:val="005D64C4"/>
    <w:rsid w:val="005D6D73"/>
    <w:rsid w:val="005D7308"/>
    <w:rsid w:val="005E05E7"/>
    <w:rsid w:val="005E0F8D"/>
    <w:rsid w:val="005E254B"/>
    <w:rsid w:val="005E61AD"/>
    <w:rsid w:val="005E6B6B"/>
    <w:rsid w:val="005E7174"/>
    <w:rsid w:val="005E72C3"/>
    <w:rsid w:val="005E7D06"/>
    <w:rsid w:val="005F0A59"/>
    <w:rsid w:val="005F0ACB"/>
    <w:rsid w:val="005F0F47"/>
    <w:rsid w:val="005F10E3"/>
    <w:rsid w:val="005F1737"/>
    <w:rsid w:val="005F1767"/>
    <w:rsid w:val="005F2CD8"/>
    <w:rsid w:val="005F3B56"/>
    <w:rsid w:val="005F3DD0"/>
    <w:rsid w:val="005F4258"/>
    <w:rsid w:val="005F50F3"/>
    <w:rsid w:val="005F64E7"/>
    <w:rsid w:val="005F70C5"/>
    <w:rsid w:val="005F760F"/>
    <w:rsid w:val="005F7A8D"/>
    <w:rsid w:val="005F7CB7"/>
    <w:rsid w:val="00600699"/>
    <w:rsid w:val="006017BA"/>
    <w:rsid w:val="006032F6"/>
    <w:rsid w:val="00604FEE"/>
    <w:rsid w:val="006054CB"/>
    <w:rsid w:val="00605B0D"/>
    <w:rsid w:val="00605EA8"/>
    <w:rsid w:val="00606388"/>
    <w:rsid w:val="00606FA0"/>
    <w:rsid w:val="00606FFB"/>
    <w:rsid w:val="00607F87"/>
    <w:rsid w:val="00610A99"/>
    <w:rsid w:val="0061131D"/>
    <w:rsid w:val="0061153F"/>
    <w:rsid w:val="00615318"/>
    <w:rsid w:val="00615CE0"/>
    <w:rsid w:val="0061627E"/>
    <w:rsid w:val="00620F19"/>
    <w:rsid w:val="0062239D"/>
    <w:rsid w:val="006226C3"/>
    <w:rsid w:val="00622979"/>
    <w:rsid w:val="0062434B"/>
    <w:rsid w:val="006249FA"/>
    <w:rsid w:val="00625747"/>
    <w:rsid w:val="00625B3C"/>
    <w:rsid w:val="006261AF"/>
    <w:rsid w:val="00626434"/>
    <w:rsid w:val="00626D4F"/>
    <w:rsid w:val="00627AA1"/>
    <w:rsid w:val="00630CD4"/>
    <w:rsid w:val="0063416F"/>
    <w:rsid w:val="00634401"/>
    <w:rsid w:val="00635F72"/>
    <w:rsid w:val="00641432"/>
    <w:rsid w:val="00642959"/>
    <w:rsid w:val="006431C6"/>
    <w:rsid w:val="006434B8"/>
    <w:rsid w:val="00645040"/>
    <w:rsid w:val="0064698A"/>
    <w:rsid w:val="00646D0C"/>
    <w:rsid w:val="00647011"/>
    <w:rsid w:val="006509DD"/>
    <w:rsid w:val="00650B6D"/>
    <w:rsid w:val="00650F02"/>
    <w:rsid w:val="006517B6"/>
    <w:rsid w:val="006538CE"/>
    <w:rsid w:val="00654811"/>
    <w:rsid w:val="00654DC0"/>
    <w:rsid w:val="006558A7"/>
    <w:rsid w:val="00656159"/>
    <w:rsid w:val="006609C7"/>
    <w:rsid w:val="006610CE"/>
    <w:rsid w:val="006611C7"/>
    <w:rsid w:val="0066183B"/>
    <w:rsid w:val="006619F3"/>
    <w:rsid w:val="006638E8"/>
    <w:rsid w:val="00665671"/>
    <w:rsid w:val="00665784"/>
    <w:rsid w:val="006664A2"/>
    <w:rsid w:val="0066736A"/>
    <w:rsid w:val="00674EED"/>
    <w:rsid w:val="0067530A"/>
    <w:rsid w:val="00675856"/>
    <w:rsid w:val="006766DD"/>
    <w:rsid w:val="00677483"/>
    <w:rsid w:val="00677D89"/>
    <w:rsid w:val="00682458"/>
    <w:rsid w:val="00684360"/>
    <w:rsid w:val="006847A3"/>
    <w:rsid w:val="006906D1"/>
    <w:rsid w:val="00692387"/>
    <w:rsid w:val="006925A6"/>
    <w:rsid w:val="0069359C"/>
    <w:rsid w:val="00695454"/>
    <w:rsid w:val="0069623B"/>
    <w:rsid w:val="0069757A"/>
    <w:rsid w:val="006A0A41"/>
    <w:rsid w:val="006A1906"/>
    <w:rsid w:val="006A1B87"/>
    <w:rsid w:val="006A1D17"/>
    <w:rsid w:val="006A2016"/>
    <w:rsid w:val="006A228B"/>
    <w:rsid w:val="006A38A6"/>
    <w:rsid w:val="006A3918"/>
    <w:rsid w:val="006A46D0"/>
    <w:rsid w:val="006A4D51"/>
    <w:rsid w:val="006A5854"/>
    <w:rsid w:val="006A5EBB"/>
    <w:rsid w:val="006A6399"/>
    <w:rsid w:val="006A6834"/>
    <w:rsid w:val="006A6BB0"/>
    <w:rsid w:val="006B1088"/>
    <w:rsid w:val="006B2870"/>
    <w:rsid w:val="006B3432"/>
    <w:rsid w:val="006B383A"/>
    <w:rsid w:val="006B4101"/>
    <w:rsid w:val="006B5A1C"/>
    <w:rsid w:val="006B62EA"/>
    <w:rsid w:val="006B6BAA"/>
    <w:rsid w:val="006C1435"/>
    <w:rsid w:val="006C1631"/>
    <w:rsid w:val="006C1E1C"/>
    <w:rsid w:val="006C3198"/>
    <w:rsid w:val="006C3656"/>
    <w:rsid w:val="006C424D"/>
    <w:rsid w:val="006C4951"/>
    <w:rsid w:val="006C4B66"/>
    <w:rsid w:val="006C58C5"/>
    <w:rsid w:val="006C5C1B"/>
    <w:rsid w:val="006C69BA"/>
    <w:rsid w:val="006C7202"/>
    <w:rsid w:val="006C7B89"/>
    <w:rsid w:val="006D0921"/>
    <w:rsid w:val="006D0AB8"/>
    <w:rsid w:val="006D2796"/>
    <w:rsid w:val="006D36CF"/>
    <w:rsid w:val="006D3BE9"/>
    <w:rsid w:val="006D4C37"/>
    <w:rsid w:val="006D70E4"/>
    <w:rsid w:val="006E1EAB"/>
    <w:rsid w:val="006E3300"/>
    <w:rsid w:val="006E4E92"/>
    <w:rsid w:val="006E517B"/>
    <w:rsid w:val="006E6322"/>
    <w:rsid w:val="006E6C5B"/>
    <w:rsid w:val="006E74F2"/>
    <w:rsid w:val="006F053E"/>
    <w:rsid w:val="006F061E"/>
    <w:rsid w:val="006F13F0"/>
    <w:rsid w:val="006F1B97"/>
    <w:rsid w:val="006F1CAA"/>
    <w:rsid w:val="006F2EAE"/>
    <w:rsid w:val="006F499E"/>
    <w:rsid w:val="006F5612"/>
    <w:rsid w:val="007004B0"/>
    <w:rsid w:val="00701EBE"/>
    <w:rsid w:val="007036E4"/>
    <w:rsid w:val="00704571"/>
    <w:rsid w:val="00706EC5"/>
    <w:rsid w:val="00710AF9"/>
    <w:rsid w:val="00712801"/>
    <w:rsid w:val="00712E7F"/>
    <w:rsid w:val="0071463C"/>
    <w:rsid w:val="00716989"/>
    <w:rsid w:val="00717568"/>
    <w:rsid w:val="00717783"/>
    <w:rsid w:val="0071789A"/>
    <w:rsid w:val="00717ED9"/>
    <w:rsid w:val="00721F86"/>
    <w:rsid w:val="007226DF"/>
    <w:rsid w:val="00722A49"/>
    <w:rsid w:val="00725EB1"/>
    <w:rsid w:val="007279FA"/>
    <w:rsid w:val="00732078"/>
    <w:rsid w:val="0073215C"/>
    <w:rsid w:val="00732DD6"/>
    <w:rsid w:val="00733036"/>
    <w:rsid w:val="00734528"/>
    <w:rsid w:val="007350E6"/>
    <w:rsid w:val="0073545E"/>
    <w:rsid w:val="007356AC"/>
    <w:rsid w:val="00735710"/>
    <w:rsid w:val="0073647C"/>
    <w:rsid w:val="00737895"/>
    <w:rsid w:val="00740764"/>
    <w:rsid w:val="00740EC8"/>
    <w:rsid w:val="007414BD"/>
    <w:rsid w:val="0074182B"/>
    <w:rsid w:val="00742987"/>
    <w:rsid w:val="00742B29"/>
    <w:rsid w:val="007442AA"/>
    <w:rsid w:val="00745E7C"/>
    <w:rsid w:val="00747D04"/>
    <w:rsid w:val="007510F1"/>
    <w:rsid w:val="007522AA"/>
    <w:rsid w:val="00752DFB"/>
    <w:rsid w:val="00755420"/>
    <w:rsid w:val="00755981"/>
    <w:rsid w:val="00755EAA"/>
    <w:rsid w:val="00756298"/>
    <w:rsid w:val="007562B7"/>
    <w:rsid w:val="007602A5"/>
    <w:rsid w:val="00761EBE"/>
    <w:rsid w:val="00763036"/>
    <w:rsid w:val="00763433"/>
    <w:rsid w:val="00763A91"/>
    <w:rsid w:val="00770D12"/>
    <w:rsid w:val="007745B8"/>
    <w:rsid w:val="007759B1"/>
    <w:rsid w:val="007759F6"/>
    <w:rsid w:val="00775EC3"/>
    <w:rsid w:val="00776811"/>
    <w:rsid w:val="00782CB2"/>
    <w:rsid w:val="0078345A"/>
    <w:rsid w:val="0078379E"/>
    <w:rsid w:val="00784E55"/>
    <w:rsid w:val="00784E8B"/>
    <w:rsid w:val="0078636F"/>
    <w:rsid w:val="00786E33"/>
    <w:rsid w:val="00787800"/>
    <w:rsid w:val="007903FE"/>
    <w:rsid w:val="007923EA"/>
    <w:rsid w:val="0079269D"/>
    <w:rsid w:val="00792A7D"/>
    <w:rsid w:val="00793BC2"/>
    <w:rsid w:val="00793C52"/>
    <w:rsid w:val="007943D1"/>
    <w:rsid w:val="00795BAB"/>
    <w:rsid w:val="007A0BCC"/>
    <w:rsid w:val="007A2264"/>
    <w:rsid w:val="007A331E"/>
    <w:rsid w:val="007A33A4"/>
    <w:rsid w:val="007A353F"/>
    <w:rsid w:val="007A3D19"/>
    <w:rsid w:val="007A5114"/>
    <w:rsid w:val="007A552D"/>
    <w:rsid w:val="007A65B8"/>
    <w:rsid w:val="007A6DDF"/>
    <w:rsid w:val="007B2362"/>
    <w:rsid w:val="007B2E0E"/>
    <w:rsid w:val="007B4144"/>
    <w:rsid w:val="007B5125"/>
    <w:rsid w:val="007B77F0"/>
    <w:rsid w:val="007B7A0D"/>
    <w:rsid w:val="007C1BF8"/>
    <w:rsid w:val="007C1D33"/>
    <w:rsid w:val="007C1D53"/>
    <w:rsid w:val="007C33E0"/>
    <w:rsid w:val="007C350B"/>
    <w:rsid w:val="007C411D"/>
    <w:rsid w:val="007C4483"/>
    <w:rsid w:val="007C6113"/>
    <w:rsid w:val="007C63FC"/>
    <w:rsid w:val="007D0498"/>
    <w:rsid w:val="007D268F"/>
    <w:rsid w:val="007D3B36"/>
    <w:rsid w:val="007D4A60"/>
    <w:rsid w:val="007D5690"/>
    <w:rsid w:val="007D56B1"/>
    <w:rsid w:val="007D6FA6"/>
    <w:rsid w:val="007D7AB0"/>
    <w:rsid w:val="007E08C2"/>
    <w:rsid w:val="007E171B"/>
    <w:rsid w:val="007E1ED0"/>
    <w:rsid w:val="007E2B2B"/>
    <w:rsid w:val="007E456C"/>
    <w:rsid w:val="007E479D"/>
    <w:rsid w:val="007E6D25"/>
    <w:rsid w:val="007F0EC3"/>
    <w:rsid w:val="007F1B8E"/>
    <w:rsid w:val="007F21CE"/>
    <w:rsid w:val="007F2609"/>
    <w:rsid w:val="007F362F"/>
    <w:rsid w:val="007F6929"/>
    <w:rsid w:val="007F7D5E"/>
    <w:rsid w:val="00800BFE"/>
    <w:rsid w:val="00802441"/>
    <w:rsid w:val="0080288F"/>
    <w:rsid w:val="008039A4"/>
    <w:rsid w:val="008047E7"/>
    <w:rsid w:val="00804906"/>
    <w:rsid w:val="00805003"/>
    <w:rsid w:val="0080502D"/>
    <w:rsid w:val="00805372"/>
    <w:rsid w:val="008061F7"/>
    <w:rsid w:val="00806816"/>
    <w:rsid w:val="00806D08"/>
    <w:rsid w:val="00807DC8"/>
    <w:rsid w:val="0081234F"/>
    <w:rsid w:val="00815C25"/>
    <w:rsid w:val="008167EE"/>
    <w:rsid w:val="00821318"/>
    <w:rsid w:val="00822FF6"/>
    <w:rsid w:val="00823F07"/>
    <w:rsid w:val="008251AF"/>
    <w:rsid w:val="00825C63"/>
    <w:rsid w:val="008261FC"/>
    <w:rsid w:val="00826F69"/>
    <w:rsid w:val="00832597"/>
    <w:rsid w:val="0083269A"/>
    <w:rsid w:val="00832F41"/>
    <w:rsid w:val="00833ECD"/>
    <w:rsid w:val="00843315"/>
    <w:rsid w:val="0084333A"/>
    <w:rsid w:val="00843952"/>
    <w:rsid w:val="00843EF6"/>
    <w:rsid w:val="0084408E"/>
    <w:rsid w:val="00844549"/>
    <w:rsid w:val="008455EF"/>
    <w:rsid w:val="0084703D"/>
    <w:rsid w:val="008502D3"/>
    <w:rsid w:val="00850309"/>
    <w:rsid w:val="008505C8"/>
    <w:rsid w:val="00850FDF"/>
    <w:rsid w:val="008517A8"/>
    <w:rsid w:val="008529E1"/>
    <w:rsid w:val="008533D6"/>
    <w:rsid w:val="00854B55"/>
    <w:rsid w:val="008554BA"/>
    <w:rsid w:val="0085560C"/>
    <w:rsid w:val="008563E6"/>
    <w:rsid w:val="00857D53"/>
    <w:rsid w:val="00857E2A"/>
    <w:rsid w:val="00860737"/>
    <w:rsid w:val="00864EFA"/>
    <w:rsid w:val="008662A7"/>
    <w:rsid w:val="00867818"/>
    <w:rsid w:val="008708F4"/>
    <w:rsid w:val="00870986"/>
    <w:rsid w:val="008709CC"/>
    <w:rsid w:val="00871C33"/>
    <w:rsid w:val="00871E23"/>
    <w:rsid w:val="00874FE6"/>
    <w:rsid w:val="00875997"/>
    <w:rsid w:val="0087605B"/>
    <w:rsid w:val="00877069"/>
    <w:rsid w:val="00877070"/>
    <w:rsid w:val="00880019"/>
    <w:rsid w:val="00880C7F"/>
    <w:rsid w:val="00881236"/>
    <w:rsid w:val="008814FD"/>
    <w:rsid w:val="00882632"/>
    <w:rsid w:val="00882E3A"/>
    <w:rsid w:val="0088498C"/>
    <w:rsid w:val="00885344"/>
    <w:rsid w:val="00887868"/>
    <w:rsid w:val="008920CD"/>
    <w:rsid w:val="00892BE6"/>
    <w:rsid w:val="00892F29"/>
    <w:rsid w:val="008931CD"/>
    <w:rsid w:val="008935A1"/>
    <w:rsid w:val="00894901"/>
    <w:rsid w:val="00895EF9"/>
    <w:rsid w:val="008968F5"/>
    <w:rsid w:val="00896BC9"/>
    <w:rsid w:val="0089739F"/>
    <w:rsid w:val="008A05EF"/>
    <w:rsid w:val="008A0DCF"/>
    <w:rsid w:val="008A11DD"/>
    <w:rsid w:val="008A2672"/>
    <w:rsid w:val="008A313B"/>
    <w:rsid w:val="008A31C4"/>
    <w:rsid w:val="008A480A"/>
    <w:rsid w:val="008A5353"/>
    <w:rsid w:val="008A6B5E"/>
    <w:rsid w:val="008A771E"/>
    <w:rsid w:val="008B0149"/>
    <w:rsid w:val="008B12F6"/>
    <w:rsid w:val="008B3438"/>
    <w:rsid w:val="008B373D"/>
    <w:rsid w:val="008B427B"/>
    <w:rsid w:val="008B5D2F"/>
    <w:rsid w:val="008C17DF"/>
    <w:rsid w:val="008C3A8A"/>
    <w:rsid w:val="008C517D"/>
    <w:rsid w:val="008C6087"/>
    <w:rsid w:val="008D0980"/>
    <w:rsid w:val="008D0DDA"/>
    <w:rsid w:val="008D18D3"/>
    <w:rsid w:val="008D4D6C"/>
    <w:rsid w:val="008D5DF2"/>
    <w:rsid w:val="008D6356"/>
    <w:rsid w:val="008D7A56"/>
    <w:rsid w:val="008D7CBE"/>
    <w:rsid w:val="008E018D"/>
    <w:rsid w:val="008E02E1"/>
    <w:rsid w:val="008E1BDD"/>
    <w:rsid w:val="008E20B0"/>
    <w:rsid w:val="008E23FE"/>
    <w:rsid w:val="008E2B6D"/>
    <w:rsid w:val="008E34FA"/>
    <w:rsid w:val="008E3A56"/>
    <w:rsid w:val="008E504E"/>
    <w:rsid w:val="008E6307"/>
    <w:rsid w:val="008E6967"/>
    <w:rsid w:val="008E6DB8"/>
    <w:rsid w:val="008E7990"/>
    <w:rsid w:val="008F0112"/>
    <w:rsid w:val="008F03AE"/>
    <w:rsid w:val="008F09E6"/>
    <w:rsid w:val="008F162D"/>
    <w:rsid w:val="008F2AFA"/>
    <w:rsid w:val="008F2C85"/>
    <w:rsid w:val="008F3D85"/>
    <w:rsid w:val="008F4A5F"/>
    <w:rsid w:val="008F5A61"/>
    <w:rsid w:val="008F6238"/>
    <w:rsid w:val="008F69F9"/>
    <w:rsid w:val="008F7F28"/>
    <w:rsid w:val="0090256A"/>
    <w:rsid w:val="009032C9"/>
    <w:rsid w:val="009039C1"/>
    <w:rsid w:val="00904367"/>
    <w:rsid w:val="00905193"/>
    <w:rsid w:val="00906DED"/>
    <w:rsid w:val="00907AB6"/>
    <w:rsid w:val="0091068F"/>
    <w:rsid w:val="009120E7"/>
    <w:rsid w:val="00913364"/>
    <w:rsid w:val="00913370"/>
    <w:rsid w:val="0091419E"/>
    <w:rsid w:val="009141C1"/>
    <w:rsid w:val="00915B93"/>
    <w:rsid w:val="0091656C"/>
    <w:rsid w:val="009228E5"/>
    <w:rsid w:val="00922A49"/>
    <w:rsid w:val="0092388B"/>
    <w:rsid w:val="00924AC2"/>
    <w:rsid w:val="00924CF8"/>
    <w:rsid w:val="00924D15"/>
    <w:rsid w:val="00925C99"/>
    <w:rsid w:val="00926F06"/>
    <w:rsid w:val="00926FA0"/>
    <w:rsid w:val="0092767C"/>
    <w:rsid w:val="00930566"/>
    <w:rsid w:val="00930638"/>
    <w:rsid w:val="0093077F"/>
    <w:rsid w:val="0093127A"/>
    <w:rsid w:val="00932C70"/>
    <w:rsid w:val="00933095"/>
    <w:rsid w:val="00933298"/>
    <w:rsid w:val="0093341F"/>
    <w:rsid w:val="0093419A"/>
    <w:rsid w:val="00934B20"/>
    <w:rsid w:val="0093540C"/>
    <w:rsid w:val="00936456"/>
    <w:rsid w:val="00936B65"/>
    <w:rsid w:val="00936D7A"/>
    <w:rsid w:val="00936FC6"/>
    <w:rsid w:val="009412F6"/>
    <w:rsid w:val="00942150"/>
    <w:rsid w:val="0094283C"/>
    <w:rsid w:val="009433AB"/>
    <w:rsid w:val="00943B78"/>
    <w:rsid w:val="0094494E"/>
    <w:rsid w:val="00945911"/>
    <w:rsid w:val="00945C96"/>
    <w:rsid w:val="00945CEF"/>
    <w:rsid w:val="00945D98"/>
    <w:rsid w:val="0094704C"/>
    <w:rsid w:val="00947A8B"/>
    <w:rsid w:val="00947C41"/>
    <w:rsid w:val="00950F18"/>
    <w:rsid w:val="009517D4"/>
    <w:rsid w:val="00951920"/>
    <w:rsid w:val="00952E14"/>
    <w:rsid w:val="00953C4A"/>
    <w:rsid w:val="00953E84"/>
    <w:rsid w:val="00954AE0"/>
    <w:rsid w:val="009557C0"/>
    <w:rsid w:val="00955D82"/>
    <w:rsid w:val="00955FE0"/>
    <w:rsid w:val="0096059D"/>
    <w:rsid w:val="00960C86"/>
    <w:rsid w:val="00961317"/>
    <w:rsid w:val="009617D1"/>
    <w:rsid w:val="00962A4C"/>
    <w:rsid w:val="00963D4F"/>
    <w:rsid w:val="00965157"/>
    <w:rsid w:val="00965E61"/>
    <w:rsid w:val="00967806"/>
    <w:rsid w:val="0097086D"/>
    <w:rsid w:val="00971B91"/>
    <w:rsid w:val="009722C6"/>
    <w:rsid w:val="00972F1A"/>
    <w:rsid w:val="0097666E"/>
    <w:rsid w:val="00976CB5"/>
    <w:rsid w:val="00977227"/>
    <w:rsid w:val="00977AB7"/>
    <w:rsid w:val="0098193B"/>
    <w:rsid w:val="00982989"/>
    <w:rsid w:val="00982E18"/>
    <w:rsid w:val="009834F3"/>
    <w:rsid w:val="00983B2E"/>
    <w:rsid w:val="00983D9B"/>
    <w:rsid w:val="00986136"/>
    <w:rsid w:val="009864D8"/>
    <w:rsid w:val="0099092B"/>
    <w:rsid w:val="00990C5C"/>
    <w:rsid w:val="00991097"/>
    <w:rsid w:val="009910ED"/>
    <w:rsid w:val="009917B9"/>
    <w:rsid w:val="00991B5E"/>
    <w:rsid w:val="00994708"/>
    <w:rsid w:val="0099470A"/>
    <w:rsid w:val="00994B26"/>
    <w:rsid w:val="00996259"/>
    <w:rsid w:val="009974C0"/>
    <w:rsid w:val="00997507"/>
    <w:rsid w:val="009A02CB"/>
    <w:rsid w:val="009A03FE"/>
    <w:rsid w:val="009A055B"/>
    <w:rsid w:val="009A207E"/>
    <w:rsid w:val="009A274F"/>
    <w:rsid w:val="009A283F"/>
    <w:rsid w:val="009A4A3A"/>
    <w:rsid w:val="009A751E"/>
    <w:rsid w:val="009B2778"/>
    <w:rsid w:val="009B33F5"/>
    <w:rsid w:val="009B3603"/>
    <w:rsid w:val="009B3D2F"/>
    <w:rsid w:val="009B482C"/>
    <w:rsid w:val="009C0C90"/>
    <w:rsid w:val="009C1629"/>
    <w:rsid w:val="009C1EA1"/>
    <w:rsid w:val="009C29A2"/>
    <w:rsid w:val="009C2A62"/>
    <w:rsid w:val="009C4E14"/>
    <w:rsid w:val="009C4EC1"/>
    <w:rsid w:val="009C5AB2"/>
    <w:rsid w:val="009C5E82"/>
    <w:rsid w:val="009C69AD"/>
    <w:rsid w:val="009C7929"/>
    <w:rsid w:val="009C7D07"/>
    <w:rsid w:val="009D0F9B"/>
    <w:rsid w:val="009D1C76"/>
    <w:rsid w:val="009D1ECC"/>
    <w:rsid w:val="009D2EEC"/>
    <w:rsid w:val="009D42ED"/>
    <w:rsid w:val="009D5BAA"/>
    <w:rsid w:val="009D6223"/>
    <w:rsid w:val="009D70DF"/>
    <w:rsid w:val="009D7DA0"/>
    <w:rsid w:val="009E10AE"/>
    <w:rsid w:val="009E3FE5"/>
    <w:rsid w:val="009E4A17"/>
    <w:rsid w:val="009E79F9"/>
    <w:rsid w:val="009F00D5"/>
    <w:rsid w:val="009F06B7"/>
    <w:rsid w:val="009F113B"/>
    <w:rsid w:val="009F12A9"/>
    <w:rsid w:val="009F29B3"/>
    <w:rsid w:val="009F2B9A"/>
    <w:rsid w:val="009F3079"/>
    <w:rsid w:val="009F31CC"/>
    <w:rsid w:val="009F5B9A"/>
    <w:rsid w:val="009F64F9"/>
    <w:rsid w:val="009F689D"/>
    <w:rsid w:val="009F6975"/>
    <w:rsid w:val="009F6B33"/>
    <w:rsid w:val="00A001F7"/>
    <w:rsid w:val="00A01768"/>
    <w:rsid w:val="00A01FAC"/>
    <w:rsid w:val="00A0307B"/>
    <w:rsid w:val="00A03DFD"/>
    <w:rsid w:val="00A05F95"/>
    <w:rsid w:val="00A06676"/>
    <w:rsid w:val="00A070C2"/>
    <w:rsid w:val="00A07AAC"/>
    <w:rsid w:val="00A07F1D"/>
    <w:rsid w:val="00A10070"/>
    <w:rsid w:val="00A101B9"/>
    <w:rsid w:val="00A10500"/>
    <w:rsid w:val="00A115A5"/>
    <w:rsid w:val="00A13107"/>
    <w:rsid w:val="00A17133"/>
    <w:rsid w:val="00A17690"/>
    <w:rsid w:val="00A21224"/>
    <w:rsid w:val="00A21609"/>
    <w:rsid w:val="00A2180C"/>
    <w:rsid w:val="00A21E95"/>
    <w:rsid w:val="00A232A6"/>
    <w:rsid w:val="00A2593B"/>
    <w:rsid w:val="00A30524"/>
    <w:rsid w:val="00A30DE2"/>
    <w:rsid w:val="00A3212E"/>
    <w:rsid w:val="00A33834"/>
    <w:rsid w:val="00A3421E"/>
    <w:rsid w:val="00A34392"/>
    <w:rsid w:val="00A345C2"/>
    <w:rsid w:val="00A34835"/>
    <w:rsid w:val="00A4038B"/>
    <w:rsid w:val="00A4266F"/>
    <w:rsid w:val="00A42BE7"/>
    <w:rsid w:val="00A4391B"/>
    <w:rsid w:val="00A448C7"/>
    <w:rsid w:val="00A44ABD"/>
    <w:rsid w:val="00A4606C"/>
    <w:rsid w:val="00A467F7"/>
    <w:rsid w:val="00A46CA7"/>
    <w:rsid w:val="00A4734E"/>
    <w:rsid w:val="00A517E8"/>
    <w:rsid w:val="00A51C3B"/>
    <w:rsid w:val="00A52F8F"/>
    <w:rsid w:val="00A54842"/>
    <w:rsid w:val="00A54D6D"/>
    <w:rsid w:val="00A5637A"/>
    <w:rsid w:val="00A61551"/>
    <w:rsid w:val="00A6162E"/>
    <w:rsid w:val="00A61FC0"/>
    <w:rsid w:val="00A62B00"/>
    <w:rsid w:val="00A6621D"/>
    <w:rsid w:val="00A677E9"/>
    <w:rsid w:val="00A710BD"/>
    <w:rsid w:val="00A71496"/>
    <w:rsid w:val="00A72524"/>
    <w:rsid w:val="00A73F3A"/>
    <w:rsid w:val="00A75315"/>
    <w:rsid w:val="00A7619F"/>
    <w:rsid w:val="00A76A14"/>
    <w:rsid w:val="00A775AA"/>
    <w:rsid w:val="00A81239"/>
    <w:rsid w:val="00A84667"/>
    <w:rsid w:val="00A84966"/>
    <w:rsid w:val="00A84AF2"/>
    <w:rsid w:val="00A8521F"/>
    <w:rsid w:val="00A8653B"/>
    <w:rsid w:val="00A86D39"/>
    <w:rsid w:val="00A878A2"/>
    <w:rsid w:val="00A87DDB"/>
    <w:rsid w:val="00A94192"/>
    <w:rsid w:val="00A9610B"/>
    <w:rsid w:val="00AA1095"/>
    <w:rsid w:val="00AA1BF5"/>
    <w:rsid w:val="00AA2D5A"/>
    <w:rsid w:val="00AA31A9"/>
    <w:rsid w:val="00AA3B8F"/>
    <w:rsid w:val="00AA540E"/>
    <w:rsid w:val="00AA58C2"/>
    <w:rsid w:val="00AA71E4"/>
    <w:rsid w:val="00AA7F85"/>
    <w:rsid w:val="00AB115A"/>
    <w:rsid w:val="00AB28AD"/>
    <w:rsid w:val="00AB3957"/>
    <w:rsid w:val="00AB736B"/>
    <w:rsid w:val="00AB761E"/>
    <w:rsid w:val="00AC2A37"/>
    <w:rsid w:val="00AC2E56"/>
    <w:rsid w:val="00AC3338"/>
    <w:rsid w:val="00AC5180"/>
    <w:rsid w:val="00AC5835"/>
    <w:rsid w:val="00AC60A4"/>
    <w:rsid w:val="00AC70BA"/>
    <w:rsid w:val="00AC70DA"/>
    <w:rsid w:val="00AC7AA8"/>
    <w:rsid w:val="00AD1531"/>
    <w:rsid w:val="00AD19BA"/>
    <w:rsid w:val="00AD2A71"/>
    <w:rsid w:val="00AD2B91"/>
    <w:rsid w:val="00AD2EFE"/>
    <w:rsid w:val="00AD37DD"/>
    <w:rsid w:val="00AD6A10"/>
    <w:rsid w:val="00AE0151"/>
    <w:rsid w:val="00AE0682"/>
    <w:rsid w:val="00AE0861"/>
    <w:rsid w:val="00AE0C28"/>
    <w:rsid w:val="00AE1CAF"/>
    <w:rsid w:val="00AE3E41"/>
    <w:rsid w:val="00AE43E7"/>
    <w:rsid w:val="00AE4531"/>
    <w:rsid w:val="00AE7720"/>
    <w:rsid w:val="00AE79CD"/>
    <w:rsid w:val="00AE7FF7"/>
    <w:rsid w:val="00AF02D6"/>
    <w:rsid w:val="00AF09A8"/>
    <w:rsid w:val="00AF3748"/>
    <w:rsid w:val="00AF3EC8"/>
    <w:rsid w:val="00AF45BB"/>
    <w:rsid w:val="00AF63E3"/>
    <w:rsid w:val="00B00E0F"/>
    <w:rsid w:val="00B03BF9"/>
    <w:rsid w:val="00B03E02"/>
    <w:rsid w:val="00B041D1"/>
    <w:rsid w:val="00B04BE0"/>
    <w:rsid w:val="00B05D42"/>
    <w:rsid w:val="00B07299"/>
    <w:rsid w:val="00B07759"/>
    <w:rsid w:val="00B10972"/>
    <w:rsid w:val="00B10C39"/>
    <w:rsid w:val="00B10D85"/>
    <w:rsid w:val="00B118C5"/>
    <w:rsid w:val="00B11DC2"/>
    <w:rsid w:val="00B13848"/>
    <w:rsid w:val="00B16283"/>
    <w:rsid w:val="00B173A4"/>
    <w:rsid w:val="00B204FC"/>
    <w:rsid w:val="00B22CAD"/>
    <w:rsid w:val="00B238DF"/>
    <w:rsid w:val="00B24087"/>
    <w:rsid w:val="00B243FE"/>
    <w:rsid w:val="00B251BA"/>
    <w:rsid w:val="00B25388"/>
    <w:rsid w:val="00B25CDF"/>
    <w:rsid w:val="00B2624F"/>
    <w:rsid w:val="00B26521"/>
    <w:rsid w:val="00B30934"/>
    <w:rsid w:val="00B351D1"/>
    <w:rsid w:val="00B355C3"/>
    <w:rsid w:val="00B35B6A"/>
    <w:rsid w:val="00B35BF9"/>
    <w:rsid w:val="00B4156F"/>
    <w:rsid w:val="00B421A4"/>
    <w:rsid w:val="00B431EA"/>
    <w:rsid w:val="00B43A86"/>
    <w:rsid w:val="00B44201"/>
    <w:rsid w:val="00B44FFA"/>
    <w:rsid w:val="00B47210"/>
    <w:rsid w:val="00B47666"/>
    <w:rsid w:val="00B5158F"/>
    <w:rsid w:val="00B52FC0"/>
    <w:rsid w:val="00B54FF7"/>
    <w:rsid w:val="00B5546D"/>
    <w:rsid w:val="00B5664B"/>
    <w:rsid w:val="00B56750"/>
    <w:rsid w:val="00B56DA3"/>
    <w:rsid w:val="00B5768F"/>
    <w:rsid w:val="00B60780"/>
    <w:rsid w:val="00B622CF"/>
    <w:rsid w:val="00B636F1"/>
    <w:rsid w:val="00B662F2"/>
    <w:rsid w:val="00B6759F"/>
    <w:rsid w:val="00B67CF8"/>
    <w:rsid w:val="00B707F4"/>
    <w:rsid w:val="00B707F9"/>
    <w:rsid w:val="00B718DF"/>
    <w:rsid w:val="00B71A51"/>
    <w:rsid w:val="00B71B84"/>
    <w:rsid w:val="00B77660"/>
    <w:rsid w:val="00B77736"/>
    <w:rsid w:val="00B77751"/>
    <w:rsid w:val="00B80B46"/>
    <w:rsid w:val="00B827AE"/>
    <w:rsid w:val="00B82AD0"/>
    <w:rsid w:val="00B82BA6"/>
    <w:rsid w:val="00B82C45"/>
    <w:rsid w:val="00B86ACA"/>
    <w:rsid w:val="00B87A02"/>
    <w:rsid w:val="00B90C4D"/>
    <w:rsid w:val="00B91399"/>
    <w:rsid w:val="00B93299"/>
    <w:rsid w:val="00B93FA9"/>
    <w:rsid w:val="00B96E18"/>
    <w:rsid w:val="00BA0DCE"/>
    <w:rsid w:val="00BA129E"/>
    <w:rsid w:val="00BA23A1"/>
    <w:rsid w:val="00BA2998"/>
    <w:rsid w:val="00BA389B"/>
    <w:rsid w:val="00BA721D"/>
    <w:rsid w:val="00BA73FD"/>
    <w:rsid w:val="00BA7790"/>
    <w:rsid w:val="00BB01AA"/>
    <w:rsid w:val="00BB1C95"/>
    <w:rsid w:val="00BB44A8"/>
    <w:rsid w:val="00BB4F6C"/>
    <w:rsid w:val="00BB5767"/>
    <w:rsid w:val="00BB6972"/>
    <w:rsid w:val="00BB6F35"/>
    <w:rsid w:val="00BB7039"/>
    <w:rsid w:val="00BB7A99"/>
    <w:rsid w:val="00BC0578"/>
    <w:rsid w:val="00BC4227"/>
    <w:rsid w:val="00BC4957"/>
    <w:rsid w:val="00BC4D68"/>
    <w:rsid w:val="00BC6A78"/>
    <w:rsid w:val="00BD031F"/>
    <w:rsid w:val="00BD0E5F"/>
    <w:rsid w:val="00BD1B09"/>
    <w:rsid w:val="00BD1E07"/>
    <w:rsid w:val="00BD247C"/>
    <w:rsid w:val="00BD3168"/>
    <w:rsid w:val="00BD36EB"/>
    <w:rsid w:val="00BD6074"/>
    <w:rsid w:val="00BD6E0A"/>
    <w:rsid w:val="00BD7E0F"/>
    <w:rsid w:val="00BE0259"/>
    <w:rsid w:val="00BE06CE"/>
    <w:rsid w:val="00BE191D"/>
    <w:rsid w:val="00BE2D16"/>
    <w:rsid w:val="00BE2E94"/>
    <w:rsid w:val="00BE30C3"/>
    <w:rsid w:val="00BE44E2"/>
    <w:rsid w:val="00BE4A32"/>
    <w:rsid w:val="00BE6327"/>
    <w:rsid w:val="00BE6462"/>
    <w:rsid w:val="00BE7555"/>
    <w:rsid w:val="00BE77B2"/>
    <w:rsid w:val="00BE7D59"/>
    <w:rsid w:val="00BF024E"/>
    <w:rsid w:val="00BF0563"/>
    <w:rsid w:val="00BF06B5"/>
    <w:rsid w:val="00BF08D1"/>
    <w:rsid w:val="00BF11E6"/>
    <w:rsid w:val="00BF2E1F"/>
    <w:rsid w:val="00BF2F08"/>
    <w:rsid w:val="00BF507A"/>
    <w:rsid w:val="00BF5A0F"/>
    <w:rsid w:val="00BF7444"/>
    <w:rsid w:val="00C015CE"/>
    <w:rsid w:val="00C02C92"/>
    <w:rsid w:val="00C048A3"/>
    <w:rsid w:val="00C0584D"/>
    <w:rsid w:val="00C07BAB"/>
    <w:rsid w:val="00C1336D"/>
    <w:rsid w:val="00C151F5"/>
    <w:rsid w:val="00C17301"/>
    <w:rsid w:val="00C2078C"/>
    <w:rsid w:val="00C212F6"/>
    <w:rsid w:val="00C21501"/>
    <w:rsid w:val="00C21F96"/>
    <w:rsid w:val="00C22AA2"/>
    <w:rsid w:val="00C22EB1"/>
    <w:rsid w:val="00C22FC7"/>
    <w:rsid w:val="00C2471F"/>
    <w:rsid w:val="00C26796"/>
    <w:rsid w:val="00C2701D"/>
    <w:rsid w:val="00C3068C"/>
    <w:rsid w:val="00C307DA"/>
    <w:rsid w:val="00C31245"/>
    <w:rsid w:val="00C32AF9"/>
    <w:rsid w:val="00C334BE"/>
    <w:rsid w:val="00C33B42"/>
    <w:rsid w:val="00C3425F"/>
    <w:rsid w:val="00C343EE"/>
    <w:rsid w:val="00C35092"/>
    <w:rsid w:val="00C350A7"/>
    <w:rsid w:val="00C35EDD"/>
    <w:rsid w:val="00C362BA"/>
    <w:rsid w:val="00C3738B"/>
    <w:rsid w:val="00C40682"/>
    <w:rsid w:val="00C40E6F"/>
    <w:rsid w:val="00C42772"/>
    <w:rsid w:val="00C42AFE"/>
    <w:rsid w:val="00C43B5D"/>
    <w:rsid w:val="00C443A4"/>
    <w:rsid w:val="00C45152"/>
    <w:rsid w:val="00C456FF"/>
    <w:rsid w:val="00C47207"/>
    <w:rsid w:val="00C51424"/>
    <w:rsid w:val="00C515D8"/>
    <w:rsid w:val="00C52C1C"/>
    <w:rsid w:val="00C5601D"/>
    <w:rsid w:val="00C56902"/>
    <w:rsid w:val="00C5769D"/>
    <w:rsid w:val="00C57A9C"/>
    <w:rsid w:val="00C57FF7"/>
    <w:rsid w:val="00C629F8"/>
    <w:rsid w:val="00C62FAA"/>
    <w:rsid w:val="00C63878"/>
    <w:rsid w:val="00C63AD0"/>
    <w:rsid w:val="00C656B7"/>
    <w:rsid w:val="00C65960"/>
    <w:rsid w:val="00C6606E"/>
    <w:rsid w:val="00C66647"/>
    <w:rsid w:val="00C67792"/>
    <w:rsid w:val="00C71B20"/>
    <w:rsid w:val="00C71C7E"/>
    <w:rsid w:val="00C71ED4"/>
    <w:rsid w:val="00C74D26"/>
    <w:rsid w:val="00C75739"/>
    <w:rsid w:val="00C77FDC"/>
    <w:rsid w:val="00C81050"/>
    <w:rsid w:val="00C82918"/>
    <w:rsid w:val="00C859CC"/>
    <w:rsid w:val="00C9009D"/>
    <w:rsid w:val="00C903C5"/>
    <w:rsid w:val="00C911F6"/>
    <w:rsid w:val="00C913D9"/>
    <w:rsid w:val="00C9188E"/>
    <w:rsid w:val="00C920AA"/>
    <w:rsid w:val="00C9266C"/>
    <w:rsid w:val="00C93093"/>
    <w:rsid w:val="00C939B6"/>
    <w:rsid w:val="00C94550"/>
    <w:rsid w:val="00C9552A"/>
    <w:rsid w:val="00C9645A"/>
    <w:rsid w:val="00C9766C"/>
    <w:rsid w:val="00C9768A"/>
    <w:rsid w:val="00CA0555"/>
    <w:rsid w:val="00CA08CB"/>
    <w:rsid w:val="00CA301E"/>
    <w:rsid w:val="00CA3585"/>
    <w:rsid w:val="00CA4205"/>
    <w:rsid w:val="00CA455E"/>
    <w:rsid w:val="00CB03A7"/>
    <w:rsid w:val="00CB1291"/>
    <w:rsid w:val="00CB4BC5"/>
    <w:rsid w:val="00CB5FFE"/>
    <w:rsid w:val="00CB6549"/>
    <w:rsid w:val="00CB6579"/>
    <w:rsid w:val="00CC0419"/>
    <w:rsid w:val="00CC177E"/>
    <w:rsid w:val="00CC27AB"/>
    <w:rsid w:val="00CC3A7B"/>
    <w:rsid w:val="00CC5285"/>
    <w:rsid w:val="00CC773C"/>
    <w:rsid w:val="00CC7A1C"/>
    <w:rsid w:val="00CD1863"/>
    <w:rsid w:val="00CD34E7"/>
    <w:rsid w:val="00CD4EE8"/>
    <w:rsid w:val="00CD62F5"/>
    <w:rsid w:val="00CD6E0B"/>
    <w:rsid w:val="00CD730D"/>
    <w:rsid w:val="00CD7FBE"/>
    <w:rsid w:val="00CE11D1"/>
    <w:rsid w:val="00CE16AA"/>
    <w:rsid w:val="00CE2876"/>
    <w:rsid w:val="00CE3EB0"/>
    <w:rsid w:val="00CE55F5"/>
    <w:rsid w:val="00CE78B1"/>
    <w:rsid w:val="00CE7B1E"/>
    <w:rsid w:val="00CF0FBB"/>
    <w:rsid w:val="00CF283B"/>
    <w:rsid w:val="00CF32C3"/>
    <w:rsid w:val="00CF3ED9"/>
    <w:rsid w:val="00CF404F"/>
    <w:rsid w:val="00CF448B"/>
    <w:rsid w:val="00CF53C9"/>
    <w:rsid w:val="00CF5D73"/>
    <w:rsid w:val="00CF612F"/>
    <w:rsid w:val="00CF6462"/>
    <w:rsid w:val="00CF6BA4"/>
    <w:rsid w:val="00CF7329"/>
    <w:rsid w:val="00CF74D0"/>
    <w:rsid w:val="00CF7C9A"/>
    <w:rsid w:val="00CF7CEC"/>
    <w:rsid w:val="00D00ED7"/>
    <w:rsid w:val="00D0133D"/>
    <w:rsid w:val="00D027B4"/>
    <w:rsid w:val="00D028C2"/>
    <w:rsid w:val="00D0326A"/>
    <w:rsid w:val="00D03676"/>
    <w:rsid w:val="00D03AF8"/>
    <w:rsid w:val="00D0561B"/>
    <w:rsid w:val="00D05739"/>
    <w:rsid w:val="00D076C3"/>
    <w:rsid w:val="00D1066F"/>
    <w:rsid w:val="00D117EF"/>
    <w:rsid w:val="00D12E22"/>
    <w:rsid w:val="00D14161"/>
    <w:rsid w:val="00D168C1"/>
    <w:rsid w:val="00D16B82"/>
    <w:rsid w:val="00D1736E"/>
    <w:rsid w:val="00D2022C"/>
    <w:rsid w:val="00D221FC"/>
    <w:rsid w:val="00D22462"/>
    <w:rsid w:val="00D247DE"/>
    <w:rsid w:val="00D26014"/>
    <w:rsid w:val="00D304F9"/>
    <w:rsid w:val="00D30901"/>
    <w:rsid w:val="00D32374"/>
    <w:rsid w:val="00D32737"/>
    <w:rsid w:val="00D33633"/>
    <w:rsid w:val="00D41D58"/>
    <w:rsid w:val="00D42FC8"/>
    <w:rsid w:val="00D448CE"/>
    <w:rsid w:val="00D44926"/>
    <w:rsid w:val="00D4542B"/>
    <w:rsid w:val="00D46FA8"/>
    <w:rsid w:val="00D47264"/>
    <w:rsid w:val="00D50F21"/>
    <w:rsid w:val="00D51D1B"/>
    <w:rsid w:val="00D52AFE"/>
    <w:rsid w:val="00D531DC"/>
    <w:rsid w:val="00D53562"/>
    <w:rsid w:val="00D53782"/>
    <w:rsid w:val="00D54D7F"/>
    <w:rsid w:val="00D5514E"/>
    <w:rsid w:val="00D55E5D"/>
    <w:rsid w:val="00D60426"/>
    <w:rsid w:val="00D609EE"/>
    <w:rsid w:val="00D60FC5"/>
    <w:rsid w:val="00D6122D"/>
    <w:rsid w:val="00D62295"/>
    <w:rsid w:val="00D6249B"/>
    <w:rsid w:val="00D629F1"/>
    <w:rsid w:val="00D62D07"/>
    <w:rsid w:val="00D64140"/>
    <w:rsid w:val="00D6447D"/>
    <w:rsid w:val="00D64ADA"/>
    <w:rsid w:val="00D64CA3"/>
    <w:rsid w:val="00D658FD"/>
    <w:rsid w:val="00D65979"/>
    <w:rsid w:val="00D65C04"/>
    <w:rsid w:val="00D66FF3"/>
    <w:rsid w:val="00D67CEA"/>
    <w:rsid w:val="00D7140B"/>
    <w:rsid w:val="00D71698"/>
    <w:rsid w:val="00D71D4C"/>
    <w:rsid w:val="00D72019"/>
    <w:rsid w:val="00D7498A"/>
    <w:rsid w:val="00D75FE7"/>
    <w:rsid w:val="00D76AE3"/>
    <w:rsid w:val="00D77E37"/>
    <w:rsid w:val="00D80C86"/>
    <w:rsid w:val="00D816A3"/>
    <w:rsid w:val="00D82151"/>
    <w:rsid w:val="00D83501"/>
    <w:rsid w:val="00D83C6D"/>
    <w:rsid w:val="00D856A7"/>
    <w:rsid w:val="00D856D4"/>
    <w:rsid w:val="00D87226"/>
    <w:rsid w:val="00D87A94"/>
    <w:rsid w:val="00D87DE9"/>
    <w:rsid w:val="00D92AEA"/>
    <w:rsid w:val="00D941A2"/>
    <w:rsid w:val="00D95FC9"/>
    <w:rsid w:val="00D965F8"/>
    <w:rsid w:val="00D972AE"/>
    <w:rsid w:val="00D973CB"/>
    <w:rsid w:val="00D97599"/>
    <w:rsid w:val="00DA03E0"/>
    <w:rsid w:val="00DA12E8"/>
    <w:rsid w:val="00DA1B41"/>
    <w:rsid w:val="00DA22DF"/>
    <w:rsid w:val="00DA2387"/>
    <w:rsid w:val="00DA3747"/>
    <w:rsid w:val="00DA3A60"/>
    <w:rsid w:val="00DA44EC"/>
    <w:rsid w:val="00DA45BC"/>
    <w:rsid w:val="00DA512D"/>
    <w:rsid w:val="00DA601D"/>
    <w:rsid w:val="00DB08CB"/>
    <w:rsid w:val="00DB2D08"/>
    <w:rsid w:val="00DB3C42"/>
    <w:rsid w:val="00DB4282"/>
    <w:rsid w:val="00DB4B17"/>
    <w:rsid w:val="00DB680B"/>
    <w:rsid w:val="00DB6856"/>
    <w:rsid w:val="00DB7802"/>
    <w:rsid w:val="00DB7CFB"/>
    <w:rsid w:val="00DC0DA3"/>
    <w:rsid w:val="00DC0E83"/>
    <w:rsid w:val="00DC2817"/>
    <w:rsid w:val="00DC2DF6"/>
    <w:rsid w:val="00DC4000"/>
    <w:rsid w:val="00DC58F3"/>
    <w:rsid w:val="00DC7F5B"/>
    <w:rsid w:val="00DD0DF6"/>
    <w:rsid w:val="00DD403A"/>
    <w:rsid w:val="00DD64A7"/>
    <w:rsid w:val="00DD67EB"/>
    <w:rsid w:val="00DD6D7B"/>
    <w:rsid w:val="00DD7288"/>
    <w:rsid w:val="00DD72BD"/>
    <w:rsid w:val="00DE13F4"/>
    <w:rsid w:val="00DE1C0F"/>
    <w:rsid w:val="00DE2137"/>
    <w:rsid w:val="00DE3416"/>
    <w:rsid w:val="00DE3D5A"/>
    <w:rsid w:val="00DE5D06"/>
    <w:rsid w:val="00DE5FE2"/>
    <w:rsid w:val="00DE6E46"/>
    <w:rsid w:val="00DE702C"/>
    <w:rsid w:val="00DE70F9"/>
    <w:rsid w:val="00DE73F7"/>
    <w:rsid w:val="00DF158B"/>
    <w:rsid w:val="00DF1881"/>
    <w:rsid w:val="00DF384F"/>
    <w:rsid w:val="00DF6A97"/>
    <w:rsid w:val="00DF6AB9"/>
    <w:rsid w:val="00DF7D5E"/>
    <w:rsid w:val="00DF7FEB"/>
    <w:rsid w:val="00E005D8"/>
    <w:rsid w:val="00E01D97"/>
    <w:rsid w:val="00E01DB8"/>
    <w:rsid w:val="00E01E2C"/>
    <w:rsid w:val="00E020E1"/>
    <w:rsid w:val="00E0245E"/>
    <w:rsid w:val="00E02A0B"/>
    <w:rsid w:val="00E03C2D"/>
    <w:rsid w:val="00E03CCA"/>
    <w:rsid w:val="00E0682F"/>
    <w:rsid w:val="00E06AFA"/>
    <w:rsid w:val="00E077BE"/>
    <w:rsid w:val="00E10A32"/>
    <w:rsid w:val="00E111C7"/>
    <w:rsid w:val="00E11664"/>
    <w:rsid w:val="00E11B7D"/>
    <w:rsid w:val="00E121CB"/>
    <w:rsid w:val="00E14568"/>
    <w:rsid w:val="00E15918"/>
    <w:rsid w:val="00E160A8"/>
    <w:rsid w:val="00E164E6"/>
    <w:rsid w:val="00E16F61"/>
    <w:rsid w:val="00E2055E"/>
    <w:rsid w:val="00E218C3"/>
    <w:rsid w:val="00E220BA"/>
    <w:rsid w:val="00E222BB"/>
    <w:rsid w:val="00E23A14"/>
    <w:rsid w:val="00E23CB5"/>
    <w:rsid w:val="00E244A8"/>
    <w:rsid w:val="00E24E0A"/>
    <w:rsid w:val="00E2546C"/>
    <w:rsid w:val="00E25471"/>
    <w:rsid w:val="00E303F6"/>
    <w:rsid w:val="00E31BCD"/>
    <w:rsid w:val="00E338F6"/>
    <w:rsid w:val="00E3398F"/>
    <w:rsid w:val="00E33C02"/>
    <w:rsid w:val="00E34CFB"/>
    <w:rsid w:val="00E362CD"/>
    <w:rsid w:val="00E3640B"/>
    <w:rsid w:val="00E45959"/>
    <w:rsid w:val="00E46BCA"/>
    <w:rsid w:val="00E5079A"/>
    <w:rsid w:val="00E50822"/>
    <w:rsid w:val="00E5118C"/>
    <w:rsid w:val="00E517D3"/>
    <w:rsid w:val="00E518A6"/>
    <w:rsid w:val="00E519EE"/>
    <w:rsid w:val="00E55002"/>
    <w:rsid w:val="00E557DC"/>
    <w:rsid w:val="00E561FC"/>
    <w:rsid w:val="00E56953"/>
    <w:rsid w:val="00E57C45"/>
    <w:rsid w:val="00E603F8"/>
    <w:rsid w:val="00E60622"/>
    <w:rsid w:val="00E62B75"/>
    <w:rsid w:val="00E63B28"/>
    <w:rsid w:val="00E63D63"/>
    <w:rsid w:val="00E63DB1"/>
    <w:rsid w:val="00E64A67"/>
    <w:rsid w:val="00E64F19"/>
    <w:rsid w:val="00E663D3"/>
    <w:rsid w:val="00E67828"/>
    <w:rsid w:val="00E7038C"/>
    <w:rsid w:val="00E715D5"/>
    <w:rsid w:val="00E71DA2"/>
    <w:rsid w:val="00E72480"/>
    <w:rsid w:val="00E724A2"/>
    <w:rsid w:val="00E72FC9"/>
    <w:rsid w:val="00E73466"/>
    <w:rsid w:val="00E73ED5"/>
    <w:rsid w:val="00E7511B"/>
    <w:rsid w:val="00E75EDD"/>
    <w:rsid w:val="00E7669D"/>
    <w:rsid w:val="00E767A5"/>
    <w:rsid w:val="00E772AF"/>
    <w:rsid w:val="00E778FE"/>
    <w:rsid w:val="00E8134A"/>
    <w:rsid w:val="00E824FA"/>
    <w:rsid w:val="00E84FC2"/>
    <w:rsid w:val="00E85A86"/>
    <w:rsid w:val="00E85E80"/>
    <w:rsid w:val="00E907E8"/>
    <w:rsid w:val="00E90BF2"/>
    <w:rsid w:val="00E91ECE"/>
    <w:rsid w:val="00E92361"/>
    <w:rsid w:val="00E923BC"/>
    <w:rsid w:val="00E92E53"/>
    <w:rsid w:val="00E947D4"/>
    <w:rsid w:val="00E94AF7"/>
    <w:rsid w:val="00E952EC"/>
    <w:rsid w:val="00E95B51"/>
    <w:rsid w:val="00E9679B"/>
    <w:rsid w:val="00EA2020"/>
    <w:rsid w:val="00EA2285"/>
    <w:rsid w:val="00EA2653"/>
    <w:rsid w:val="00EA3151"/>
    <w:rsid w:val="00EA3476"/>
    <w:rsid w:val="00EA3B13"/>
    <w:rsid w:val="00EA3D5C"/>
    <w:rsid w:val="00EA3EAB"/>
    <w:rsid w:val="00EA723B"/>
    <w:rsid w:val="00EB1026"/>
    <w:rsid w:val="00EB10DC"/>
    <w:rsid w:val="00EB11BD"/>
    <w:rsid w:val="00EB4B06"/>
    <w:rsid w:val="00EB5AA1"/>
    <w:rsid w:val="00EB5E4C"/>
    <w:rsid w:val="00EB66E8"/>
    <w:rsid w:val="00EB748C"/>
    <w:rsid w:val="00EC0592"/>
    <w:rsid w:val="00EC2849"/>
    <w:rsid w:val="00EC2B32"/>
    <w:rsid w:val="00EC3BB7"/>
    <w:rsid w:val="00EC45A9"/>
    <w:rsid w:val="00EC4911"/>
    <w:rsid w:val="00EC4A0F"/>
    <w:rsid w:val="00EC4A50"/>
    <w:rsid w:val="00EC4AAA"/>
    <w:rsid w:val="00EC63FD"/>
    <w:rsid w:val="00EC6E4C"/>
    <w:rsid w:val="00EC70E1"/>
    <w:rsid w:val="00EC7641"/>
    <w:rsid w:val="00ED0774"/>
    <w:rsid w:val="00ED143B"/>
    <w:rsid w:val="00ED21A1"/>
    <w:rsid w:val="00ED23AB"/>
    <w:rsid w:val="00ED2583"/>
    <w:rsid w:val="00ED2682"/>
    <w:rsid w:val="00ED2D2A"/>
    <w:rsid w:val="00ED6BCF"/>
    <w:rsid w:val="00ED732A"/>
    <w:rsid w:val="00EE1210"/>
    <w:rsid w:val="00EE1C3E"/>
    <w:rsid w:val="00EE2F20"/>
    <w:rsid w:val="00EE3660"/>
    <w:rsid w:val="00EE3880"/>
    <w:rsid w:val="00EE3A95"/>
    <w:rsid w:val="00EE3BB4"/>
    <w:rsid w:val="00EE62E9"/>
    <w:rsid w:val="00EE744C"/>
    <w:rsid w:val="00EE7925"/>
    <w:rsid w:val="00EF146B"/>
    <w:rsid w:val="00EF18A0"/>
    <w:rsid w:val="00EF1C65"/>
    <w:rsid w:val="00EF269A"/>
    <w:rsid w:val="00EF396F"/>
    <w:rsid w:val="00EF4F71"/>
    <w:rsid w:val="00EF5713"/>
    <w:rsid w:val="00EF5824"/>
    <w:rsid w:val="00F001B2"/>
    <w:rsid w:val="00F0028B"/>
    <w:rsid w:val="00F01973"/>
    <w:rsid w:val="00F02812"/>
    <w:rsid w:val="00F03464"/>
    <w:rsid w:val="00F04280"/>
    <w:rsid w:val="00F0628E"/>
    <w:rsid w:val="00F0716E"/>
    <w:rsid w:val="00F07A57"/>
    <w:rsid w:val="00F10D9E"/>
    <w:rsid w:val="00F11255"/>
    <w:rsid w:val="00F11416"/>
    <w:rsid w:val="00F11593"/>
    <w:rsid w:val="00F12658"/>
    <w:rsid w:val="00F14B38"/>
    <w:rsid w:val="00F179BF"/>
    <w:rsid w:val="00F17DEA"/>
    <w:rsid w:val="00F17E36"/>
    <w:rsid w:val="00F201DE"/>
    <w:rsid w:val="00F21855"/>
    <w:rsid w:val="00F231F6"/>
    <w:rsid w:val="00F245BF"/>
    <w:rsid w:val="00F25890"/>
    <w:rsid w:val="00F25947"/>
    <w:rsid w:val="00F25BD6"/>
    <w:rsid w:val="00F269C2"/>
    <w:rsid w:val="00F26B3F"/>
    <w:rsid w:val="00F27210"/>
    <w:rsid w:val="00F27360"/>
    <w:rsid w:val="00F27F80"/>
    <w:rsid w:val="00F345DF"/>
    <w:rsid w:val="00F355B4"/>
    <w:rsid w:val="00F37D01"/>
    <w:rsid w:val="00F418B5"/>
    <w:rsid w:val="00F4227B"/>
    <w:rsid w:val="00F42AB3"/>
    <w:rsid w:val="00F43629"/>
    <w:rsid w:val="00F4450C"/>
    <w:rsid w:val="00F4783D"/>
    <w:rsid w:val="00F50319"/>
    <w:rsid w:val="00F505DA"/>
    <w:rsid w:val="00F52423"/>
    <w:rsid w:val="00F53A6C"/>
    <w:rsid w:val="00F5408A"/>
    <w:rsid w:val="00F54742"/>
    <w:rsid w:val="00F55DA0"/>
    <w:rsid w:val="00F57AD9"/>
    <w:rsid w:val="00F60044"/>
    <w:rsid w:val="00F60B3E"/>
    <w:rsid w:val="00F629AB"/>
    <w:rsid w:val="00F629BB"/>
    <w:rsid w:val="00F631C2"/>
    <w:rsid w:val="00F642FD"/>
    <w:rsid w:val="00F64A5B"/>
    <w:rsid w:val="00F64B6E"/>
    <w:rsid w:val="00F65877"/>
    <w:rsid w:val="00F659D7"/>
    <w:rsid w:val="00F6718B"/>
    <w:rsid w:val="00F72675"/>
    <w:rsid w:val="00F729A9"/>
    <w:rsid w:val="00F75646"/>
    <w:rsid w:val="00F75962"/>
    <w:rsid w:val="00F75C87"/>
    <w:rsid w:val="00F76B18"/>
    <w:rsid w:val="00F772EA"/>
    <w:rsid w:val="00F82F1F"/>
    <w:rsid w:val="00F830DF"/>
    <w:rsid w:val="00F8320A"/>
    <w:rsid w:val="00F8344F"/>
    <w:rsid w:val="00F84117"/>
    <w:rsid w:val="00F85777"/>
    <w:rsid w:val="00F85ABA"/>
    <w:rsid w:val="00F86135"/>
    <w:rsid w:val="00F86515"/>
    <w:rsid w:val="00F872FA"/>
    <w:rsid w:val="00F90A94"/>
    <w:rsid w:val="00F91324"/>
    <w:rsid w:val="00F93804"/>
    <w:rsid w:val="00F93CD4"/>
    <w:rsid w:val="00F93F66"/>
    <w:rsid w:val="00F96068"/>
    <w:rsid w:val="00FA1869"/>
    <w:rsid w:val="00FA1DB6"/>
    <w:rsid w:val="00FA29CA"/>
    <w:rsid w:val="00FA38FA"/>
    <w:rsid w:val="00FA3BDC"/>
    <w:rsid w:val="00FA4BAF"/>
    <w:rsid w:val="00FA534A"/>
    <w:rsid w:val="00FA57AF"/>
    <w:rsid w:val="00FA58F8"/>
    <w:rsid w:val="00FA5D2A"/>
    <w:rsid w:val="00FA7D45"/>
    <w:rsid w:val="00FB0B78"/>
    <w:rsid w:val="00FB0BA9"/>
    <w:rsid w:val="00FB12EB"/>
    <w:rsid w:val="00FB15BB"/>
    <w:rsid w:val="00FB3C16"/>
    <w:rsid w:val="00FB45A1"/>
    <w:rsid w:val="00FB4A16"/>
    <w:rsid w:val="00FB565F"/>
    <w:rsid w:val="00FB787F"/>
    <w:rsid w:val="00FB7EF0"/>
    <w:rsid w:val="00FC353F"/>
    <w:rsid w:val="00FC3D87"/>
    <w:rsid w:val="00FC497B"/>
    <w:rsid w:val="00FC50E0"/>
    <w:rsid w:val="00FC590C"/>
    <w:rsid w:val="00FC5990"/>
    <w:rsid w:val="00FC5D32"/>
    <w:rsid w:val="00FC6551"/>
    <w:rsid w:val="00FC6D7D"/>
    <w:rsid w:val="00FC72C3"/>
    <w:rsid w:val="00FC7575"/>
    <w:rsid w:val="00FD0962"/>
    <w:rsid w:val="00FD1A5B"/>
    <w:rsid w:val="00FD1B70"/>
    <w:rsid w:val="00FD2C29"/>
    <w:rsid w:val="00FD2EB0"/>
    <w:rsid w:val="00FD3464"/>
    <w:rsid w:val="00FD3B96"/>
    <w:rsid w:val="00FD3ED6"/>
    <w:rsid w:val="00FD42EB"/>
    <w:rsid w:val="00FD50D6"/>
    <w:rsid w:val="00FD5314"/>
    <w:rsid w:val="00FD6BDB"/>
    <w:rsid w:val="00FE0F49"/>
    <w:rsid w:val="00FE11D0"/>
    <w:rsid w:val="00FE19B6"/>
    <w:rsid w:val="00FE19BD"/>
    <w:rsid w:val="00FE1E22"/>
    <w:rsid w:val="00FE21E5"/>
    <w:rsid w:val="00FE3F5B"/>
    <w:rsid w:val="00FE46F0"/>
    <w:rsid w:val="00FE5CB3"/>
    <w:rsid w:val="00FE6A7B"/>
    <w:rsid w:val="00FE7FD8"/>
    <w:rsid w:val="00FF13F3"/>
    <w:rsid w:val="00FF2B95"/>
    <w:rsid w:val="00FF2CEA"/>
    <w:rsid w:val="00FF31C7"/>
    <w:rsid w:val="00FF45AA"/>
    <w:rsid w:val="00FF556B"/>
    <w:rsid w:val="00FF5630"/>
    <w:rsid w:val="00FF61F4"/>
    <w:rsid w:val="00FF6E12"/>
    <w:rsid w:val="00FF7768"/>
    <w:rsid w:val="00FF7821"/>
    <w:rsid w:val="015C0ACF"/>
    <w:rsid w:val="016060DD"/>
    <w:rsid w:val="016D6F35"/>
    <w:rsid w:val="0173196C"/>
    <w:rsid w:val="017B3115"/>
    <w:rsid w:val="01892F00"/>
    <w:rsid w:val="018A78F6"/>
    <w:rsid w:val="018D6D79"/>
    <w:rsid w:val="01982318"/>
    <w:rsid w:val="01AD6FA7"/>
    <w:rsid w:val="01B7028F"/>
    <w:rsid w:val="01E62E6F"/>
    <w:rsid w:val="01EF635F"/>
    <w:rsid w:val="01F00011"/>
    <w:rsid w:val="02041342"/>
    <w:rsid w:val="021E7C4B"/>
    <w:rsid w:val="02307C0C"/>
    <w:rsid w:val="02407BD8"/>
    <w:rsid w:val="026F415C"/>
    <w:rsid w:val="02905C44"/>
    <w:rsid w:val="029D3BD3"/>
    <w:rsid w:val="02A37B27"/>
    <w:rsid w:val="02B76FA4"/>
    <w:rsid w:val="02B92E3B"/>
    <w:rsid w:val="03540A17"/>
    <w:rsid w:val="03904928"/>
    <w:rsid w:val="039773DB"/>
    <w:rsid w:val="03A325A6"/>
    <w:rsid w:val="03A355DD"/>
    <w:rsid w:val="03D013DD"/>
    <w:rsid w:val="03F63720"/>
    <w:rsid w:val="04022CEF"/>
    <w:rsid w:val="04151823"/>
    <w:rsid w:val="0419477B"/>
    <w:rsid w:val="0437074E"/>
    <w:rsid w:val="043F4A17"/>
    <w:rsid w:val="048C629A"/>
    <w:rsid w:val="049B5787"/>
    <w:rsid w:val="04AD089B"/>
    <w:rsid w:val="04C35D77"/>
    <w:rsid w:val="04FF1C0A"/>
    <w:rsid w:val="05355649"/>
    <w:rsid w:val="055039B3"/>
    <w:rsid w:val="05743B19"/>
    <w:rsid w:val="0575150B"/>
    <w:rsid w:val="05A27F50"/>
    <w:rsid w:val="05B93457"/>
    <w:rsid w:val="05CD53A8"/>
    <w:rsid w:val="05CE085A"/>
    <w:rsid w:val="05E5548A"/>
    <w:rsid w:val="0629251E"/>
    <w:rsid w:val="064C16E5"/>
    <w:rsid w:val="065E7EDF"/>
    <w:rsid w:val="06B27240"/>
    <w:rsid w:val="06B61B4D"/>
    <w:rsid w:val="06D917C3"/>
    <w:rsid w:val="06E11601"/>
    <w:rsid w:val="06E734DE"/>
    <w:rsid w:val="06FE210D"/>
    <w:rsid w:val="077334CF"/>
    <w:rsid w:val="07780132"/>
    <w:rsid w:val="07D71903"/>
    <w:rsid w:val="07EB4216"/>
    <w:rsid w:val="07FC6753"/>
    <w:rsid w:val="080248C8"/>
    <w:rsid w:val="082F4EEE"/>
    <w:rsid w:val="08700AFF"/>
    <w:rsid w:val="08785B57"/>
    <w:rsid w:val="089F44BB"/>
    <w:rsid w:val="08A7089A"/>
    <w:rsid w:val="08AB6266"/>
    <w:rsid w:val="08AC5770"/>
    <w:rsid w:val="08B12A98"/>
    <w:rsid w:val="08D74859"/>
    <w:rsid w:val="08E75088"/>
    <w:rsid w:val="090C26F4"/>
    <w:rsid w:val="09472D46"/>
    <w:rsid w:val="09582E23"/>
    <w:rsid w:val="09657EC7"/>
    <w:rsid w:val="09AA5B87"/>
    <w:rsid w:val="09C5103F"/>
    <w:rsid w:val="09D135DA"/>
    <w:rsid w:val="09DA4F33"/>
    <w:rsid w:val="09DA7323"/>
    <w:rsid w:val="09ED2E8D"/>
    <w:rsid w:val="09F236F6"/>
    <w:rsid w:val="0A41740D"/>
    <w:rsid w:val="0A5139E3"/>
    <w:rsid w:val="0A5F0410"/>
    <w:rsid w:val="0A6742BB"/>
    <w:rsid w:val="0A6C1912"/>
    <w:rsid w:val="0A79618A"/>
    <w:rsid w:val="0AB118CA"/>
    <w:rsid w:val="0AD02B2D"/>
    <w:rsid w:val="0AD76FDB"/>
    <w:rsid w:val="0AE73DD7"/>
    <w:rsid w:val="0AF52CFB"/>
    <w:rsid w:val="0AF65C7D"/>
    <w:rsid w:val="0B1D248A"/>
    <w:rsid w:val="0B321351"/>
    <w:rsid w:val="0B3F66A5"/>
    <w:rsid w:val="0B4916D9"/>
    <w:rsid w:val="0B69493A"/>
    <w:rsid w:val="0B7C7EF1"/>
    <w:rsid w:val="0B8A677D"/>
    <w:rsid w:val="0B8F1590"/>
    <w:rsid w:val="0BC80D31"/>
    <w:rsid w:val="0BDE28BB"/>
    <w:rsid w:val="0BE42BDC"/>
    <w:rsid w:val="0BEC5A42"/>
    <w:rsid w:val="0C296B71"/>
    <w:rsid w:val="0C5E14D3"/>
    <w:rsid w:val="0C807C0D"/>
    <w:rsid w:val="0C9354CB"/>
    <w:rsid w:val="0CDF2FA5"/>
    <w:rsid w:val="0D2D2633"/>
    <w:rsid w:val="0D371EEE"/>
    <w:rsid w:val="0D40665F"/>
    <w:rsid w:val="0D4863D6"/>
    <w:rsid w:val="0D512F5C"/>
    <w:rsid w:val="0D571527"/>
    <w:rsid w:val="0D620707"/>
    <w:rsid w:val="0D7913E9"/>
    <w:rsid w:val="0D8A4FF1"/>
    <w:rsid w:val="0DCE3934"/>
    <w:rsid w:val="0DD010B5"/>
    <w:rsid w:val="0DDA147E"/>
    <w:rsid w:val="0DDA2305"/>
    <w:rsid w:val="0DDC24FF"/>
    <w:rsid w:val="0DFA47AC"/>
    <w:rsid w:val="0E0A7181"/>
    <w:rsid w:val="0E11003F"/>
    <w:rsid w:val="0E25391D"/>
    <w:rsid w:val="0E26153E"/>
    <w:rsid w:val="0E4C5580"/>
    <w:rsid w:val="0E823661"/>
    <w:rsid w:val="0EC5252D"/>
    <w:rsid w:val="0EC816E2"/>
    <w:rsid w:val="0EF96756"/>
    <w:rsid w:val="0EFA5062"/>
    <w:rsid w:val="0F016BC1"/>
    <w:rsid w:val="0F03481E"/>
    <w:rsid w:val="0F171064"/>
    <w:rsid w:val="0F241A60"/>
    <w:rsid w:val="0F3C02E9"/>
    <w:rsid w:val="0F500FE2"/>
    <w:rsid w:val="0F857340"/>
    <w:rsid w:val="0F99112A"/>
    <w:rsid w:val="0FA770DF"/>
    <w:rsid w:val="0FD76C2F"/>
    <w:rsid w:val="0FF043EE"/>
    <w:rsid w:val="10262BB8"/>
    <w:rsid w:val="102D5E37"/>
    <w:rsid w:val="10326333"/>
    <w:rsid w:val="1042417B"/>
    <w:rsid w:val="105202FC"/>
    <w:rsid w:val="105C137B"/>
    <w:rsid w:val="106417C9"/>
    <w:rsid w:val="107816F9"/>
    <w:rsid w:val="10BE1159"/>
    <w:rsid w:val="10E4268C"/>
    <w:rsid w:val="10E67AEB"/>
    <w:rsid w:val="10F027CB"/>
    <w:rsid w:val="10FD4F0D"/>
    <w:rsid w:val="111A24D3"/>
    <w:rsid w:val="11420C6D"/>
    <w:rsid w:val="116B4A35"/>
    <w:rsid w:val="117A43C3"/>
    <w:rsid w:val="11A65CDB"/>
    <w:rsid w:val="11C5515D"/>
    <w:rsid w:val="11C75469"/>
    <w:rsid w:val="11C9012A"/>
    <w:rsid w:val="11FD22BF"/>
    <w:rsid w:val="120A2D3E"/>
    <w:rsid w:val="121E6EFC"/>
    <w:rsid w:val="12256EF2"/>
    <w:rsid w:val="12501F5E"/>
    <w:rsid w:val="12B30E58"/>
    <w:rsid w:val="12BC0941"/>
    <w:rsid w:val="12D15AB4"/>
    <w:rsid w:val="12ED47AD"/>
    <w:rsid w:val="12EF4E77"/>
    <w:rsid w:val="135A2DE7"/>
    <w:rsid w:val="139777B3"/>
    <w:rsid w:val="13AE7D1A"/>
    <w:rsid w:val="13E17788"/>
    <w:rsid w:val="13E71ADC"/>
    <w:rsid w:val="140B369C"/>
    <w:rsid w:val="140D6045"/>
    <w:rsid w:val="142F0413"/>
    <w:rsid w:val="143219B0"/>
    <w:rsid w:val="145C6C35"/>
    <w:rsid w:val="1461231A"/>
    <w:rsid w:val="14653FC0"/>
    <w:rsid w:val="147D313A"/>
    <w:rsid w:val="149B4528"/>
    <w:rsid w:val="14DD6969"/>
    <w:rsid w:val="14EF3983"/>
    <w:rsid w:val="14F4620E"/>
    <w:rsid w:val="14F5072E"/>
    <w:rsid w:val="1507198F"/>
    <w:rsid w:val="150F1713"/>
    <w:rsid w:val="151C52EE"/>
    <w:rsid w:val="15651089"/>
    <w:rsid w:val="15775939"/>
    <w:rsid w:val="15924119"/>
    <w:rsid w:val="159A773A"/>
    <w:rsid w:val="15B36C87"/>
    <w:rsid w:val="15CC0F96"/>
    <w:rsid w:val="15CD6913"/>
    <w:rsid w:val="15D8409A"/>
    <w:rsid w:val="15EE19B9"/>
    <w:rsid w:val="15EF7DAC"/>
    <w:rsid w:val="162C6CEF"/>
    <w:rsid w:val="162F75D3"/>
    <w:rsid w:val="1650234C"/>
    <w:rsid w:val="167C56FF"/>
    <w:rsid w:val="169167E9"/>
    <w:rsid w:val="16BD7FCD"/>
    <w:rsid w:val="16DE2927"/>
    <w:rsid w:val="16DF4B0D"/>
    <w:rsid w:val="16E53F45"/>
    <w:rsid w:val="16EC158C"/>
    <w:rsid w:val="17062153"/>
    <w:rsid w:val="17332844"/>
    <w:rsid w:val="1775491F"/>
    <w:rsid w:val="17AB652C"/>
    <w:rsid w:val="17BC1455"/>
    <w:rsid w:val="18036568"/>
    <w:rsid w:val="181C124D"/>
    <w:rsid w:val="18425A2B"/>
    <w:rsid w:val="18431F70"/>
    <w:rsid w:val="186C06C8"/>
    <w:rsid w:val="1897722E"/>
    <w:rsid w:val="18A573CA"/>
    <w:rsid w:val="18CD0317"/>
    <w:rsid w:val="18F37305"/>
    <w:rsid w:val="19050512"/>
    <w:rsid w:val="19053F53"/>
    <w:rsid w:val="19AC35E1"/>
    <w:rsid w:val="19B34851"/>
    <w:rsid w:val="19D8312D"/>
    <w:rsid w:val="19E50D6D"/>
    <w:rsid w:val="19E925F0"/>
    <w:rsid w:val="19F94000"/>
    <w:rsid w:val="1A024E18"/>
    <w:rsid w:val="1A0A2D83"/>
    <w:rsid w:val="1A15487B"/>
    <w:rsid w:val="1A7E417D"/>
    <w:rsid w:val="1AB3021A"/>
    <w:rsid w:val="1AD30361"/>
    <w:rsid w:val="1ADA2C62"/>
    <w:rsid w:val="1B420FBB"/>
    <w:rsid w:val="1B4324D7"/>
    <w:rsid w:val="1B471E9D"/>
    <w:rsid w:val="1B4F118F"/>
    <w:rsid w:val="1B56670E"/>
    <w:rsid w:val="1B5C544F"/>
    <w:rsid w:val="1B796EAC"/>
    <w:rsid w:val="1B9623EC"/>
    <w:rsid w:val="1B997832"/>
    <w:rsid w:val="1BA471CA"/>
    <w:rsid w:val="1BBD3EDB"/>
    <w:rsid w:val="1BC67474"/>
    <w:rsid w:val="1BC842C4"/>
    <w:rsid w:val="1BF143DC"/>
    <w:rsid w:val="1C142357"/>
    <w:rsid w:val="1C17713D"/>
    <w:rsid w:val="1C5D061F"/>
    <w:rsid w:val="1C7A2BAF"/>
    <w:rsid w:val="1C9009AA"/>
    <w:rsid w:val="1CB036F4"/>
    <w:rsid w:val="1CD556F7"/>
    <w:rsid w:val="1CF62B60"/>
    <w:rsid w:val="1D1C08D2"/>
    <w:rsid w:val="1D296391"/>
    <w:rsid w:val="1D2F7853"/>
    <w:rsid w:val="1D623FBB"/>
    <w:rsid w:val="1D736585"/>
    <w:rsid w:val="1D931CF2"/>
    <w:rsid w:val="1D936311"/>
    <w:rsid w:val="1D9559C8"/>
    <w:rsid w:val="1DAE4A41"/>
    <w:rsid w:val="1DC11D94"/>
    <w:rsid w:val="1DDA055E"/>
    <w:rsid w:val="1DFB2026"/>
    <w:rsid w:val="1E0326D9"/>
    <w:rsid w:val="1E122D0A"/>
    <w:rsid w:val="1E24659B"/>
    <w:rsid w:val="1E284295"/>
    <w:rsid w:val="1E4F1BD8"/>
    <w:rsid w:val="1E5D60D0"/>
    <w:rsid w:val="1E7362BA"/>
    <w:rsid w:val="1E91719E"/>
    <w:rsid w:val="1E9533C6"/>
    <w:rsid w:val="1EA63FF1"/>
    <w:rsid w:val="1EA84848"/>
    <w:rsid w:val="1F0621E0"/>
    <w:rsid w:val="1F092D23"/>
    <w:rsid w:val="1F3D74D7"/>
    <w:rsid w:val="1F6C1318"/>
    <w:rsid w:val="1F6E3E5F"/>
    <w:rsid w:val="1F832538"/>
    <w:rsid w:val="1FA16C50"/>
    <w:rsid w:val="1FDC1F31"/>
    <w:rsid w:val="1FF273C0"/>
    <w:rsid w:val="20095B8C"/>
    <w:rsid w:val="201E49DF"/>
    <w:rsid w:val="20243660"/>
    <w:rsid w:val="20A124AF"/>
    <w:rsid w:val="212B48A0"/>
    <w:rsid w:val="212E53D8"/>
    <w:rsid w:val="21446089"/>
    <w:rsid w:val="21626155"/>
    <w:rsid w:val="21683B91"/>
    <w:rsid w:val="217A489C"/>
    <w:rsid w:val="21940380"/>
    <w:rsid w:val="21E26326"/>
    <w:rsid w:val="21F36FAE"/>
    <w:rsid w:val="22004E40"/>
    <w:rsid w:val="2213458B"/>
    <w:rsid w:val="221610A4"/>
    <w:rsid w:val="22190BD0"/>
    <w:rsid w:val="22267F06"/>
    <w:rsid w:val="224D6F36"/>
    <w:rsid w:val="225E04D2"/>
    <w:rsid w:val="227346DC"/>
    <w:rsid w:val="227C44F2"/>
    <w:rsid w:val="22AD5318"/>
    <w:rsid w:val="22BA2CC6"/>
    <w:rsid w:val="22DC706C"/>
    <w:rsid w:val="22FA2023"/>
    <w:rsid w:val="238B306A"/>
    <w:rsid w:val="23982C7B"/>
    <w:rsid w:val="23B2473A"/>
    <w:rsid w:val="24046CEE"/>
    <w:rsid w:val="2438742F"/>
    <w:rsid w:val="2441121D"/>
    <w:rsid w:val="24C16634"/>
    <w:rsid w:val="24ED1B9B"/>
    <w:rsid w:val="251E3850"/>
    <w:rsid w:val="25483D8A"/>
    <w:rsid w:val="256B6B4E"/>
    <w:rsid w:val="2597578C"/>
    <w:rsid w:val="25BF4FF2"/>
    <w:rsid w:val="25DB0804"/>
    <w:rsid w:val="25F956A5"/>
    <w:rsid w:val="26151A28"/>
    <w:rsid w:val="265441C0"/>
    <w:rsid w:val="265F3B75"/>
    <w:rsid w:val="2697637A"/>
    <w:rsid w:val="26A11431"/>
    <w:rsid w:val="26AE14FC"/>
    <w:rsid w:val="26DE5287"/>
    <w:rsid w:val="26E365A5"/>
    <w:rsid w:val="26F7378F"/>
    <w:rsid w:val="26FD41B4"/>
    <w:rsid w:val="27047E50"/>
    <w:rsid w:val="27791648"/>
    <w:rsid w:val="27951D6D"/>
    <w:rsid w:val="27B8161B"/>
    <w:rsid w:val="27C93B94"/>
    <w:rsid w:val="27E24F1C"/>
    <w:rsid w:val="27FC3747"/>
    <w:rsid w:val="28052CDE"/>
    <w:rsid w:val="282D7202"/>
    <w:rsid w:val="28692FAF"/>
    <w:rsid w:val="286F16EC"/>
    <w:rsid w:val="287072B6"/>
    <w:rsid w:val="28836851"/>
    <w:rsid w:val="28DA12B6"/>
    <w:rsid w:val="28E86E73"/>
    <w:rsid w:val="28F7649E"/>
    <w:rsid w:val="28FD2343"/>
    <w:rsid w:val="29185F70"/>
    <w:rsid w:val="295A4069"/>
    <w:rsid w:val="295A4BC8"/>
    <w:rsid w:val="295B79FA"/>
    <w:rsid w:val="297A2E1C"/>
    <w:rsid w:val="29872350"/>
    <w:rsid w:val="29BA1AD8"/>
    <w:rsid w:val="29DE6066"/>
    <w:rsid w:val="29DF15EE"/>
    <w:rsid w:val="29F42CD9"/>
    <w:rsid w:val="2A060CD7"/>
    <w:rsid w:val="2A2E6BF7"/>
    <w:rsid w:val="2A3251EB"/>
    <w:rsid w:val="2A395BC9"/>
    <w:rsid w:val="2A966F32"/>
    <w:rsid w:val="2A976673"/>
    <w:rsid w:val="2AAA72A5"/>
    <w:rsid w:val="2AB822D5"/>
    <w:rsid w:val="2ABD0D0E"/>
    <w:rsid w:val="2AD040B5"/>
    <w:rsid w:val="2AD74711"/>
    <w:rsid w:val="2B0D70EB"/>
    <w:rsid w:val="2B3D3AB6"/>
    <w:rsid w:val="2B4273BA"/>
    <w:rsid w:val="2B7360B2"/>
    <w:rsid w:val="2B8671E4"/>
    <w:rsid w:val="2B937C81"/>
    <w:rsid w:val="2B9E1863"/>
    <w:rsid w:val="2BD43A77"/>
    <w:rsid w:val="2BED42A2"/>
    <w:rsid w:val="2C046C34"/>
    <w:rsid w:val="2C0A4C09"/>
    <w:rsid w:val="2C0F3FAE"/>
    <w:rsid w:val="2C3A0416"/>
    <w:rsid w:val="2C3F1843"/>
    <w:rsid w:val="2C5C73FB"/>
    <w:rsid w:val="2C5E54BF"/>
    <w:rsid w:val="2C6D167F"/>
    <w:rsid w:val="2C73410F"/>
    <w:rsid w:val="2C824A4E"/>
    <w:rsid w:val="2CA2510E"/>
    <w:rsid w:val="2CA33828"/>
    <w:rsid w:val="2CBE4F64"/>
    <w:rsid w:val="2CC73B2E"/>
    <w:rsid w:val="2CF92FE4"/>
    <w:rsid w:val="2D590E60"/>
    <w:rsid w:val="2D744FDE"/>
    <w:rsid w:val="2D8B41D3"/>
    <w:rsid w:val="2D9001B2"/>
    <w:rsid w:val="2D966409"/>
    <w:rsid w:val="2DAD0985"/>
    <w:rsid w:val="2DDA44FB"/>
    <w:rsid w:val="2E5C7491"/>
    <w:rsid w:val="2E6B2C5F"/>
    <w:rsid w:val="2E90645C"/>
    <w:rsid w:val="2E940AE8"/>
    <w:rsid w:val="2EA20BDE"/>
    <w:rsid w:val="2EA97AF0"/>
    <w:rsid w:val="2ED710B0"/>
    <w:rsid w:val="2F0C42DF"/>
    <w:rsid w:val="2F156FE7"/>
    <w:rsid w:val="2F185547"/>
    <w:rsid w:val="2F442D84"/>
    <w:rsid w:val="2F470C56"/>
    <w:rsid w:val="2F6B024A"/>
    <w:rsid w:val="2F6B38C2"/>
    <w:rsid w:val="2F7A15E1"/>
    <w:rsid w:val="2F7F14A9"/>
    <w:rsid w:val="2FB17C79"/>
    <w:rsid w:val="2FC92F77"/>
    <w:rsid w:val="2FD53960"/>
    <w:rsid w:val="2FD72811"/>
    <w:rsid w:val="2FEA66D8"/>
    <w:rsid w:val="2FF62BCE"/>
    <w:rsid w:val="30214A4D"/>
    <w:rsid w:val="302855EF"/>
    <w:rsid w:val="30390696"/>
    <w:rsid w:val="30485DCC"/>
    <w:rsid w:val="304F2C77"/>
    <w:rsid w:val="305529A5"/>
    <w:rsid w:val="307C229C"/>
    <w:rsid w:val="307F3D16"/>
    <w:rsid w:val="3089448B"/>
    <w:rsid w:val="309B366F"/>
    <w:rsid w:val="30A43AD3"/>
    <w:rsid w:val="30DC17A7"/>
    <w:rsid w:val="30DC5E7B"/>
    <w:rsid w:val="31287131"/>
    <w:rsid w:val="31334A52"/>
    <w:rsid w:val="313E0F8B"/>
    <w:rsid w:val="314C0824"/>
    <w:rsid w:val="314E09FD"/>
    <w:rsid w:val="315B0667"/>
    <w:rsid w:val="31913165"/>
    <w:rsid w:val="31994094"/>
    <w:rsid w:val="32116CCB"/>
    <w:rsid w:val="321423A8"/>
    <w:rsid w:val="327B5B17"/>
    <w:rsid w:val="32926141"/>
    <w:rsid w:val="32A3014C"/>
    <w:rsid w:val="32EB01B1"/>
    <w:rsid w:val="32F35894"/>
    <w:rsid w:val="32F405F3"/>
    <w:rsid w:val="33176363"/>
    <w:rsid w:val="33211627"/>
    <w:rsid w:val="335B74A3"/>
    <w:rsid w:val="338F4D0D"/>
    <w:rsid w:val="33A96E21"/>
    <w:rsid w:val="33D0774A"/>
    <w:rsid w:val="33DC182A"/>
    <w:rsid w:val="34545899"/>
    <w:rsid w:val="3482120A"/>
    <w:rsid w:val="34E06AE3"/>
    <w:rsid w:val="34E22982"/>
    <w:rsid w:val="34E92A39"/>
    <w:rsid w:val="34E93817"/>
    <w:rsid w:val="35043F1B"/>
    <w:rsid w:val="35085BC1"/>
    <w:rsid w:val="351F16EE"/>
    <w:rsid w:val="35337D74"/>
    <w:rsid w:val="3557084C"/>
    <w:rsid w:val="356155D1"/>
    <w:rsid w:val="35A66486"/>
    <w:rsid w:val="35E17B0A"/>
    <w:rsid w:val="35EE0FCF"/>
    <w:rsid w:val="35F22B44"/>
    <w:rsid w:val="361563E4"/>
    <w:rsid w:val="362C250B"/>
    <w:rsid w:val="36357210"/>
    <w:rsid w:val="36366DBF"/>
    <w:rsid w:val="364B7292"/>
    <w:rsid w:val="364F6EFA"/>
    <w:rsid w:val="36550704"/>
    <w:rsid w:val="365C7DA7"/>
    <w:rsid w:val="36943940"/>
    <w:rsid w:val="36A746D4"/>
    <w:rsid w:val="36B255EB"/>
    <w:rsid w:val="36BB3535"/>
    <w:rsid w:val="3705629A"/>
    <w:rsid w:val="3724296E"/>
    <w:rsid w:val="37251B4B"/>
    <w:rsid w:val="372A3D8F"/>
    <w:rsid w:val="375629A4"/>
    <w:rsid w:val="376162BC"/>
    <w:rsid w:val="377C5F07"/>
    <w:rsid w:val="378F7D30"/>
    <w:rsid w:val="37E72398"/>
    <w:rsid w:val="38137E92"/>
    <w:rsid w:val="38203D0E"/>
    <w:rsid w:val="38261523"/>
    <w:rsid w:val="386762ED"/>
    <w:rsid w:val="38790A51"/>
    <w:rsid w:val="39012AFD"/>
    <w:rsid w:val="39211FE8"/>
    <w:rsid w:val="394E317E"/>
    <w:rsid w:val="397879EF"/>
    <w:rsid w:val="39884026"/>
    <w:rsid w:val="39A6275A"/>
    <w:rsid w:val="39CE220B"/>
    <w:rsid w:val="39EE7BC8"/>
    <w:rsid w:val="39F83323"/>
    <w:rsid w:val="3A201E2C"/>
    <w:rsid w:val="3A3E66AE"/>
    <w:rsid w:val="3A403B43"/>
    <w:rsid w:val="3A4A2630"/>
    <w:rsid w:val="3A5131DF"/>
    <w:rsid w:val="3AC23538"/>
    <w:rsid w:val="3B037A9E"/>
    <w:rsid w:val="3B461910"/>
    <w:rsid w:val="3B8B106A"/>
    <w:rsid w:val="3B9C1785"/>
    <w:rsid w:val="3B9D7B76"/>
    <w:rsid w:val="3BAC2B91"/>
    <w:rsid w:val="3BB114AD"/>
    <w:rsid w:val="3BD31EBB"/>
    <w:rsid w:val="3BE37C17"/>
    <w:rsid w:val="3BF940D7"/>
    <w:rsid w:val="3C0E4238"/>
    <w:rsid w:val="3C48082C"/>
    <w:rsid w:val="3C7B55E4"/>
    <w:rsid w:val="3CA34CC5"/>
    <w:rsid w:val="3CB34F97"/>
    <w:rsid w:val="3CEA6618"/>
    <w:rsid w:val="3CEF63D5"/>
    <w:rsid w:val="3D080D0E"/>
    <w:rsid w:val="3D204FFE"/>
    <w:rsid w:val="3D37722D"/>
    <w:rsid w:val="3D4002DC"/>
    <w:rsid w:val="3DCA6012"/>
    <w:rsid w:val="3E2F0178"/>
    <w:rsid w:val="3E313A76"/>
    <w:rsid w:val="3E3603CE"/>
    <w:rsid w:val="3E43771E"/>
    <w:rsid w:val="3E4D3B2D"/>
    <w:rsid w:val="3E8508A8"/>
    <w:rsid w:val="3EB97A2E"/>
    <w:rsid w:val="3EC5774F"/>
    <w:rsid w:val="3EC70971"/>
    <w:rsid w:val="3EE2512B"/>
    <w:rsid w:val="3F2775B8"/>
    <w:rsid w:val="3F2D2064"/>
    <w:rsid w:val="3F332A66"/>
    <w:rsid w:val="3F453CFC"/>
    <w:rsid w:val="3F642D3C"/>
    <w:rsid w:val="3F6D210D"/>
    <w:rsid w:val="3F6D327B"/>
    <w:rsid w:val="3F8703D2"/>
    <w:rsid w:val="3FD33314"/>
    <w:rsid w:val="401A43EC"/>
    <w:rsid w:val="40211F17"/>
    <w:rsid w:val="40361A63"/>
    <w:rsid w:val="403F2227"/>
    <w:rsid w:val="406D67B0"/>
    <w:rsid w:val="406E18F6"/>
    <w:rsid w:val="40744733"/>
    <w:rsid w:val="40756128"/>
    <w:rsid w:val="408052FD"/>
    <w:rsid w:val="40D72617"/>
    <w:rsid w:val="41051392"/>
    <w:rsid w:val="41476C19"/>
    <w:rsid w:val="416302CC"/>
    <w:rsid w:val="416D7C52"/>
    <w:rsid w:val="418179B7"/>
    <w:rsid w:val="41896D6A"/>
    <w:rsid w:val="419506F5"/>
    <w:rsid w:val="41A92F61"/>
    <w:rsid w:val="41AB2FBE"/>
    <w:rsid w:val="41C43F2F"/>
    <w:rsid w:val="41CB67D2"/>
    <w:rsid w:val="41CF3570"/>
    <w:rsid w:val="41EC0157"/>
    <w:rsid w:val="41FA0906"/>
    <w:rsid w:val="421515CF"/>
    <w:rsid w:val="4294614B"/>
    <w:rsid w:val="42CA29D4"/>
    <w:rsid w:val="43030C89"/>
    <w:rsid w:val="4323690D"/>
    <w:rsid w:val="43CC632D"/>
    <w:rsid w:val="43E64BD3"/>
    <w:rsid w:val="44040285"/>
    <w:rsid w:val="442D6983"/>
    <w:rsid w:val="44776A77"/>
    <w:rsid w:val="44997056"/>
    <w:rsid w:val="449E08FD"/>
    <w:rsid w:val="44B165E3"/>
    <w:rsid w:val="44C7560D"/>
    <w:rsid w:val="44DD30AB"/>
    <w:rsid w:val="44F1149C"/>
    <w:rsid w:val="4559069F"/>
    <w:rsid w:val="459B72F5"/>
    <w:rsid w:val="459E7268"/>
    <w:rsid w:val="459F0146"/>
    <w:rsid w:val="45A452E3"/>
    <w:rsid w:val="45E62FAD"/>
    <w:rsid w:val="45F56402"/>
    <w:rsid w:val="46361180"/>
    <w:rsid w:val="46B659AB"/>
    <w:rsid w:val="46BD2403"/>
    <w:rsid w:val="46D91608"/>
    <w:rsid w:val="46E73F35"/>
    <w:rsid w:val="47145E5C"/>
    <w:rsid w:val="47222FB8"/>
    <w:rsid w:val="473524DC"/>
    <w:rsid w:val="47396A9F"/>
    <w:rsid w:val="473B6CF2"/>
    <w:rsid w:val="473F25F0"/>
    <w:rsid w:val="47412468"/>
    <w:rsid w:val="4741304A"/>
    <w:rsid w:val="47532156"/>
    <w:rsid w:val="475F5332"/>
    <w:rsid w:val="477A2501"/>
    <w:rsid w:val="482C1063"/>
    <w:rsid w:val="485B5EFA"/>
    <w:rsid w:val="4869016C"/>
    <w:rsid w:val="486971B0"/>
    <w:rsid w:val="48992781"/>
    <w:rsid w:val="48A46C82"/>
    <w:rsid w:val="48AD4B5F"/>
    <w:rsid w:val="48B11BEC"/>
    <w:rsid w:val="48C83AEA"/>
    <w:rsid w:val="490C3325"/>
    <w:rsid w:val="490C5BA1"/>
    <w:rsid w:val="49510F1B"/>
    <w:rsid w:val="49564D0A"/>
    <w:rsid w:val="49785317"/>
    <w:rsid w:val="49A5739B"/>
    <w:rsid w:val="49CB1D27"/>
    <w:rsid w:val="4A132E5A"/>
    <w:rsid w:val="4A1634A4"/>
    <w:rsid w:val="4A6A29BD"/>
    <w:rsid w:val="4A6C64A1"/>
    <w:rsid w:val="4A7226E9"/>
    <w:rsid w:val="4A8261F4"/>
    <w:rsid w:val="4A9519AB"/>
    <w:rsid w:val="4AAD3A1D"/>
    <w:rsid w:val="4AC35CBC"/>
    <w:rsid w:val="4ACB43E0"/>
    <w:rsid w:val="4AD97839"/>
    <w:rsid w:val="4AE5432B"/>
    <w:rsid w:val="4AF55AE1"/>
    <w:rsid w:val="4B537E53"/>
    <w:rsid w:val="4B5A468A"/>
    <w:rsid w:val="4B5C03A8"/>
    <w:rsid w:val="4BA055B8"/>
    <w:rsid w:val="4BAC2719"/>
    <w:rsid w:val="4BF933B5"/>
    <w:rsid w:val="4C09081B"/>
    <w:rsid w:val="4C261382"/>
    <w:rsid w:val="4C53067A"/>
    <w:rsid w:val="4C5729EC"/>
    <w:rsid w:val="4C5E6C92"/>
    <w:rsid w:val="4C7548E1"/>
    <w:rsid w:val="4C8808F1"/>
    <w:rsid w:val="4CA35B52"/>
    <w:rsid w:val="4CA4584E"/>
    <w:rsid w:val="4CAF022C"/>
    <w:rsid w:val="4D173E07"/>
    <w:rsid w:val="4D19255B"/>
    <w:rsid w:val="4D57409A"/>
    <w:rsid w:val="4D5D7E33"/>
    <w:rsid w:val="4D7C562C"/>
    <w:rsid w:val="4D7F2AD2"/>
    <w:rsid w:val="4DE468CE"/>
    <w:rsid w:val="4DF60D8B"/>
    <w:rsid w:val="4E0A2B02"/>
    <w:rsid w:val="4E1B264B"/>
    <w:rsid w:val="4E23006D"/>
    <w:rsid w:val="4E391EDC"/>
    <w:rsid w:val="4E4112E8"/>
    <w:rsid w:val="4E634BF2"/>
    <w:rsid w:val="4E6800BF"/>
    <w:rsid w:val="4E792D9B"/>
    <w:rsid w:val="4E7F3513"/>
    <w:rsid w:val="4E9B44D0"/>
    <w:rsid w:val="4EDE0D08"/>
    <w:rsid w:val="4F103160"/>
    <w:rsid w:val="4F2426A0"/>
    <w:rsid w:val="4F346797"/>
    <w:rsid w:val="4F3B63B3"/>
    <w:rsid w:val="4F4B706A"/>
    <w:rsid w:val="4F780F47"/>
    <w:rsid w:val="4F822AFC"/>
    <w:rsid w:val="4FAE29FF"/>
    <w:rsid w:val="500B2289"/>
    <w:rsid w:val="50250C8B"/>
    <w:rsid w:val="503A2514"/>
    <w:rsid w:val="506077EB"/>
    <w:rsid w:val="506637AA"/>
    <w:rsid w:val="506C5462"/>
    <w:rsid w:val="507B3DF0"/>
    <w:rsid w:val="50861827"/>
    <w:rsid w:val="5092563D"/>
    <w:rsid w:val="50A53A81"/>
    <w:rsid w:val="50A608E7"/>
    <w:rsid w:val="50CD287A"/>
    <w:rsid w:val="50DE27FB"/>
    <w:rsid w:val="50E34EC2"/>
    <w:rsid w:val="50FE0E57"/>
    <w:rsid w:val="510E2E27"/>
    <w:rsid w:val="513C3FA2"/>
    <w:rsid w:val="514E4542"/>
    <w:rsid w:val="5154787B"/>
    <w:rsid w:val="51625F9F"/>
    <w:rsid w:val="51964093"/>
    <w:rsid w:val="51AF6F86"/>
    <w:rsid w:val="51CE4AAB"/>
    <w:rsid w:val="51F252E4"/>
    <w:rsid w:val="523D069B"/>
    <w:rsid w:val="52602E65"/>
    <w:rsid w:val="527330B7"/>
    <w:rsid w:val="52D86A14"/>
    <w:rsid w:val="52DA4383"/>
    <w:rsid w:val="530B702A"/>
    <w:rsid w:val="53263522"/>
    <w:rsid w:val="532E216F"/>
    <w:rsid w:val="53300686"/>
    <w:rsid w:val="534A0472"/>
    <w:rsid w:val="53630416"/>
    <w:rsid w:val="53A06FE0"/>
    <w:rsid w:val="53B4254F"/>
    <w:rsid w:val="53B55C68"/>
    <w:rsid w:val="53BE06EB"/>
    <w:rsid w:val="5418413D"/>
    <w:rsid w:val="54212C64"/>
    <w:rsid w:val="54357B09"/>
    <w:rsid w:val="54681DBB"/>
    <w:rsid w:val="54885D21"/>
    <w:rsid w:val="549635CE"/>
    <w:rsid w:val="54C64634"/>
    <w:rsid w:val="54D661F0"/>
    <w:rsid w:val="54DD57C2"/>
    <w:rsid w:val="550F76FD"/>
    <w:rsid w:val="55464624"/>
    <w:rsid w:val="555336BC"/>
    <w:rsid w:val="55583A6A"/>
    <w:rsid w:val="55781FA1"/>
    <w:rsid w:val="558B474E"/>
    <w:rsid w:val="559C7455"/>
    <w:rsid w:val="55C3727D"/>
    <w:rsid w:val="55E223C3"/>
    <w:rsid w:val="561C702A"/>
    <w:rsid w:val="562259AD"/>
    <w:rsid w:val="563422B1"/>
    <w:rsid w:val="566D2F51"/>
    <w:rsid w:val="567017B3"/>
    <w:rsid w:val="568067D4"/>
    <w:rsid w:val="568E6014"/>
    <w:rsid w:val="56E45EAF"/>
    <w:rsid w:val="57151ED4"/>
    <w:rsid w:val="571A3530"/>
    <w:rsid w:val="572C1ABD"/>
    <w:rsid w:val="57445759"/>
    <w:rsid w:val="575B084C"/>
    <w:rsid w:val="57AD6B6F"/>
    <w:rsid w:val="57BA5359"/>
    <w:rsid w:val="57C339CD"/>
    <w:rsid w:val="57C75687"/>
    <w:rsid w:val="57F421FF"/>
    <w:rsid w:val="57FC05D8"/>
    <w:rsid w:val="58262330"/>
    <w:rsid w:val="582D6B49"/>
    <w:rsid w:val="586C0CD7"/>
    <w:rsid w:val="58B118FE"/>
    <w:rsid w:val="58F03BA0"/>
    <w:rsid w:val="5915083B"/>
    <w:rsid w:val="59185278"/>
    <w:rsid w:val="599246D9"/>
    <w:rsid w:val="59D70750"/>
    <w:rsid w:val="5A5C1427"/>
    <w:rsid w:val="5A787F37"/>
    <w:rsid w:val="5A92757B"/>
    <w:rsid w:val="5ACB311A"/>
    <w:rsid w:val="5B096752"/>
    <w:rsid w:val="5B102A8F"/>
    <w:rsid w:val="5B631974"/>
    <w:rsid w:val="5B652C0C"/>
    <w:rsid w:val="5B7160FF"/>
    <w:rsid w:val="5B817CAF"/>
    <w:rsid w:val="5B8D009D"/>
    <w:rsid w:val="5B9A4D90"/>
    <w:rsid w:val="5BC05341"/>
    <w:rsid w:val="5BE41F47"/>
    <w:rsid w:val="5BF575E5"/>
    <w:rsid w:val="5BF85EBB"/>
    <w:rsid w:val="5C51033F"/>
    <w:rsid w:val="5C5E4200"/>
    <w:rsid w:val="5C5F4BD2"/>
    <w:rsid w:val="5C7D275B"/>
    <w:rsid w:val="5CB473F6"/>
    <w:rsid w:val="5CEF5DC6"/>
    <w:rsid w:val="5CF83154"/>
    <w:rsid w:val="5CF90EB9"/>
    <w:rsid w:val="5CF92F32"/>
    <w:rsid w:val="5CFA7E15"/>
    <w:rsid w:val="5D0F689A"/>
    <w:rsid w:val="5D36342E"/>
    <w:rsid w:val="5D3E1FAC"/>
    <w:rsid w:val="5D4A2E06"/>
    <w:rsid w:val="5D6518AD"/>
    <w:rsid w:val="5D743856"/>
    <w:rsid w:val="5D8F4F7D"/>
    <w:rsid w:val="5D9D25D0"/>
    <w:rsid w:val="5E184DD2"/>
    <w:rsid w:val="5E2712F4"/>
    <w:rsid w:val="5E275C74"/>
    <w:rsid w:val="5E4F25B7"/>
    <w:rsid w:val="5E5D1939"/>
    <w:rsid w:val="5E5F3924"/>
    <w:rsid w:val="5E611603"/>
    <w:rsid w:val="5E73478F"/>
    <w:rsid w:val="5E8C0D80"/>
    <w:rsid w:val="5EA3495F"/>
    <w:rsid w:val="5ECE0EA6"/>
    <w:rsid w:val="5ED04254"/>
    <w:rsid w:val="5EF24324"/>
    <w:rsid w:val="5F057499"/>
    <w:rsid w:val="5F440A81"/>
    <w:rsid w:val="5F692EBD"/>
    <w:rsid w:val="5F6C67CC"/>
    <w:rsid w:val="5FDE2754"/>
    <w:rsid w:val="5FF95728"/>
    <w:rsid w:val="60113B74"/>
    <w:rsid w:val="601624BD"/>
    <w:rsid w:val="602A50F4"/>
    <w:rsid w:val="6033758A"/>
    <w:rsid w:val="605F066E"/>
    <w:rsid w:val="6070304D"/>
    <w:rsid w:val="607664C7"/>
    <w:rsid w:val="60A57DB6"/>
    <w:rsid w:val="60C31227"/>
    <w:rsid w:val="6108404B"/>
    <w:rsid w:val="61094326"/>
    <w:rsid w:val="61343630"/>
    <w:rsid w:val="61490F16"/>
    <w:rsid w:val="614D6E1E"/>
    <w:rsid w:val="616F4088"/>
    <w:rsid w:val="618F5B1C"/>
    <w:rsid w:val="61913CBA"/>
    <w:rsid w:val="61C72760"/>
    <w:rsid w:val="61C85545"/>
    <w:rsid w:val="623D1F8E"/>
    <w:rsid w:val="627F5D11"/>
    <w:rsid w:val="62A90F7F"/>
    <w:rsid w:val="62BC59CA"/>
    <w:rsid w:val="62E06EBC"/>
    <w:rsid w:val="63013C29"/>
    <w:rsid w:val="633A5FE8"/>
    <w:rsid w:val="635E4A28"/>
    <w:rsid w:val="635F7451"/>
    <w:rsid w:val="637D6C5E"/>
    <w:rsid w:val="63974417"/>
    <w:rsid w:val="639B2F11"/>
    <w:rsid w:val="63A4496E"/>
    <w:rsid w:val="63A82BE1"/>
    <w:rsid w:val="63CD083A"/>
    <w:rsid w:val="63DE46A0"/>
    <w:rsid w:val="63E432C9"/>
    <w:rsid w:val="63EF605A"/>
    <w:rsid w:val="64230E4E"/>
    <w:rsid w:val="64390B9E"/>
    <w:rsid w:val="64457C8E"/>
    <w:rsid w:val="6475008F"/>
    <w:rsid w:val="649512E0"/>
    <w:rsid w:val="64964A76"/>
    <w:rsid w:val="649D22DA"/>
    <w:rsid w:val="649D652B"/>
    <w:rsid w:val="64A50B2B"/>
    <w:rsid w:val="64A5230A"/>
    <w:rsid w:val="64D269D7"/>
    <w:rsid w:val="64DE0D3D"/>
    <w:rsid w:val="64FE49C4"/>
    <w:rsid w:val="654603FA"/>
    <w:rsid w:val="65801A64"/>
    <w:rsid w:val="65A9130F"/>
    <w:rsid w:val="65DB4611"/>
    <w:rsid w:val="65F00665"/>
    <w:rsid w:val="65FA05AC"/>
    <w:rsid w:val="66011E65"/>
    <w:rsid w:val="66172DE7"/>
    <w:rsid w:val="66180718"/>
    <w:rsid w:val="6640731D"/>
    <w:rsid w:val="66496F49"/>
    <w:rsid w:val="66866EA7"/>
    <w:rsid w:val="669513CA"/>
    <w:rsid w:val="66C4433A"/>
    <w:rsid w:val="66CE304A"/>
    <w:rsid w:val="66E76998"/>
    <w:rsid w:val="66EA3881"/>
    <w:rsid w:val="67224EBB"/>
    <w:rsid w:val="674046A6"/>
    <w:rsid w:val="674C15EB"/>
    <w:rsid w:val="6750112F"/>
    <w:rsid w:val="67601A39"/>
    <w:rsid w:val="67CA3F75"/>
    <w:rsid w:val="67F55623"/>
    <w:rsid w:val="6820150F"/>
    <w:rsid w:val="682B78F1"/>
    <w:rsid w:val="688B2A40"/>
    <w:rsid w:val="68964F05"/>
    <w:rsid w:val="689860BF"/>
    <w:rsid w:val="689F4C8A"/>
    <w:rsid w:val="68B00BB5"/>
    <w:rsid w:val="68B712EE"/>
    <w:rsid w:val="68DF52A0"/>
    <w:rsid w:val="68E30D36"/>
    <w:rsid w:val="68F15987"/>
    <w:rsid w:val="68FA3855"/>
    <w:rsid w:val="68FB2D13"/>
    <w:rsid w:val="692330EC"/>
    <w:rsid w:val="69402946"/>
    <w:rsid w:val="699A1F17"/>
    <w:rsid w:val="69DC0110"/>
    <w:rsid w:val="69DD7802"/>
    <w:rsid w:val="69F234F5"/>
    <w:rsid w:val="69F6112C"/>
    <w:rsid w:val="6A212522"/>
    <w:rsid w:val="6A2A0C87"/>
    <w:rsid w:val="6A3053BC"/>
    <w:rsid w:val="6A407795"/>
    <w:rsid w:val="6A562303"/>
    <w:rsid w:val="6A8F6F1A"/>
    <w:rsid w:val="6A95219B"/>
    <w:rsid w:val="6A9835AE"/>
    <w:rsid w:val="6AAA773D"/>
    <w:rsid w:val="6AB90EDC"/>
    <w:rsid w:val="6AD26782"/>
    <w:rsid w:val="6B357DBD"/>
    <w:rsid w:val="6B3A38C5"/>
    <w:rsid w:val="6B5530D9"/>
    <w:rsid w:val="6B5A594E"/>
    <w:rsid w:val="6B5D3D52"/>
    <w:rsid w:val="6B822C04"/>
    <w:rsid w:val="6B850D25"/>
    <w:rsid w:val="6BB439B2"/>
    <w:rsid w:val="6BBF274D"/>
    <w:rsid w:val="6BCE3729"/>
    <w:rsid w:val="6BEA0302"/>
    <w:rsid w:val="6C26288F"/>
    <w:rsid w:val="6C640E45"/>
    <w:rsid w:val="6CAC6C2F"/>
    <w:rsid w:val="6CB945BC"/>
    <w:rsid w:val="6CBB691D"/>
    <w:rsid w:val="6D000CAE"/>
    <w:rsid w:val="6D025481"/>
    <w:rsid w:val="6D0E68E9"/>
    <w:rsid w:val="6D337498"/>
    <w:rsid w:val="6D371876"/>
    <w:rsid w:val="6D5E0868"/>
    <w:rsid w:val="6D882529"/>
    <w:rsid w:val="6D8E6193"/>
    <w:rsid w:val="6DAD1FE6"/>
    <w:rsid w:val="6DF7600E"/>
    <w:rsid w:val="6DF82F8E"/>
    <w:rsid w:val="6E067997"/>
    <w:rsid w:val="6E1C2A99"/>
    <w:rsid w:val="6E3830D7"/>
    <w:rsid w:val="6E3F69C8"/>
    <w:rsid w:val="6EED28EB"/>
    <w:rsid w:val="6EF04B35"/>
    <w:rsid w:val="6F010EA3"/>
    <w:rsid w:val="6F0F393A"/>
    <w:rsid w:val="6F304546"/>
    <w:rsid w:val="6F663982"/>
    <w:rsid w:val="6F663EAF"/>
    <w:rsid w:val="6F8E27F8"/>
    <w:rsid w:val="6F8F0955"/>
    <w:rsid w:val="6FC56F01"/>
    <w:rsid w:val="6FFB7844"/>
    <w:rsid w:val="701F3CE0"/>
    <w:rsid w:val="7020497F"/>
    <w:rsid w:val="704D336A"/>
    <w:rsid w:val="70505D4F"/>
    <w:rsid w:val="70681A22"/>
    <w:rsid w:val="707021C7"/>
    <w:rsid w:val="707E15CE"/>
    <w:rsid w:val="70822F65"/>
    <w:rsid w:val="70B52AF0"/>
    <w:rsid w:val="70CD0073"/>
    <w:rsid w:val="70E52AE5"/>
    <w:rsid w:val="70FE2AC4"/>
    <w:rsid w:val="713B1B0A"/>
    <w:rsid w:val="7148162F"/>
    <w:rsid w:val="71843953"/>
    <w:rsid w:val="71D85562"/>
    <w:rsid w:val="720A094F"/>
    <w:rsid w:val="72153019"/>
    <w:rsid w:val="725C5182"/>
    <w:rsid w:val="72772934"/>
    <w:rsid w:val="72796B17"/>
    <w:rsid w:val="72927B6C"/>
    <w:rsid w:val="729777EF"/>
    <w:rsid w:val="72AD30CC"/>
    <w:rsid w:val="7321248A"/>
    <w:rsid w:val="733B3201"/>
    <w:rsid w:val="734513E8"/>
    <w:rsid w:val="735C30D2"/>
    <w:rsid w:val="739B654D"/>
    <w:rsid w:val="739F2364"/>
    <w:rsid w:val="73A6428A"/>
    <w:rsid w:val="73D322C5"/>
    <w:rsid w:val="73EC11B7"/>
    <w:rsid w:val="741F0E10"/>
    <w:rsid w:val="7437146D"/>
    <w:rsid w:val="74795D32"/>
    <w:rsid w:val="748118B2"/>
    <w:rsid w:val="74BB28A0"/>
    <w:rsid w:val="74BC3ED3"/>
    <w:rsid w:val="74C36CD2"/>
    <w:rsid w:val="74E73526"/>
    <w:rsid w:val="75016742"/>
    <w:rsid w:val="7513027E"/>
    <w:rsid w:val="751B4FB9"/>
    <w:rsid w:val="75637626"/>
    <w:rsid w:val="75833B0D"/>
    <w:rsid w:val="758E1EA1"/>
    <w:rsid w:val="75A907FA"/>
    <w:rsid w:val="75CF1732"/>
    <w:rsid w:val="767F42F6"/>
    <w:rsid w:val="769D72EE"/>
    <w:rsid w:val="76FC2688"/>
    <w:rsid w:val="77031997"/>
    <w:rsid w:val="77051D16"/>
    <w:rsid w:val="772C0018"/>
    <w:rsid w:val="77513947"/>
    <w:rsid w:val="77520A3F"/>
    <w:rsid w:val="776D1D2D"/>
    <w:rsid w:val="77871529"/>
    <w:rsid w:val="7787244C"/>
    <w:rsid w:val="77941928"/>
    <w:rsid w:val="77E770B1"/>
    <w:rsid w:val="77E8297F"/>
    <w:rsid w:val="77F85B45"/>
    <w:rsid w:val="781514B6"/>
    <w:rsid w:val="783D30A0"/>
    <w:rsid w:val="78680046"/>
    <w:rsid w:val="78B055B7"/>
    <w:rsid w:val="7911260C"/>
    <w:rsid w:val="794E1E4C"/>
    <w:rsid w:val="79640C05"/>
    <w:rsid w:val="79707BE0"/>
    <w:rsid w:val="79B35C55"/>
    <w:rsid w:val="79C253C0"/>
    <w:rsid w:val="79C9350E"/>
    <w:rsid w:val="79D35810"/>
    <w:rsid w:val="79F61344"/>
    <w:rsid w:val="7A1719E8"/>
    <w:rsid w:val="7A502E34"/>
    <w:rsid w:val="7A740663"/>
    <w:rsid w:val="7A7415A0"/>
    <w:rsid w:val="7A8F00FA"/>
    <w:rsid w:val="7ABD644C"/>
    <w:rsid w:val="7AC1431D"/>
    <w:rsid w:val="7ADB3777"/>
    <w:rsid w:val="7AE57011"/>
    <w:rsid w:val="7AE923FF"/>
    <w:rsid w:val="7B095D28"/>
    <w:rsid w:val="7B1652E7"/>
    <w:rsid w:val="7B212A21"/>
    <w:rsid w:val="7BD27A36"/>
    <w:rsid w:val="7BE5011D"/>
    <w:rsid w:val="7BFF4E55"/>
    <w:rsid w:val="7C270E41"/>
    <w:rsid w:val="7C7F1D4F"/>
    <w:rsid w:val="7C8A6575"/>
    <w:rsid w:val="7CB01CD0"/>
    <w:rsid w:val="7CBC591E"/>
    <w:rsid w:val="7CE110ED"/>
    <w:rsid w:val="7CFD75D7"/>
    <w:rsid w:val="7D334D83"/>
    <w:rsid w:val="7D690A7F"/>
    <w:rsid w:val="7DA31E0D"/>
    <w:rsid w:val="7DBC26EC"/>
    <w:rsid w:val="7DD82B90"/>
    <w:rsid w:val="7DE57AD3"/>
    <w:rsid w:val="7E102F71"/>
    <w:rsid w:val="7E167613"/>
    <w:rsid w:val="7E2D7B95"/>
    <w:rsid w:val="7E80058B"/>
    <w:rsid w:val="7EBA5C60"/>
    <w:rsid w:val="7ECB471A"/>
    <w:rsid w:val="7F0625F8"/>
    <w:rsid w:val="7F2F1209"/>
    <w:rsid w:val="7F317539"/>
    <w:rsid w:val="7F373604"/>
    <w:rsid w:val="7F7315E6"/>
    <w:rsid w:val="7F7E2BFE"/>
    <w:rsid w:val="7F8516F9"/>
    <w:rsid w:val="7F9B4C67"/>
    <w:rsid w:val="7FA56AD4"/>
    <w:rsid w:val="7FBF60DA"/>
    <w:rsid w:val="7FC27CDF"/>
    <w:rsid w:val="7FD5719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2pt" color="#000000" startarrow="block" endarrow="block"/>
    </o:shapedefaults>
    <o:shapelayout v:ext="edit">
      <o:idmap v:ext="edit" data="2"/>
      <o:rules v:ext="edit">
        <o:r id="V:Rule1" type="connector" idref="#自选图形 2700"/>
        <o:r id="V:Rule2" type="connector" idref="#自选图形 2700"/>
        <o:r id="V:Rule3" type="connector" idref="#自选图形 2700"/>
        <o:r id="V:Rule4" type="connector" idref="#自选图形 2700"/>
        <o:r id="V:Rule5" type="connector" idref="#_x0000_s2065"/>
        <o:r id="V:Rule6" type="connector" idref="#_x0000_s2067"/>
        <o:r id="V:Rule7" type="connector" idref="#_x0000_s2093"/>
        <o:r id="V:Rule8" type="connector" idref="#_x0000_s2098"/>
        <o:r id="V:Rule9" type="connector" idref="#_x0000_s2101"/>
        <o:r id="V:Rule10" type="connector" idref="#_x0000_s2103"/>
        <o:r id="V:Rule11" type="connector" idref="#_x0000_s2107"/>
        <o:r id="V:Rule12" type="connector" idref="#_x0000_s2110"/>
        <o:r id="V:Rule13" type="connector" idref="#_x0000_s2111"/>
        <o:r id="V:Rule14" type="connector" idref="#_x0000_s2113"/>
        <o:r id="V:Rule15" type="connector" idref="#_x0000_s2115"/>
        <o:r id="V:Rule16" type="connector" idref="#_x0000_s2117"/>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99"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14">
    <w:name w:val="heading 1"/>
    <w:basedOn w:val="1"/>
    <w:next w:val="1"/>
    <w:qFormat/>
    <w:uiPriority w:val="0"/>
    <w:pPr>
      <w:keepNext/>
      <w:ind w:firstLine="510"/>
      <w:jc w:val="left"/>
      <w:outlineLvl w:val="0"/>
    </w:pPr>
    <w:rPr>
      <w:b/>
      <w:sz w:val="28"/>
      <w:szCs w:val="20"/>
    </w:rPr>
  </w:style>
  <w:style w:type="paragraph" w:styleId="15">
    <w:name w:val="heading 2"/>
    <w:basedOn w:val="1"/>
    <w:next w:val="1"/>
    <w:link w:val="51"/>
    <w:qFormat/>
    <w:uiPriority w:val="0"/>
    <w:pPr>
      <w:keepNext/>
      <w:keepLines/>
      <w:autoSpaceDE w:val="0"/>
      <w:autoSpaceDN w:val="0"/>
      <w:adjustRightInd w:val="0"/>
      <w:spacing w:before="120" w:after="120"/>
      <w:textAlignment w:val="baseline"/>
      <w:outlineLvl w:val="1"/>
    </w:pPr>
    <w:rPr>
      <w:rFonts w:ascii="宋体" w:hAnsi="Arial" w:eastAsia="楷体_GB2312"/>
      <w:b/>
      <w:kern w:val="24"/>
      <w:sz w:val="24"/>
      <w:szCs w:val="20"/>
    </w:rPr>
  </w:style>
  <w:style w:type="paragraph" w:styleId="16">
    <w:name w:val="heading 3"/>
    <w:basedOn w:val="1"/>
    <w:next w:val="1"/>
    <w:qFormat/>
    <w:uiPriority w:val="0"/>
    <w:pPr>
      <w:tabs>
        <w:tab w:val="left" w:pos="1260"/>
      </w:tabs>
      <w:autoSpaceDE w:val="0"/>
      <w:autoSpaceDN w:val="0"/>
      <w:adjustRightInd w:val="0"/>
      <w:spacing w:before="120" w:after="120"/>
      <w:ind w:left="1260" w:hanging="420"/>
      <w:textAlignment w:val="baseline"/>
      <w:outlineLvl w:val="2"/>
    </w:pPr>
    <w:rPr>
      <w:rFonts w:ascii="宋体" w:hAnsi="Impact" w:eastAsia="楷体_GB2312"/>
      <w:b/>
      <w:kern w:val="24"/>
      <w:sz w:val="24"/>
      <w:szCs w:val="20"/>
    </w:rPr>
  </w:style>
  <w:style w:type="paragraph" w:styleId="17">
    <w:name w:val="heading 4"/>
    <w:basedOn w:val="1"/>
    <w:next w:val="1"/>
    <w:qFormat/>
    <w:uiPriority w:val="0"/>
    <w:pPr>
      <w:numPr>
        <w:ilvl w:val="3"/>
        <w:numId w:val="1"/>
      </w:numPr>
      <w:autoSpaceDE w:val="0"/>
      <w:autoSpaceDN w:val="0"/>
      <w:adjustRightInd w:val="0"/>
      <w:spacing w:before="120" w:after="120"/>
      <w:textAlignment w:val="baseline"/>
      <w:outlineLvl w:val="3"/>
    </w:pPr>
    <w:rPr>
      <w:rFonts w:ascii="宋体" w:hAnsi="Arial" w:eastAsia="楷体_GB2312"/>
      <w:b/>
      <w:kern w:val="24"/>
      <w:sz w:val="24"/>
      <w:szCs w:val="20"/>
    </w:rPr>
  </w:style>
  <w:style w:type="paragraph" w:styleId="18">
    <w:name w:val="heading 5"/>
    <w:basedOn w:val="1"/>
    <w:next w:val="19"/>
    <w:qFormat/>
    <w:uiPriority w:val="0"/>
    <w:pPr>
      <w:keepNext/>
      <w:keepLines/>
      <w:numPr>
        <w:ilvl w:val="4"/>
        <w:numId w:val="1"/>
      </w:numPr>
      <w:spacing w:before="60" w:after="60"/>
      <w:outlineLvl w:val="4"/>
    </w:pPr>
    <w:rPr>
      <w:rFonts w:ascii="宋体" w:hAnsi="Impact" w:eastAsia="楷体_GB2312"/>
      <w:b/>
      <w:sz w:val="24"/>
      <w:szCs w:val="20"/>
    </w:rPr>
  </w:style>
  <w:style w:type="paragraph" w:styleId="20">
    <w:name w:val="heading 6"/>
    <w:basedOn w:val="1"/>
    <w:next w:val="1"/>
    <w:qFormat/>
    <w:uiPriority w:val="0"/>
    <w:pPr>
      <w:keepNext/>
      <w:keepLines/>
      <w:numPr>
        <w:ilvl w:val="5"/>
        <w:numId w:val="1"/>
      </w:numPr>
      <w:autoSpaceDE w:val="0"/>
      <w:autoSpaceDN w:val="0"/>
      <w:adjustRightInd w:val="0"/>
      <w:spacing w:before="120" w:after="64" w:line="319" w:lineRule="auto"/>
      <w:textAlignment w:val="baseline"/>
      <w:outlineLvl w:val="5"/>
    </w:pPr>
    <w:rPr>
      <w:rFonts w:ascii="Arial" w:hAnsi="Arial" w:eastAsia="楷体_GB2312"/>
      <w:b/>
      <w:kern w:val="24"/>
      <w:sz w:val="24"/>
      <w:szCs w:val="20"/>
    </w:rPr>
  </w:style>
  <w:style w:type="paragraph" w:styleId="21">
    <w:name w:val="heading 7"/>
    <w:basedOn w:val="1"/>
    <w:next w:val="1"/>
    <w:qFormat/>
    <w:uiPriority w:val="0"/>
    <w:pPr>
      <w:keepNext/>
      <w:keepLines/>
      <w:numPr>
        <w:ilvl w:val="6"/>
        <w:numId w:val="1"/>
      </w:numPr>
      <w:autoSpaceDE w:val="0"/>
      <w:autoSpaceDN w:val="0"/>
      <w:adjustRightInd w:val="0"/>
      <w:spacing w:before="240" w:after="64" w:line="320" w:lineRule="auto"/>
      <w:textAlignment w:val="baseline"/>
      <w:outlineLvl w:val="6"/>
    </w:pPr>
    <w:rPr>
      <w:rFonts w:ascii="宋体" w:hAnsi="Impact" w:eastAsia="楷体_GB2312"/>
      <w:b/>
      <w:kern w:val="24"/>
      <w:sz w:val="24"/>
      <w:szCs w:val="20"/>
    </w:rPr>
  </w:style>
  <w:style w:type="paragraph" w:styleId="22">
    <w:name w:val="heading 8"/>
    <w:basedOn w:val="1"/>
    <w:next w:val="1"/>
    <w:qFormat/>
    <w:uiPriority w:val="0"/>
    <w:pPr>
      <w:keepNext/>
      <w:keepLines/>
      <w:numPr>
        <w:ilvl w:val="7"/>
        <w:numId w:val="1"/>
      </w:numPr>
      <w:autoSpaceDE w:val="0"/>
      <w:autoSpaceDN w:val="0"/>
      <w:adjustRightInd w:val="0"/>
      <w:spacing w:before="240" w:after="64" w:line="320" w:lineRule="auto"/>
      <w:textAlignment w:val="baseline"/>
      <w:outlineLvl w:val="7"/>
    </w:pPr>
    <w:rPr>
      <w:rFonts w:ascii="Arial" w:hAnsi="Arial" w:eastAsia="黑体"/>
      <w:kern w:val="24"/>
      <w:sz w:val="24"/>
      <w:szCs w:val="20"/>
    </w:rPr>
  </w:style>
  <w:style w:type="paragraph" w:styleId="23">
    <w:name w:val="heading 9"/>
    <w:basedOn w:val="1"/>
    <w:next w:val="1"/>
    <w:qFormat/>
    <w:uiPriority w:val="0"/>
    <w:pPr>
      <w:keepNext/>
      <w:keepLines/>
      <w:numPr>
        <w:ilvl w:val="8"/>
        <w:numId w:val="1"/>
      </w:numPr>
      <w:autoSpaceDE w:val="0"/>
      <w:autoSpaceDN w:val="0"/>
      <w:adjustRightInd w:val="0"/>
      <w:spacing w:before="240" w:after="64" w:line="320" w:lineRule="auto"/>
      <w:textAlignment w:val="baseline"/>
      <w:outlineLvl w:val="8"/>
    </w:pPr>
    <w:rPr>
      <w:rFonts w:ascii="Arial" w:hAnsi="Arial" w:eastAsia="黑体"/>
      <w:kern w:val="24"/>
      <w:szCs w:val="20"/>
    </w:rPr>
  </w:style>
  <w:style w:type="character" w:default="1" w:styleId="46">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
    <w:name w:val="纯文本1"/>
    <w:basedOn w:val="1"/>
    <w:qFormat/>
    <w:uiPriority w:val="0"/>
    <w:pPr>
      <w:adjustRightInd w:val="0"/>
    </w:pPr>
    <w:rPr>
      <w:rFonts w:ascii="宋体" w:hAnsi="Courier New"/>
      <w:szCs w:val="20"/>
    </w:rPr>
  </w:style>
  <w:style w:type="paragraph" w:customStyle="1" w:styleId="4">
    <w:name w:val="样式35"/>
    <w:basedOn w:val="1"/>
    <w:next w:val="5"/>
    <w:qFormat/>
    <w:uiPriority w:val="0"/>
    <w:pPr>
      <w:spacing w:line="312" w:lineRule="auto"/>
      <w:ind w:firstLine="567"/>
    </w:pPr>
    <w:rPr>
      <w:rFonts w:ascii="宋体"/>
    </w:rPr>
  </w:style>
  <w:style w:type="paragraph" w:customStyle="1" w:styleId="5">
    <w:name w:val="font6"/>
    <w:basedOn w:val="1"/>
    <w:next w:val="6"/>
    <w:qFormat/>
    <w:uiPriority w:val="0"/>
    <w:pPr>
      <w:widowControl/>
      <w:spacing w:before="100" w:beforeAutospacing="1" w:after="100" w:afterAutospacing="1"/>
      <w:jc w:val="left"/>
    </w:pPr>
    <w:rPr>
      <w:rFonts w:ascii="宋体" w:hAnsi="宋体" w:cs="宋体"/>
      <w:kern w:val="0"/>
      <w:sz w:val="20"/>
      <w:szCs w:val="20"/>
    </w:rPr>
  </w:style>
  <w:style w:type="paragraph" w:styleId="6">
    <w:name w:val="toc 2"/>
    <w:basedOn w:val="1"/>
    <w:next w:val="7"/>
    <w:qFormat/>
    <w:uiPriority w:val="0"/>
    <w:pPr>
      <w:ind w:left="210"/>
      <w:jc w:val="left"/>
    </w:pPr>
    <w:rPr>
      <w:rFonts w:cs="Calibri"/>
      <w:smallCaps/>
      <w:sz w:val="20"/>
      <w:szCs w:val="20"/>
    </w:rPr>
  </w:style>
  <w:style w:type="paragraph" w:styleId="7">
    <w:name w:val="E-mail Signature"/>
    <w:basedOn w:val="1"/>
    <w:next w:val="8"/>
    <w:qFormat/>
    <w:uiPriority w:val="0"/>
    <w:pPr>
      <w:spacing w:line="460" w:lineRule="exact"/>
      <w:ind w:firstLine="200"/>
    </w:pPr>
    <w:rPr>
      <w:sz w:val="24"/>
    </w:rPr>
  </w:style>
  <w:style w:type="paragraph" w:customStyle="1" w:styleId="8">
    <w:name w:val="文章"/>
    <w:basedOn w:val="1"/>
    <w:next w:val="9"/>
    <w:qFormat/>
    <w:uiPriority w:val="0"/>
    <w:pPr>
      <w:widowControl/>
      <w:ind w:firstLine="480"/>
      <w:jc w:val="center"/>
    </w:pPr>
    <w:rPr>
      <w:sz w:val="26"/>
    </w:rPr>
  </w:style>
  <w:style w:type="paragraph" w:styleId="9">
    <w:name w:val="List"/>
    <w:basedOn w:val="1"/>
    <w:next w:val="10"/>
    <w:qFormat/>
    <w:uiPriority w:val="0"/>
    <w:pPr>
      <w:ind w:left="200" w:hanging="200" w:hangingChars="200"/>
    </w:pPr>
    <w:rPr>
      <w:sz w:val="24"/>
      <w:szCs w:val="20"/>
    </w:rPr>
  </w:style>
  <w:style w:type="paragraph" w:styleId="10">
    <w:name w:val="List Bullet 2"/>
    <w:basedOn w:val="1"/>
    <w:next w:val="11"/>
    <w:qFormat/>
    <w:uiPriority w:val="0"/>
    <w:pPr>
      <w:numPr>
        <w:ilvl w:val="0"/>
        <w:numId w:val="2"/>
      </w:numPr>
    </w:pPr>
  </w:style>
  <w:style w:type="paragraph" w:customStyle="1" w:styleId="11">
    <w:name w:val="xl70"/>
    <w:basedOn w:val="1"/>
    <w:next w:val="12"/>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12">
    <w:name w:val="正文缩进1"/>
    <w:basedOn w:val="1"/>
    <w:next w:val="13"/>
    <w:qFormat/>
    <w:uiPriority w:val="0"/>
    <w:pPr>
      <w:ind w:firstLine="420"/>
    </w:pPr>
    <w:rPr>
      <w:szCs w:val="20"/>
    </w:rPr>
  </w:style>
  <w:style w:type="paragraph" w:customStyle="1" w:styleId="13">
    <w:name w:val="td1"/>
    <w:basedOn w:val="1"/>
    <w:next w:val="1"/>
    <w:qFormat/>
    <w:uiPriority w:val="0"/>
    <w:pPr>
      <w:widowControl/>
      <w:spacing w:before="280" w:after="280" w:line="300" w:lineRule="atLeast"/>
      <w:ind w:firstLine="200"/>
    </w:pPr>
    <w:rPr>
      <w:color w:val="000000"/>
      <w:sz w:val="18"/>
    </w:rPr>
  </w:style>
  <w:style w:type="paragraph" w:styleId="19">
    <w:name w:val="Normal Indent"/>
    <w:basedOn w:val="1"/>
    <w:link w:val="52"/>
    <w:qFormat/>
    <w:uiPriority w:val="0"/>
    <w:pPr>
      <w:ind w:firstLine="420"/>
    </w:pPr>
    <w:rPr>
      <w:szCs w:val="20"/>
    </w:rPr>
  </w:style>
  <w:style w:type="paragraph" w:styleId="24">
    <w:name w:val="List 3"/>
    <w:basedOn w:val="1"/>
    <w:qFormat/>
    <w:uiPriority w:val="0"/>
    <w:pPr>
      <w:ind w:left="100" w:leftChars="400" w:hanging="200" w:hangingChars="200"/>
    </w:pPr>
  </w:style>
  <w:style w:type="paragraph" w:styleId="25">
    <w:name w:val="Note Heading"/>
    <w:basedOn w:val="1"/>
    <w:next w:val="1"/>
    <w:qFormat/>
    <w:uiPriority w:val="0"/>
    <w:pPr>
      <w:jc w:val="center"/>
    </w:pPr>
    <w:rPr>
      <w:szCs w:val="20"/>
    </w:rPr>
  </w:style>
  <w:style w:type="paragraph" w:styleId="26">
    <w:name w:val="Document Map"/>
    <w:basedOn w:val="1"/>
    <w:semiHidden/>
    <w:qFormat/>
    <w:uiPriority w:val="0"/>
    <w:pPr>
      <w:shd w:val="clear" w:color="auto" w:fill="000080"/>
    </w:pPr>
  </w:style>
  <w:style w:type="paragraph" w:styleId="27">
    <w:name w:val="annotation text"/>
    <w:basedOn w:val="1"/>
    <w:link w:val="69"/>
    <w:qFormat/>
    <w:uiPriority w:val="0"/>
    <w:pPr>
      <w:jc w:val="left"/>
    </w:pPr>
    <w:rPr>
      <w:szCs w:val="20"/>
    </w:rPr>
  </w:style>
  <w:style w:type="paragraph" w:styleId="28">
    <w:name w:val="Body Text 3"/>
    <w:basedOn w:val="1"/>
    <w:qFormat/>
    <w:uiPriority w:val="0"/>
    <w:pPr>
      <w:spacing w:after="120"/>
    </w:pPr>
    <w:rPr>
      <w:sz w:val="16"/>
      <w:szCs w:val="16"/>
    </w:rPr>
  </w:style>
  <w:style w:type="paragraph" w:styleId="29">
    <w:name w:val="Body Text"/>
    <w:basedOn w:val="1"/>
    <w:link w:val="64"/>
    <w:qFormat/>
    <w:uiPriority w:val="0"/>
    <w:pPr>
      <w:spacing w:line="360" w:lineRule="auto"/>
    </w:pPr>
    <w:rPr>
      <w:b/>
      <w:bCs/>
      <w:sz w:val="32"/>
    </w:rPr>
  </w:style>
  <w:style w:type="paragraph" w:styleId="30">
    <w:name w:val="Body Text Indent"/>
    <w:basedOn w:val="1"/>
    <w:link w:val="124"/>
    <w:qFormat/>
    <w:uiPriority w:val="0"/>
    <w:pPr>
      <w:spacing w:line="300" w:lineRule="auto"/>
      <w:ind w:firstLine="454"/>
    </w:pPr>
    <w:rPr>
      <w:sz w:val="24"/>
    </w:rPr>
  </w:style>
  <w:style w:type="paragraph" w:styleId="31">
    <w:name w:val="Block Text"/>
    <w:basedOn w:val="1"/>
    <w:qFormat/>
    <w:uiPriority w:val="0"/>
    <w:pPr>
      <w:spacing w:line="360" w:lineRule="auto"/>
      <w:ind w:left="39" w:leftChars="14" w:right="50" w:rightChars="18" w:firstLine="480" w:firstLineChars="200"/>
    </w:pPr>
    <w:rPr>
      <w:rFonts w:ascii="宋体" w:hAnsi="宋体"/>
      <w:sz w:val="24"/>
      <w:szCs w:val="20"/>
    </w:rPr>
  </w:style>
  <w:style w:type="paragraph" w:styleId="32">
    <w:name w:val="Plain Text"/>
    <w:basedOn w:val="1"/>
    <w:qFormat/>
    <w:uiPriority w:val="99"/>
    <w:pPr>
      <w:spacing w:before="120" w:after="120"/>
      <w:ind w:firstLine="629"/>
    </w:pPr>
    <w:rPr>
      <w:rFonts w:ascii="宋体" w:hAnsi="Courier New"/>
      <w:sz w:val="30"/>
    </w:rPr>
  </w:style>
  <w:style w:type="paragraph" w:styleId="33">
    <w:name w:val="Date"/>
    <w:basedOn w:val="1"/>
    <w:next w:val="1"/>
    <w:qFormat/>
    <w:uiPriority w:val="0"/>
    <w:rPr>
      <w:sz w:val="24"/>
      <w:szCs w:val="20"/>
    </w:rPr>
  </w:style>
  <w:style w:type="paragraph" w:styleId="34">
    <w:name w:val="Body Text Indent 2"/>
    <w:basedOn w:val="1"/>
    <w:link w:val="61"/>
    <w:qFormat/>
    <w:uiPriority w:val="0"/>
    <w:pPr>
      <w:widowControl/>
      <w:ind w:firstLine="430"/>
      <w:jc w:val="left"/>
    </w:pPr>
    <w:rPr>
      <w:kern w:val="0"/>
      <w:sz w:val="24"/>
      <w:szCs w:val="20"/>
    </w:rPr>
  </w:style>
  <w:style w:type="paragraph" w:styleId="35">
    <w:name w:val="Balloon Text"/>
    <w:basedOn w:val="1"/>
    <w:link w:val="119"/>
    <w:qFormat/>
    <w:uiPriority w:val="0"/>
    <w:rPr>
      <w:sz w:val="18"/>
      <w:szCs w:val="18"/>
    </w:rPr>
  </w:style>
  <w:style w:type="paragraph" w:styleId="36">
    <w:name w:val="footer"/>
    <w:basedOn w:val="1"/>
    <w:link w:val="62"/>
    <w:qFormat/>
    <w:uiPriority w:val="0"/>
    <w:pPr>
      <w:widowControl/>
      <w:tabs>
        <w:tab w:val="center" w:pos="4153"/>
        <w:tab w:val="right" w:pos="8306"/>
      </w:tabs>
      <w:snapToGrid w:val="0"/>
      <w:jc w:val="left"/>
    </w:pPr>
    <w:rPr>
      <w:kern w:val="0"/>
      <w:sz w:val="18"/>
      <w:szCs w:val="20"/>
    </w:rPr>
  </w:style>
  <w:style w:type="paragraph" w:styleId="37">
    <w:name w:val="header"/>
    <w:basedOn w:val="1"/>
    <w:link w:val="144"/>
    <w:qFormat/>
    <w:uiPriority w:val="0"/>
    <w:pPr>
      <w:pBdr>
        <w:bottom w:val="single" w:color="auto" w:sz="6" w:space="1"/>
      </w:pBdr>
      <w:tabs>
        <w:tab w:val="center" w:pos="4153"/>
        <w:tab w:val="right" w:pos="8306"/>
      </w:tabs>
      <w:snapToGrid w:val="0"/>
      <w:jc w:val="center"/>
    </w:pPr>
    <w:rPr>
      <w:sz w:val="18"/>
      <w:szCs w:val="18"/>
    </w:rPr>
  </w:style>
  <w:style w:type="paragraph" w:styleId="38">
    <w:name w:val="Body Text Indent 3"/>
    <w:basedOn w:val="1"/>
    <w:link w:val="63"/>
    <w:qFormat/>
    <w:uiPriority w:val="0"/>
    <w:pPr>
      <w:spacing w:line="288" w:lineRule="auto"/>
      <w:ind w:firstLine="430"/>
    </w:pPr>
    <w:rPr>
      <w:sz w:val="24"/>
    </w:rPr>
  </w:style>
  <w:style w:type="paragraph" w:styleId="39">
    <w:name w:val="Body Text 2"/>
    <w:basedOn w:val="1"/>
    <w:qFormat/>
    <w:uiPriority w:val="0"/>
    <w:pPr>
      <w:jc w:val="center"/>
    </w:pPr>
    <w:rPr>
      <w:szCs w:val="20"/>
    </w:rPr>
  </w:style>
  <w:style w:type="paragraph" w:styleId="40">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cs="Arial Unicode MS"/>
      <w:kern w:val="0"/>
      <w:sz w:val="20"/>
      <w:szCs w:val="20"/>
    </w:rPr>
  </w:style>
  <w:style w:type="paragraph" w:styleId="41">
    <w:name w:val="Normal (Web)"/>
    <w:basedOn w:val="1"/>
    <w:qFormat/>
    <w:uiPriority w:val="0"/>
    <w:pPr>
      <w:widowControl/>
      <w:spacing w:before="100" w:beforeAutospacing="1" w:after="100" w:afterAutospacing="1" w:line="270" w:lineRule="atLeast"/>
      <w:jc w:val="left"/>
    </w:pPr>
    <w:rPr>
      <w:rFonts w:ascii="宋体" w:hAnsi="宋体" w:cs="宋体"/>
      <w:kern w:val="0"/>
      <w:sz w:val="24"/>
    </w:rPr>
  </w:style>
  <w:style w:type="paragraph" w:styleId="42">
    <w:name w:val="Title"/>
    <w:basedOn w:val="1"/>
    <w:next w:val="1"/>
    <w:link w:val="96"/>
    <w:qFormat/>
    <w:uiPriority w:val="0"/>
    <w:pPr>
      <w:spacing w:before="240" w:after="60"/>
      <w:jc w:val="center"/>
      <w:outlineLvl w:val="0"/>
    </w:pPr>
    <w:rPr>
      <w:rFonts w:ascii="Cambria" w:hAnsi="Cambria"/>
      <w:b/>
      <w:bCs/>
      <w:sz w:val="32"/>
      <w:szCs w:val="32"/>
    </w:rPr>
  </w:style>
  <w:style w:type="paragraph" w:styleId="43">
    <w:name w:val="annotation subject"/>
    <w:basedOn w:val="27"/>
    <w:next w:val="27"/>
    <w:link w:val="99"/>
    <w:qFormat/>
    <w:uiPriority w:val="0"/>
    <w:rPr>
      <w:b/>
      <w:bCs/>
      <w:szCs w:val="24"/>
    </w:rPr>
  </w:style>
  <w:style w:type="table" w:styleId="45">
    <w:name w:val="Table Grid"/>
    <w:basedOn w:val="44"/>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7">
    <w:name w:val="Strong"/>
    <w:qFormat/>
    <w:uiPriority w:val="22"/>
    <w:rPr>
      <w:b/>
      <w:bCs/>
    </w:rPr>
  </w:style>
  <w:style w:type="character" w:styleId="48">
    <w:name w:val="page number"/>
    <w:basedOn w:val="46"/>
    <w:qFormat/>
    <w:uiPriority w:val="0"/>
  </w:style>
  <w:style w:type="character" w:styleId="49">
    <w:name w:val="Hyperlink"/>
    <w:qFormat/>
    <w:uiPriority w:val="0"/>
    <w:rPr>
      <w:color w:val="136EC2"/>
      <w:u w:val="single"/>
    </w:rPr>
  </w:style>
  <w:style w:type="character" w:styleId="50">
    <w:name w:val="annotation reference"/>
    <w:qFormat/>
    <w:uiPriority w:val="0"/>
    <w:rPr>
      <w:sz w:val="21"/>
      <w:szCs w:val="21"/>
    </w:rPr>
  </w:style>
  <w:style w:type="character" w:customStyle="1" w:styleId="51">
    <w:name w:val="标题 2 Char"/>
    <w:link w:val="15"/>
    <w:qFormat/>
    <w:uiPriority w:val="0"/>
    <w:rPr>
      <w:rFonts w:ascii="宋体" w:hAnsi="Arial" w:eastAsia="楷体_GB2312"/>
      <w:b/>
      <w:kern w:val="24"/>
      <w:sz w:val="24"/>
      <w:lang w:val="en-US" w:eastAsia="zh-CN" w:bidi="ar-SA"/>
    </w:rPr>
  </w:style>
  <w:style w:type="character" w:customStyle="1" w:styleId="52">
    <w:name w:val="正文缩进 Char"/>
    <w:link w:val="19"/>
    <w:qFormat/>
    <w:uiPriority w:val="0"/>
    <w:rPr>
      <w:rFonts w:eastAsia="宋体"/>
      <w:kern w:val="2"/>
      <w:sz w:val="21"/>
      <w:lang w:val="en-US" w:eastAsia="zh-CN" w:bidi="ar-SA"/>
    </w:rPr>
  </w:style>
  <w:style w:type="paragraph" w:customStyle="1" w:styleId="53">
    <w:name w:val="正文 03"/>
    <w:basedOn w:val="1"/>
    <w:qFormat/>
    <w:uiPriority w:val="0"/>
    <w:pPr>
      <w:autoSpaceDE w:val="0"/>
      <w:autoSpaceDN w:val="0"/>
      <w:adjustRightInd w:val="0"/>
      <w:textAlignment w:val="baseline"/>
    </w:pPr>
    <w:rPr>
      <w:rFonts w:eastAsia="楷体_GB2312"/>
      <w:kern w:val="0"/>
      <w:sz w:val="24"/>
      <w:szCs w:val="20"/>
    </w:rPr>
  </w:style>
  <w:style w:type="paragraph" w:customStyle="1" w:styleId="54">
    <w:name w:val="表格1"/>
    <w:basedOn w:val="1"/>
    <w:next w:val="1"/>
    <w:link w:val="126"/>
    <w:qFormat/>
    <w:uiPriority w:val="0"/>
    <w:pPr>
      <w:topLinePunct/>
      <w:autoSpaceDE w:val="0"/>
      <w:autoSpaceDN w:val="0"/>
      <w:adjustRightInd w:val="0"/>
      <w:jc w:val="center"/>
      <w:textAlignment w:val="baseline"/>
    </w:pPr>
    <w:rPr>
      <w:rFonts w:ascii="宋体" w:hAnsi="Impact"/>
      <w:kern w:val="24"/>
      <w:sz w:val="28"/>
      <w:szCs w:val="20"/>
    </w:rPr>
  </w:style>
  <w:style w:type="paragraph" w:customStyle="1" w:styleId="55">
    <w:name w:val="表格2"/>
    <w:basedOn w:val="54"/>
    <w:next w:val="1"/>
    <w:qFormat/>
    <w:uiPriority w:val="0"/>
    <w:rPr>
      <w:position w:val="-28"/>
      <w:sz w:val="21"/>
    </w:rPr>
  </w:style>
  <w:style w:type="paragraph" w:customStyle="1" w:styleId="56">
    <w:name w:val="表格 32"/>
    <w:basedOn w:val="1"/>
    <w:link w:val="57"/>
    <w:qFormat/>
    <w:uiPriority w:val="0"/>
    <w:pPr>
      <w:autoSpaceDE w:val="0"/>
      <w:autoSpaceDN w:val="0"/>
      <w:adjustRightInd w:val="0"/>
      <w:jc w:val="center"/>
      <w:textAlignment w:val="baseline"/>
    </w:pPr>
    <w:rPr>
      <w:rFonts w:ascii="宋体" w:hAnsi="Impact"/>
      <w:kern w:val="24"/>
      <w:sz w:val="24"/>
      <w:szCs w:val="20"/>
    </w:rPr>
  </w:style>
  <w:style w:type="character" w:customStyle="1" w:styleId="57">
    <w:name w:val="表格 32 Char"/>
    <w:link w:val="56"/>
    <w:qFormat/>
    <w:uiPriority w:val="0"/>
    <w:rPr>
      <w:rFonts w:ascii="宋体" w:hAnsi="Impact" w:eastAsia="宋体"/>
      <w:kern w:val="24"/>
      <w:sz w:val="24"/>
      <w:lang w:val="en-US" w:eastAsia="zh-CN" w:bidi="ar-SA"/>
    </w:rPr>
  </w:style>
  <w:style w:type="paragraph" w:customStyle="1" w:styleId="58">
    <w:name w:val="正文 32"/>
    <w:basedOn w:val="1"/>
    <w:link w:val="59"/>
    <w:qFormat/>
    <w:uiPriority w:val="0"/>
    <w:pPr>
      <w:autoSpaceDE w:val="0"/>
      <w:autoSpaceDN w:val="0"/>
      <w:adjustRightInd w:val="0"/>
      <w:spacing w:line="300" w:lineRule="auto"/>
      <w:ind w:firstLine="567"/>
      <w:textAlignment w:val="baseline"/>
    </w:pPr>
    <w:rPr>
      <w:rFonts w:eastAsia="楷体_GB2312"/>
      <w:kern w:val="0"/>
      <w:sz w:val="24"/>
      <w:szCs w:val="20"/>
    </w:rPr>
  </w:style>
  <w:style w:type="character" w:customStyle="1" w:styleId="59">
    <w:name w:val="正文 32 Char"/>
    <w:link w:val="58"/>
    <w:qFormat/>
    <w:uiPriority w:val="0"/>
    <w:rPr>
      <w:rFonts w:eastAsia="楷体_GB2312"/>
      <w:sz w:val="24"/>
      <w:lang w:val="en-US" w:eastAsia="zh-CN" w:bidi="ar-SA"/>
    </w:rPr>
  </w:style>
  <w:style w:type="paragraph" w:customStyle="1" w:styleId="60">
    <w:name w:val="表1表2"/>
    <w:basedOn w:val="1"/>
    <w:qFormat/>
    <w:uiPriority w:val="99"/>
    <w:pPr>
      <w:autoSpaceDE w:val="0"/>
      <w:autoSpaceDN w:val="0"/>
      <w:adjustRightInd w:val="0"/>
      <w:jc w:val="center"/>
      <w:textAlignment w:val="center"/>
    </w:pPr>
    <w:rPr>
      <w:rFonts w:eastAsia="仿宋体"/>
      <w:kern w:val="0"/>
      <w:sz w:val="24"/>
      <w:szCs w:val="20"/>
    </w:rPr>
  </w:style>
  <w:style w:type="character" w:customStyle="1" w:styleId="61">
    <w:name w:val="正文文本缩进 2 Char"/>
    <w:link w:val="34"/>
    <w:qFormat/>
    <w:uiPriority w:val="0"/>
    <w:rPr>
      <w:rFonts w:eastAsia="宋体"/>
      <w:sz w:val="24"/>
      <w:lang w:bidi="ar-SA"/>
    </w:rPr>
  </w:style>
  <w:style w:type="character" w:customStyle="1" w:styleId="62">
    <w:name w:val="页脚 Char"/>
    <w:link w:val="36"/>
    <w:qFormat/>
    <w:uiPriority w:val="0"/>
    <w:rPr>
      <w:rFonts w:eastAsia="宋体"/>
      <w:sz w:val="18"/>
      <w:lang w:val="en-US" w:eastAsia="zh-CN" w:bidi="ar-SA"/>
    </w:rPr>
  </w:style>
  <w:style w:type="character" w:customStyle="1" w:styleId="63">
    <w:name w:val="正文文本缩进 3 Char"/>
    <w:link w:val="38"/>
    <w:qFormat/>
    <w:uiPriority w:val="0"/>
    <w:rPr>
      <w:rFonts w:eastAsia="宋体"/>
      <w:kern w:val="2"/>
      <w:sz w:val="24"/>
      <w:szCs w:val="24"/>
      <w:lang w:bidi="ar-SA"/>
    </w:rPr>
  </w:style>
  <w:style w:type="character" w:customStyle="1" w:styleId="64">
    <w:name w:val="正文文本 Char1"/>
    <w:link w:val="29"/>
    <w:qFormat/>
    <w:uiPriority w:val="0"/>
    <w:rPr>
      <w:rFonts w:eastAsia="宋体"/>
      <w:b/>
      <w:bCs/>
      <w:kern w:val="2"/>
      <w:sz w:val="32"/>
      <w:szCs w:val="24"/>
      <w:lang w:val="en-US" w:eastAsia="zh-CN" w:bidi="ar-SA"/>
    </w:rPr>
  </w:style>
  <w:style w:type="paragraph" w:customStyle="1" w:styleId="65">
    <w:name w:val="表格"/>
    <w:next w:val="1"/>
    <w:qFormat/>
    <w:uiPriority w:val="0"/>
    <w:pPr>
      <w:keepNext/>
      <w:widowControl w:val="0"/>
      <w:autoSpaceDE w:val="0"/>
      <w:autoSpaceDN w:val="0"/>
      <w:adjustRightInd w:val="0"/>
      <w:jc w:val="center"/>
      <w:textAlignment w:val="baseline"/>
    </w:pPr>
    <w:rPr>
      <w:rFonts w:ascii="Times New Roman" w:hAnsi="Times New Roman" w:eastAsia="宋体" w:cs="Times New Roman"/>
      <w:sz w:val="24"/>
      <w:lang w:val="en-US" w:eastAsia="zh-CN" w:bidi="ar-SA"/>
    </w:rPr>
  </w:style>
  <w:style w:type="paragraph" w:customStyle="1" w:styleId="66">
    <w:name w:val="表头"/>
    <w:basedOn w:val="24"/>
    <w:next w:val="65"/>
    <w:qFormat/>
    <w:uiPriority w:val="0"/>
    <w:pPr>
      <w:keepNext/>
      <w:autoSpaceDE w:val="0"/>
      <w:autoSpaceDN w:val="0"/>
      <w:adjustRightInd w:val="0"/>
      <w:spacing w:before="240" w:line="360" w:lineRule="auto"/>
      <w:ind w:left="0" w:leftChars="0" w:firstLine="0" w:firstLineChars="0"/>
      <w:jc w:val="center"/>
      <w:textAlignment w:val="baseline"/>
    </w:pPr>
    <w:rPr>
      <w:rFonts w:eastAsia="楷体_GB2312"/>
      <w:kern w:val="0"/>
      <w:sz w:val="28"/>
      <w:szCs w:val="20"/>
    </w:rPr>
  </w:style>
  <w:style w:type="character" w:customStyle="1" w:styleId="67">
    <w:name w:val="p141"/>
    <w:qFormat/>
    <w:uiPriority w:val="0"/>
    <w:rPr>
      <w:color w:val="333333"/>
      <w:spacing w:val="330"/>
      <w:sz w:val="21"/>
      <w:szCs w:val="21"/>
    </w:rPr>
  </w:style>
  <w:style w:type="paragraph" w:customStyle="1" w:styleId="68">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character" w:customStyle="1" w:styleId="69">
    <w:name w:val="批注文字 Char"/>
    <w:link w:val="27"/>
    <w:qFormat/>
    <w:uiPriority w:val="0"/>
    <w:rPr>
      <w:rFonts w:eastAsia="宋体"/>
      <w:kern w:val="2"/>
      <w:sz w:val="21"/>
      <w:lang w:bidi="ar-SA"/>
    </w:rPr>
  </w:style>
  <w:style w:type="character" w:customStyle="1" w:styleId="70">
    <w:name w:val="font21"/>
    <w:qFormat/>
    <w:uiPriority w:val="0"/>
    <w:rPr>
      <w:rFonts w:hint="default" w:ascii="ˎ̥" w:hAnsi="ˎ̥"/>
      <w:color w:val="000000"/>
      <w:sz w:val="20"/>
      <w:szCs w:val="20"/>
      <w:u w:val="none"/>
    </w:rPr>
  </w:style>
  <w:style w:type="paragraph" w:customStyle="1" w:styleId="71">
    <w:name w:val="Char"/>
    <w:basedOn w:val="1"/>
    <w:qFormat/>
    <w:uiPriority w:val="0"/>
    <w:pPr>
      <w:snapToGrid w:val="0"/>
      <w:spacing w:line="360" w:lineRule="auto"/>
      <w:ind w:firstLine="529" w:firstLineChars="200"/>
    </w:pPr>
    <w:rPr>
      <w:rFonts w:ascii="宋体" w:hAnsi="宋体"/>
      <w:b/>
    </w:rPr>
  </w:style>
  <w:style w:type="paragraph" w:customStyle="1" w:styleId="72">
    <w:name w:val="报告表正文"/>
    <w:basedOn w:val="1"/>
    <w:link w:val="120"/>
    <w:qFormat/>
    <w:uiPriority w:val="0"/>
    <w:pPr>
      <w:adjustRightInd w:val="0"/>
      <w:spacing w:line="312" w:lineRule="auto"/>
      <w:ind w:left="113" w:right="113" w:firstLine="482"/>
      <w:jc w:val="left"/>
      <w:textAlignment w:val="baseline"/>
    </w:pPr>
    <w:rPr>
      <w:kern w:val="0"/>
      <w:sz w:val="24"/>
      <w:szCs w:val="20"/>
    </w:rPr>
  </w:style>
  <w:style w:type="paragraph" w:customStyle="1" w:styleId="73">
    <w:name w:val="报告表格"/>
    <w:basedOn w:val="1"/>
    <w:qFormat/>
    <w:uiPriority w:val="0"/>
    <w:pPr>
      <w:autoSpaceDE w:val="0"/>
      <w:autoSpaceDN w:val="0"/>
      <w:adjustRightInd w:val="0"/>
      <w:spacing w:before="40" w:after="40"/>
      <w:jc w:val="center"/>
      <w:textAlignment w:val="baseline"/>
    </w:pPr>
    <w:rPr>
      <w:kern w:val="0"/>
      <w:szCs w:val="20"/>
    </w:rPr>
  </w:style>
  <w:style w:type="paragraph" w:customStyle="1" w:styleId="74">
    <w:name w:val="报告"/>
    <w:basedOn w:val="1"/>
    <w:link w:val="143"/>
    <w:qFormat/>
    <w:uiPriority w:val="0"/>
    <w:pPr>
      <w:overflowPunct w:val="0"/>
      <w:autoSpaceDE w:val="0"/>
      <w:autoSpaceDN w:val="0"/>
      <w:adjustRightInd w:val="0"/>
      <w:spacing w:beforeLines="30" w:afterLines="30" w:line="400" w:lineRule="atLeast"/>
      <w:ind w:left="200" w:leftChars="200" w:firstLine="200" w:firstLineChars="200"/>
      <w:textAlignment w:val="baseline"/>
    </w:pPr>
    <w:rPr>
      <w:kern w:val="0"/>
      <w:sz w:val="24"/>
      <w:szCs w:val="20"/>
    </w:rPr>
  </w:style>
  <w:style w:type="paragraph" w:customStyle="1" w:styleId="75">
    <w:name w:val="页面 7"/>
    <w:basedOn w:val="1"/>
    <w:qFormat/>
    <w:uiPriority w:val="0"/>
    <w:pPr>
      <w:autoSpaceDE w:val="0"/>
      <w:autoSpaceDN w:val="0"/>
      <w:adjustRightInd w:val="0"/>
      <w:spacing w:before="120" w:after="120"/>
      <w:jc w:val="center"/>
      <w:textAlignment w:val="baseline"/>
    </w:pPr>
    <w:rPr>
      <w:rFonts w:ascii="宋体" w:hAnsi="Impact"/>
      <w:kern w:val="24"/>
      <w:sz w:val="32"/>
      <w:szCs w:val="20"/>
    </w:rPr>
  </w:style>
  <w:style w:type="paragraph" w:customStyle="1" w:styleId="76">
    <w:name w:val="前言"/>
    <w:basedOn w:val="1"/>
    <w:qFormat/>
    <w:uiPriority w:val="0"/>
    <w:pPr>
      <w:pageBreakBefore/>
      <w:autoSpaceDE w:val="0"/>
      <w:autoSpaceDN w:val="0"/>
      <w:adjustRightInd w:val="0"/>
      <w:jc w:val="center"/>
      <w:textAlignment w:val="baseline"/>
    </w:pPr>
    <w:rPr>
      <w:rFonts w:ascii="黑体" w:hAnsi="Impact" w:eastAsia="黑体"/>
      <w:kern w:val="24"/>
      <w:sz w:val="32"/>
      <w:szCs w:val="20"/>
    </w:rPr>
  </w:style>
  <w:style w:type="paragraph" w:customStyle="1" w:styleId="77">
    <w:name w:val="正文 + 小四"/>
    <w:basedOn w:val="1"/>
    <w:link w:val="78"/>
    <w:qFormat/>
    <w:uiPriority w:val="0"/>
    <w:pPr>
      <w:ind w:firstLine="360" w:firstLineChars="150"/>
    </w:pPr>
    <w:rPr>
      <w:rFonts w:hAnsi="宋体"/>
      <w:sz w:val="24"/>
    </w:rPr>
  </w:style>
  <w:style w:type="character" w:customStyle="1" w:styleId="78">
    <w:name w:val="正文 + 小四 Char"/>
    <w:link w:val="77"/>
    <w:qFormat/>
    <w:uiPriority w:val="0"/>
    <w:rPr>
      <w:rFonts w:hAnsi="宋体" w:eastAsia="宋体"/>
      <w:kern w:val="2"/>
      <w:sz w:val="24"/>
      <w:szCs w:val="24"/>
      <w:lang w:val="en-US" w:eastAsia="zh-CN" w:bidi="ar-SA"/>
    </w:rPr>
  </w:style>
  <w:style w:type="paragraph" w:customStyle="1" w:styleId="79">
    <w:name w:val="Char Char Char Char Char Char"/>
    <w:basedOn w:val="1"/>
    <w:qFormat/>
    <w:uiPriority w:val="0"/>
    <w:pPr>
      <w:snapToGrid w:val="0"/>
      <w:spacing w:line="360" w:lineRule="auto"/>
      <w:ind w:firstLine="529" w:firstLineChars="200"/>
    </w:pPr>
    <w:rPr>
      <w:rFonts w:ascii="宋体" w:hAnsi="宋体"/>
      <w:b/>
    </w:rPr>
  </w:style>
  <w:style w:type="paragraph" w:customStyle="1" w:styleId="80">
    <w:name w:val="Char Char Char"/>
    <w:basedOn w:val="1"/>
    <w:qFormat/>
    <w:uiPriority w:val="0"/>
  </w:style>
  <w:style w:type="paragraph" w:customStyle="1" w:styleId="81">
    <w:name w:val="中文报告书样式"/>
    <w:basedOn w:val="1"/>
    <w:qFormat/>
    <w:uiPriority w:val="0"/>
    <w:pPr>
      <w:adjustRightInd w:val="0"/>
      <w:spacing w:line="480" w:lineRule="atLeast"/>
      <w:ind w:firstLine="482"/>
    </w:pPr>
    <w:rPr>
      <w:kern w:val="24"/>
      <w:sz w:val="24"/>
      <w:szCs w:val="20"/>
    </w:rPr>
  </w:style>
  <w:style w:type="paragraph" w:customStyle="1" w:styleId="82">
    <w:name w:val="报告书表格"/>
    <w:basedOn w:val="1"/>
    <w:qFormat/>
    <w:uiPriority w:val="0"/>
    <w:pPr>
      <w:adjustRightInd w:val="0"/>
      <w:spacing w:before="60" w:after="60" w:line="240" w:lineRule="atLeast"/>
      <w:jc w:val="center"/>
    </w:pPr>
    <w:rPr>
      <w:kern w:val="0"/>
      <w:szCs w:val="20"/>
    </w:rPr>
  </w:style>
  <w:style w:type="character" w:customStyle="1" w:styleId="83">
    <w:name w:val="正文文本 Char"/>
    <w:qFormat/>
    <w:uiPriority w:val="0"/>
    <w:rPr>
      <w:rFonts w:eastAsia="宋体"/>
      <w:kern w:val="2"/>
      <w:sz w:val="21"/>
      <w:szCs w:val="24"/>
      <w:lang w:val="en-US" w:eastAsia="zh-CN" w:bidi="ar-SA"/>
    </w:rPr>
  </w:style>
  <w:style w:type="paragraph" w:customStyle="1" w:styleId="84">
    <w:name w:val="Char Char Char Char Char Char Char Char Char1"/>
    <w:basedOn w:val="1"/>
    <w:qFormat/>
    <w:uiPriority w:val="0"/>
    <w:pPr>
      <w:snapToGrid w:val="0"/>
      <w:spacing w:line="360" w:lineRule="auto"/>
      <w:ind w:firstLine="529" w:firstLineChars="200"/>
    </w:pPr>
    <w:rPr>
      <w:rFonts w:ascii="宋体" w:hAnsi="宋体"/>
      <w:b/>
    </w:rPr>
  </w:style>
  <w:style w:type="paragraph" w:customStyle="1" w:styleId="85">
    <w:name w:val="表格 23"/>
    <w:basedOn w:val="1"/>
    <w:qFormat/>
    <w:uiPriority w:val="0"/>
    <w:pPr>
      <w:jc w:val="center"/>
    </w:pPr>
    <w:rPr>
      <w:rFonts w:ascii="宋体" w:hAnsi="宋体"/>
      <w:b/>
      <w:sz w:val="24"/>
    </w:rPr>
  </w:style>
  <w:style w:type="paragraph" w:customStyle="1" w:styleId="86">
    <w:name w:val="正文25磅"/>
    <w:basedOn w:val="1"/>
    <w:qFormat/>
    <w:uiPriority w:val="0"/>
    <w:pPr>
      <w:spacing w:line="500" w:lineRule="exact"/>
      <w:ind w:firstLine="200" w:firstLineChars="200"/>
    </w:pPr>
    <w:rPr>
      <w:sz w:val="24"/>
      <w:szCs w:val="20"/>
    </w:rPr>
  </w:style>
  <w:style w:type="paragraph" w:customStyle="1" w:styleId="87">
    <w:name w:val="表格标题"/>
    <w:basedOn w:val="1"/>
    <w:qFormat/>
    <w:uiPriority w:val="0"/>
    <w:rPr>
      <w:rFonts w:eastAsia="仿宋_GB2312"/>
      <w:b/>
      <w:sz w:val="24"/>
    </w:rPr>
  </w:style>
  <w:style w:type="paragraph" w:customStyle="1" w:styleId="88">
    <w:name w:val="Char Char Char Char"/>
    <w:basedOn w:val="1"/>
    <w:qFormat/>
    <w:uiPriority w:val="0"/>
    <w:pPr>
      <w:snapToGrid w:val="0"/>
      <w:spacing w:line="360" w:lineRule="auto"/>
      <w:ind w:firstLine="529" w:firstLineChars="200"/>
    </w:pPr>
    <w:rPr>
      <w:rFonts w:ascii="宋体" w:hAnsi="宋体"/>
      <w:b/>
    </w:rPr>
  </w:style>
  <w:style w:type="paragraph" w:customStyle="1" w:styleId="89">
    <w:name w:val="Char Char Char Char Char Char Char"/>
    <w:basedOn w:val="17"/>
    <w:qFormat/>
    <w:uiPriority w:val="0"/>
    <w:pPr>
      <w:keepNext/>
      <w:keepLines/>
      <w:numPr>
        <w:ilvl w:val="0"/>
        <w:numId w:val="0"/>
      </w:numPr>
      <w:autoSpaceDE/>
      <w:autoSpaceDN/>
      <w:adjustRightInd/>
      <w:spacing w:before="280" w:after="290" w:line="376" w:lineRule="auto"/>
      <w:textAlignment w:val="auto"/>
    </w:pPr>
    <w:rPr>
      <w:rFonts w:ascii="Arial" w:eastAsia="仿宋_GB2312"/>
      <w:b w:val="0"/>
      <w:bCs/>
      <w:kern w:val="2"/>
      <w:szCs w:val="28"/>
    </w:rPr>
  </w:style>
  <w:style w:type="paragraph" w:customStyle="1" w:styleId="90">
    <w:name w:val="Char Char Char Char Char Char Char Char Char11"/>
    <w:basedOn w:val="1"/>
    <w:qFormat/>
    <w:uiPriority w:val="0"/>
    <w:pPr>
      <w:snapToGrid w:val="0"/>
      <w:spacing w:line="360" w:lineRule="auto"/>
      <w:ind w:firstLine="529" w:firstLineChars="200"/>
    </w:pPr>
  </w:style>
  <w:style w:type="paragraph" w:customStyle="1" w:styleId="91">
    <w:name w:val="Char Char"/>
    <w:basedOn w:val="1"/>
    <w:qFormat/>
    <w:uiPriority w:val="0"/>
    <w:pPr>
      <w:snapToGrid w:val="0"/>
      <w:spacing w:line="360" w:lineRule="auto"/>
      <w:ind w:firstLine="529" w:firstLineChars="200"/>
    </w:pPr>
    <w:rPr>
      <w:rFonts w:ascii="宋体" w:hAnsi="宋体"/>
      <w:b/>
    </w:rPr>
  </w:style>
  <w:style w:type="paragraph" w:customStyle="1" w:styleId="92">
    <w:name w:val="4 Char"/>
    <w:basedOn w:val="1"/>
    <w:qFormat/>
    <w:uiPriority w:val="0"/>
  </w:style>
  <w:style w:type="paragraph" w:customStyle="1" w:styleId="93">
    <w:name w:val="默认段落字体 Para Char Char Char Char Char Char Char Char Char Char Char Char Char1 Char"/>
    <w:basedOn w:val="26"/>
    <w:qFormat/>
    <w:uiPriority w:val="0"/>
  </w:style>
  <w:style w:type="paragraph" w:customStyle="1" w:styleId="94">
    <w:name w:val="Char2"/>
    <w:basedOn w:val="1"/>
    <w:qFormat/>
    <w:uiPriority w:val="0"/>
  </w:style>
  <w:style w:type="paragraph" w:customStyle="1" w:styleId="95">
    <w:name w:val="Char Char Char Char Char Char Char Char Char Char"/>
    <w:basedOn w:val="1"/>
    <w:qFormat/>
    <w:uiPriority w:val="0"/>
    <w:pPr>
      <w:adjustRightInd w:val="0"/>
      <w:spacing w:line="360" w:lineRule="auto"/>
    </w:pPr>
    <w:rPr>
      <w:kern w:val="0"/>
      <w:sz w:val="24"/>
      <w:szCs w:val="20"/>
    </w:rPr>
  </w:style>
  <w:style w:type="character" w:customStyle="1" w:styleId="96">
    <w:name w:val="标题 Char"/>
    <w:link w:val="42"/>
    <w:qFormat/>
    <w:uiPriority w:val="0"/>
    <w:rPr>
      <w:rFonts w:ascii="Cambria" w:hAnsi="Cambria" w:eastAsia="宋体"/>
      <w:b/>
      <w:bCs/>
      <w:kern w:val="2"/>
      <w:sz w:val="32"/>
      <w:szCs w:val="32"/>
      <w:lang w:bidi="ar-SA"/>
    </w:rPr>
  </w:style>
  <w:style w:type="character" w:customStyle="1" w:styleId="97">
    <w:name w:val="text-h21"/>
    <w:qFormat/>
    <w:uiPriority w:val="0"/>
    <w:rPr>
      <w:rFonts w:hint="default" w:ascii="Tahoma" w:hAnsi="Tahoma" w:cs="Tahoma"/>
      <w:color w:val="333333"/>
      <w:sz w:val="18"/>
      <w:szCs w:val="18"/>
    </w:rPr>
  </w:style>
  <w:style w:type="paragraph" w:customStyle="1" w:styleId="98">
    <w:name w:val="text-h2"/>
    <w:basedOn w:val="1"/>
    <w:qFormat/>
    <w:uiPriority w:val="0"/>
    <w:pPr>
      <w:widowControl/>
      <w:spacing w:before="100" w:beforeAutospacing="1" w:after="100" w:afterAutospacing="1" w:line="300" w:lineRule="atLeast"/>
      <w:jc w:val="left"/>
    </w:pPr>
    <w:rPr>
      <w:rFonts w:ascii="Tahoma" w:hAnsi="Tahoma" w:cs="Tahoma"/>
      <w:color w:val="333333"/>
      <w:kern w:val="0"/>
      <w:sz w:val="18"/>
      <w:szCs w:val="18"/>
    </w:rPr>
  </w:style>
  <w:style w:type="character" w:customStyle="1" w:styleId="99">
    <w:name w:val="批注主题 Char"/>
    <w:link w:val="43"/>
    <w:qFormat/>
    <w:uiPriority w:val="0"/>
    <w:rPr>
      <w:rFonts w:eastAsia="宋体"/>
      <w:b/>
      <w:bCs/>
      <w:kern w:val="2"/>
      <w:sz w:val="21"/>
      <w:szCs w:val="24"/>
      <w:lang w:bidi="ar-SA"/>
    </w:rPr>
  </w:style>
  <w:style w:type="paragraph" w:customStyle="1" w:styleId="100">
    <w:name w:val="四级标题"/>
    <w:basedOn w:val="1"/>
    <w:link w:val="101"/>
    <w:qFormat/>
    <w:uiPriority w:val="0"/>
    <w:pPr>
      <w:tabs>
        <w:tab w:val="left" w:pos="630"/>
      </w:tabs>
      <w:spacing w:beforeLines="30" w:afterLines="30" w:line="360" w:lineRule="auto"/>
      <w:ind w:firstLine="480" w:firstLineChars="200"/>
      <w:outlineLvl w:val="0"/>
    </w:pPr>
    <w:rPr>
      <w:rFonts w:ascii="宋体" w:hAnsi="宋体"/>
      <w:b/>
      <w:kern w:val="44"/>
      <w:sz w:val="24"/>
      <w:szCs w:val="20"/>
    </w:rPr>
  </w:style>
  <w:style w:type="character" w:customStyle="1" w:styleId="101">
    <w:name w:val="四级标题 Char"/>
    <w:link w:val="100"/>
    <w:qFormat/>
    <w:uiPriority w:val="0"/>
    <w:rPr>
      <w:rFonts w:ascii="宋体" w:hAnsi="宋体" w:eastAsia="宋体"/>
      <w:b/>
      <w:kern w:val="44"/>
      <w:sz w:val="24"/>
      <w:lang w:val="en-US" w:eastAsia="zh-CN" w:bidi="ar-SA"/>
    </w:rPr>
  </w:style>
  <w:style w:type="paragraph" w:customStyle="1" w:styleId="102">
    <w:name w:val="报告正文"/>
    <w:basedOn w:val="1"/>
    <w:qFormat/>
    <w:uiPriority w:val="0"/>
    <w:pPr>
      <w:spacing w:line="360" w:lineRule="auto"/>
      <w:ind w:firstLine="480" w:firstLineChars="200"/>
    </w:pPr>
    <w:rPr>
      <w:rFonts w:hAnsi="宋体"/>
      <w:sz w:val="24"/>
    </w:rPr>
  </w:style>
  <w:style w:type="paragraph" w:customStyle="1" w:styleId="103">
    <w:name w:val="三级标题"/>
    <w:basedOn w:val="1"/>
    <w:link w:val="104"/>
    <w:qFormat/>
    <w:uiPriority w:val="0"/>
    <w:pPr>
      <w:tabs>
        <w:tab w:val="left" w:pos="630"/>
      </w:tabs>
      <w:spacing w:beforeLines="30" w:afterLines="30"/>
      <w:ind w:firstLine="482" w:firstLineChars="200"/>
      <w:outlineLvl w:val="0"/>
    </w:pPr>
    <w:rPr>
      <w:rFonts w:ascii="宋体" w:hAnsi="宋体"/>
      <w:b/>
      <w:kern w:val="44"/>
      <w:sz w:val="24"/>
    </w:rPr>
  </w:style>
  <w:style w:type="character" w:customStyle="1" w:styleId="104">
    <w:name w:val="三级标题 Char"/>
    <w:link w:val="103"/>
    <w:qFormat/>
    <w:uiPriority w:val="0"/>
    <w:rPr>
      <w:rFonts w:ascii="宋体" w:hAnsi="宋体" w:eastAsia="宋体"/>
      <w:b/>
      <w:kern w:val="44"/>
      <w:sz w:val="24"/>
      <w:szCs w:val="24"/>
      <w:lang w:val="en-US" w:eastAsia="zh-CN" w:bidi="ar-SA"/>
    </w:rPr>
  </w:style>
  <w:style w:type="paragraph" w:customStyle="1" w:styleId="105">
    <w:name w:val="pic-info"/>
    <w:basedOn w:val="1"/>
    <w:qFormat/>
    <w:uiPriority w:val="0"/>
    <w:pPr>
      <w:widowControl/>
      <w:spacing w:before="100" w:beforeAutospacing="1" w:after="100" w:afterAutospacing="1"/>
      <w:jc w:val="left"/>
    </w:pPr>
    <w:rPr>
      <w:rFonts w:ascii="宋体" w:hAnsi="宋体" w:cs="宋体"/>
      <w:kern w:val="0"/>
      <w:sz w:val="24"/>
    </w:rPr>
  </w:style>
  <w:style w:type="character" w:customStyle="1" w:styleId="106">
    <w:name w:val="headline-content2"/>
    <w:basedOn w:val="46"/>
    <w:qFormat/>
    <w:uiPriority w:val="0"/>
  </w:style>
  <w:style w:type="character" w:customStyle="1" w:styleId="107">
    <w:name w:val="Char Char7"/>
    <w:qFormat/>
    <w:uiPriority w:val="0"/>
    <w:rPr>
      <w:rFonts w:eastAsia="宋体"/>
      <w:sz w:val="18"/>
      <w:lang w:val="en-US" w:eastAsia="zh-CN" w:bidi="ar-SA"/>
    </w:rPr>
  </w:style>
  <w:style w:type="paragraph" w:customStyle="1" w:styleId="108">
    <w:name w:val="正文1"/>
    <w:basedOn w:val="1"/>
    <w:link w:val="109"/>
    <w:qFormat/>
    <w:uiPriority w:val="0"/>
    <w:pPr>
      <w:adjustRightInd w:val="0"/>
    </w:pPr>
    <w:rPr>
      <w:rFonts w:eastAsia="楷体_GB2312"/>
      <w:sz w:val="20"/>
    </w:rPr>
  </w:style>
  <w:style w:type="character" w:customStyle="1" w:styleId="109">
    <w:name w:val="正文1 Char"/>
    <w:link w:val="108"/>
    <w:qFormat/>
    <w:uiPriority w:val="0"/>
    <w:rPr>
      <w:rFonts w:eastAsia="楷体_GB2312"/>
      <w:kern w:val="2"/>
      <w:szCs w:val="24"/>
      <w:lang w:val="en-US" w:eastAsia="zh-CN" w:bidi="ar-SA"/>
    </w:rPr>
  </w:style>
  <w:style w:type="character" w:customStyle="1" w:styleId="110">
    <w:name w:val="A表名 Char"/>
    <w:qFormat/>
    <w:uiPriority w:val="0"/>
    <w:rPr>
      <w:rFonts w:ascii="Arial" w:hAnsi="Arial" w:eastAsia="黑体"/>
      <w:b/>
      <w:bCs/>
      <w:kern w:val="2"/>
      <w:sz w:val="24"/>
      <w:szCs w:val="24"/>
      <w:lang w:val="en-US" w:eastAsia="en-US" w:bidi="ar-SA"/>
    </w:rPr>
  </w:style>
  <w:style w:type="paragraph" w:customStyle="1" w:styleId="111">
    <w:name w:val="缩进"/>
    <w:basedOn w:val="1"/>
    <w:qFormat/>
    <w:uiPriority w:val="0"/>
    <w:pPr>
      <w:autoSpaceDE w:val="0"/>
      <w:autoSpaceDN w:val="0"/>
      <w:adjustRightInd w:val="0"/>
      <w:spacing w:line="400" w:lineRule="atLeast"/>
      <w:ind w:firstLine="480" w:firstLineChars="200"/>
      <w:textAlignment w:val="baseline"/>
    </w:pPr>
    <w:rPr>
      <w:sz w:val="24"/>
      <w:szCs w:val="20"/>
    </w:rPr>
  </w:style>
  <w:style w:type="character" w:customStyle="1" w:styleId="112">
    <w:name w:val="apple-style-span"/>
    <w:basedOn w:val="46"/>
    <w:qFormat/>
    <w:uiPriority w:val="0"/>
  </w:style>
  <w:style w:type="paragraph" w:customStyle="1" w:styleId="113">
    <w:name w:val="album-div1"/>
    <w:basedOn w:val="1"/>
    <w:qFormat/>
    <w:uiPriority w:val="0"/>
    <w:pPr>
      <w:widowControl/>
      <w:shd w:val="clear" w:color="auto" w:fill="FFFFFF"/>
      <w:spacing w:before="100" w:beforeAutospacing="1" w:after="100" w:afterAutospacing="1"/>
      <w:jc w:val="left"/>
    </w:pPr>
    <w:rPr>
      <w:rFonts w:ascii="宋体" w:hAnsi="宋体" w:cs="宋体"/>
      <w:kern w:val="0"/>
      <w:sz w:val="24"/>
    </w:rPr>
  </w:style>
  <w:style w:type="character" w:customStyle="1" w:styleId="114">
    <w:name w:val="title11"/>
    <w:basedOn w:val="46"/>
    <w:qFormat/>
    <w:uiPriority w:val="0"/>
  </w:style>
  <w:style w:type="character" w:customStyle="1" w:styleId="115">
    <w:name w:val="count4"/>
    <w:basedOn w:val="46"/>
    <w:qFormat/>
    <w:uiPriority w:val="0"/>
  </w:style>
  <w:style w:type="character" w:customStyle="1" w:styleId="116">
    <w:name w:val="apple-converted-space"/>
    <w:basedOn w:val="46"/>
    <w:qFormat/>
    <w:uiPriority w:val="0"/>
  </w:style>
  <w:style w:type="paragraph" w:customStyle="1" w:styleId="117">
    <w:name w:val="表1表2 表头格式"/>
    <w:basedOn w:val="1"/>
    <w:qFormat/>
    <w:uiPriority w:val="0"/>
    <w:pPr>
      <w:numPr>
        <w:ilvl w:val="0"/>
        <w:numId w:val="3"/>
      </w:numPr>
      <w:autoSpaceDE w:val="0"/>
      <w:autoSpaceDN w:val="0"/>
      <w:adjustRightInd w:val="0"/>
      <w:spacing w:beforeLines="50"/>
      <w:jc w:val="center"/>
      <w:textAlignment w:val="center"/>
    </w:pPr>
    <w:rPr>
      <w:rFonts w:eastAsia="黑体"/>
      <w:snapToGrid w:val="0"/>
      <w:kern w:val="0"/>
      <w:szCs w:val="20"/>
    </w:rPr>
  </w:style>
  <w:style w:type="paragraph" w:customStyle="1" w:styleId="118">
    <w:name w:val="样式 样式 表1表2 表头格式 + 段前: 0.5 行 + 字距调整小四"/>
    <w:basedOn w:val="1"/>
    <w:qFormat/>
    <w:uiPriority w:val="0"/>
    <w:pPr>
      <w:tabs>
        <w:tab w:val="left" w:pos="1132"/>
      </w:tabs>
      <w:autoSpaceDE w:val="0"/>
      <w:autoSpaceDN w:val="0"/>
      <w:adjustRightInd w:val="0"/>
      <w:spacing w:before="120"/>
      <w:ind w:left="1132" w:hanging="570"/>
      <w:jc w:val="center"/>
      <w:textAlignment w:val="center"/>
    </w:pPr>
    <w:rPr>
      <w:rFonts w:eastAsia="黑体" w:cs="宋体"/>
      <w:snapToGrid w:val="0"/>
      <w:kern w:val="24"/>
      <w:sz w:val="24"/>
      <w:szCs w:val="20"/>
    </w:rPr>
  </w:style>
  <w:style w:type="character" w:customStyle="1" w:styleId="119">
    <w:name w:val="批注框文本 Char"/>
    <w:link w:val="35"/>
    <w:qFormat/>
    <w:uiPriority w:val="0"/>
    <w:rPr>
      <w:rFonts w:eastAsia="宋体"/>
      <w:kern w:val="2"/>
      <w:sz w:val="18"/>
      <w:szCs w:val="18"/>
      <w:lang w:val="en-US" w:eastAsia="zh-CN" w:bidi="ar-SA"/>
    </w:rPr>
  </w:style>
  <w:style w:type="character" w:customStyle="1" w:styleId="120">
    <w:name w:val="报告表正文 Char"/>
    <w:link w:val="72"/>
    <w:qFormat/>
    <w:uiPriority w:val="0"/>
    <w:rPr>
      <w:rFonts w:eastAsia="宋体"/>
      <w:sz w:val="24"/>
      <w:lang w:val="en-US" w:eastAsia="zh-CN" w:bidi="ar-SA"/>
    </w:rPr>
  </w:style>
  <w:style w:type="character" w:customStyle="1" w:styleId="121">
    <w:name w:val="博泵1 Char Char"/>
    <w:link w:val="122"/>
    <w:qFormat/>
    <w:locked/>
    <w:uiPriority w:val="0"/>
    <w:rPr>
      <w:rFonts w:ascii="宋体" w:hAnsi="宋体"/>
      <w:color w:val="000000"/>
      <w:sz w:val="24"/>
    </w:rPr>
  </w:style>
  <w:style w:type="paragraph" w:customStyle="1" w:styleId="122">
    <w:name w:val="博泵1"/>
    <w:basedOn w:val="1"/>
    <w:link w:val="121"/>
    <w:qFormat/>
    <w:uiPriority w:val="0"/>
    <w:pPr>
      <w:adjustRightInd w:val="0"/>
      <w:spacing w:line="480" w:lineRule="exact"/>
      <w:ind w:firstLine="200" w:firstLineChars="200"/>
      <w:jc w:val="left"/>
    </w:pPr>
    <w:rPr>
      <w:rFonts w:ascii="宋体" w:hAnsi="宋体"/>
      <w:color w:val="000000"/>
      <w:kern w:val="0"/>
      <w:sz w:val="24"/>
      <w:szCs w:val="20"/>
    </w:rPr>
  </w:style>
  <w:style w:type="character" w:customStyle="1" w:styleId="123">
    <w:name w:val="表格 32 Char Char"/>
    <w:qFormat/>
    <w:locked/>
    <w:uiPriority w:val="0"/>
    <w:rPr>
      <w:rFonts w:ascii="楷体_GB2312" w:eastAsia="楷体_GB2312"/>
      <w:szCs w:val="24"/>
    </w:rPr>
  </w:style>
  <w:style w:type="character" w:customStyle="1" w:styleId="124">
    <w:name w:val="正文文本缩进 Char"/>
    <w:link w:val="30"/>
    <w:qFormat/>
    <w:uiPriority w:val="0"/>
    <w:rPr>
      <w:kern w:val="2"/>
      <w:sz w:val="24"/>
      <w:szCs w:val="24"/>
    </w:rPr>
  </w:style>
  <w:style w:type="character" w:customStyle="1" w:styleId="125">
    <w:name w:val="正文 32 Char Char"/>
    <w:qFormat/>
    <w:uiPriority w:val="0"/>
    <w:rPr>
      <w:rFonts w:eastAsia="楷体_GB2312"/>
      <w:sz w:val="24"/>
    </w:rPr>
  </w:style>
  <w:style w:type="character" w:customStyle="1" w:styleId="126">
    <w:name w:val="表格1 Char Char"/>
    <w:link w:val="54"/>
    <w:qFormat/>
    <w:uiPriority w:val="0"/>
    <w:rPr>
      <w:rFonts w:ascii="宋体" w:hAnsi="Impact"/>
      <w:kern w:val="24"/>
      <w:sz w:val="28"/>
    </w:rPr>
  </w:style>
  <w:style w:type="paragraph" w:customStyle="1" w:styleId="127">
    <w:name w:val="报告表  段"/>
    <w:basedOn w:val="1"/>
    <w:link w:val="129"/>
    <w:qFormat/>
    <w:uiPriority w:val="0"/>
    <w:pPr>
      <w:adjustRightInd w:val="0"/>
      <w:spacing w:line="360" w:lineRule="auto"/>
      <w:ind w:firstLine="505"/>
      <w:textAlignment w:val="baseline"/>
    </w:pPr>
    <w:rPr>
      <w:rFonts w:ascii="宋体"/>
      <w:kern w:val="0"/>
      <w:sz w:val="24"/>
      <w:szCs w:val="20"/>
    </w:rPr>
  </w:style>
  <w:style w:type="paragraph" w:customStyle="1" w:styleId="128">
    <w:name w:val="报告表 段"/>
    <w:basedOn w:val="1"/>
    <w:link w:val="130"/>
    <w:qFormat/>
    <w:uiPriority w:val="0"/>
    <w:pPr>
      <w:spacing w:line="360" w:lineRule="auto"/>
      <w:ind w:firstLine="470" w:firstLineChars="196"/>
    </w:pPr>
    <w:rPr>
      <w:rFonts w:ascii="宋体" w:hAnsi="宋体"/>
      <w:bCs/>
      <w:sz w:val="24"/>
    </w:rPr>
  </w:style>
  <w:style w:type="character" w:customStyle="1" w:styleId="129">
    <w:name w:val="报告表  段 Char"/>
    <w:link w:val="127"/>
    <w:qFormat/>
    <w:locked/>
    <w:uiPriority w:val="0"/>
    <w:rPr>
      <w:rFonts w:ascii="宋体"/>
      <w:sz w:val="24"/>
    </w:rPr>
  </w:style>
  <w:style w:type="character" w:customStyle="1" w:styleId="130">
    <w:name w:val="报告表 段 Char"/>
    <w:link w:val="128"/>
    <w:qFormat/>
    <w:uiPriority w:val="0"/>
    <w:rPr>
      <w:rFonts w:ascii="宋体" w:hAnsi="宋体"/>
      <w:bCs/>
      <w:kern w:val="2"/>
      <w:sz w:val="24"/>
      <w:szCs w:val="24"/>
    </w:rPr>
  </w:style>
  <w:style w:type="paragraph" w:customStyle="1" w:styleId="131">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paragraph" w:customStyle="1" w:styleId="132">
    <w:name w:val="无间隔1"/>
    <w:qFormat/>
    <w:uiPriority w:val="0"/>
    <w:pPr>
      <w:widowControl w:val="0"/>
      <w:jc w:val="center"/>
      <w:outlineLvl w:val="7"/>
    </w:pPr>
    <w:rPr>
      <w:rFonts w:ascii="Times New Roman" w:hAnsi="Times New Roman" w:eastAsia="宋体" w:cs="Times New Roman"/>
      <w:kern w:val="2"/>
      <w:sz w:val="21"/>
      <w:szCs w:val="24"/>
      <w:lang w:val="en-US" w:eastAsia="zh-CN" w:bidi="ar-SA"/>
    </w:rPr>
  </w:style>
  <w:style w:type="paragraph" w:customStyle="1" w:styleId="133">
    <w:name w:val="引用1"/>
    <w:basedOn w:val="1"/>
    <w:next w:val="1"/>
    <w:link w:val="134"/>
    <w:qFormat/>
    <w:uiPriority w:val="0"/>
    <w:pPr>
      <w:jc w:val="center"/>
    </w:pPr>
    <w:rPr>
      <w:b/>
      <w:iCs/>
    </w:rPr>
  </w:style>
  <w:style w:type="character" w:customStyle="1" w:styleId="134">
    <w:name w:val="引用 Char"/>
    <w:link w:val="133"/>
    <w:qFormat/>
    <w:uiPriority w:val="0"/>
    <w:rPr>
      <w:b/>
      <w:iCs/>
      <w:kern w:val="2"/>
      <w:sz w:val="21"/>
      <w:szCs w:val="24"/>
    </w:rPr>
  </w:style>
  <w:style w:type="paragraph" w:customStyle="1" w:styleId="135">
    <w:name w:val="Char1"/>
    <w:basedOn w:val="1"/>
    <w:qFormat/>
    <w:uiPriority w:val="0"/>
    <w:rPr>
      <w:sz w:val="24"/>
    </w:rPr>
  </w:style>
  <w:style w:type="character" w:customStyle="1" w:styleId="136">
    <w:name w:val="一级标题 Char Char"/>
    <w:link w:val="137"/>
    <w:qFormat/>
    <w:uiPriority w:val="0"/>
    <w:rPr>
      <w:b/>
      <w:kern w:val="44"/>
      <w:sz w:val="32"/>
    </w:rPr>
  </w:style>
  <w:style w:type="paragraph" w:customStyle="1" w:styleId="137">
    <w:name w:val="一级标题"/>
    <w:basedOn w:val="14"/>
    <w:link w:val="136"/>
    <w:qFormat/>
    <w:uiPriority w:val="0"/>
    <w:pPr>
      <w:keepLines/>
      <w:tabs>
        <w:tab w:val="left" w:pos="630"/>
      </w:tabs>
      <w:spacing w:afterLines="50"/>
      <w:ind w:firstLine="0"/>
      <w:jc w:val="both"/>
    </w:pPr>
    <w:rPr>
      <w:kern w:val="44"/>
      <w:sz w:val="32"/>
    </w:rPr>
  </w:style>
  <w:style w:type="paragraph" w:customStyle="1" w:styleId="138">
    <w:name w:val="样式 表格表头样式"/>
    <w:basedOn w:val="1"/>
    <w:qFormat/>
    <w:uiPriority w:val="0"/>
    <w:pPr>
      <w:widowControl/>
      <w:tabs>
        <w:tab w:val="left" w:pos="360"/>
      </w:tabs>
      <w:adjustRightInd w:val="0"/>
      <w:snapToGrid w:val="0"/>
      <w:ind w:left="360" w:hanging="360"/>
      <w:jc w:val="center"/>
    </w:pPr>
    <w:rPr>
      <w:rFonts w:eastAsia="黑体" w:cs="宋体"/>
      <w:kern w:val="0"/>
      <w:sz w:val="24"/>
      <w:szCs w:val="20"/>
    </w:rPr>
  </w:style>
  <w:style w:type="paragraph" w:styleId="139">
    <w:name w:val="List Paragraph"/>
    <w:basedOn w:val="1"/>
    <w:qFormat/>
    <w:uiPriority w:val="34"/>
    <w:pPr>
      <w:ind w:firstLine="420" w:firstLineChars="200"/>
    </w:pPr>
    <w:rPr>
      <w:rFonts w:ascii="Calibri" w:hAnsi="Calibri"/>
      <w:szCs w:val="22"/>
    </w:rPr>
  </w:style>
  <w:style w:type="paragraph" w:customStyle="1" w:styleId="140">
    <w:name w:val="列出段落1"/>
    <w:basedOn w:val="1"/>
    <w:qFormat/>
    <w:uiPriority w:val="34"/>
    <w:pPr>
      <w:ind w:firstLine="420" w:firstLineChars="200"/>
    </w:pPr>
    <w:rPr>
      <w:rFonts w:ascii="Calibri" w:hAnsi="Calibri"/>
      <w:szCs w:val="22"/>
    </w:rPr>
  </w:style>
  <w:style w:type="paragraph" w:customStyle="1" w:styleId="141">
    <w:name w:val="正文4"/>
    <w:basedOn w:val="1"/>
    <w:qFormat/>
    <w:uiPriority w:val="0"/>
    <w:pPr>
      <w:adjustRightInd w:val="0"/>
      <w:snapToGrid w:val="0"/>
      <w:spacing w:line="600" w:lineRule="exact"/>
      <w:ind w:firstLine="640" w:firstLineChars="200"/>
    </w:pPr>
    <w:rPr>
      <w:rFonts w:eastAsia="仿宋_GB2312"/>
      <w:color w:val="FF0000"/>
      <w:sz w:val="32"/>
      <w:szCs w:val="32"/>
    </w:rPr>
  </w:style>
  <w:style w:type="paragraph" w:customStyle="1" w:styleId="142">
    <w:name w:val="表格填充1"/>
    <w:basedOn w:val="1"/>
    <w:qFormat/>
    <w:uiPriority w:val="0"/>
    <w:pPr>
      <w:adjustRightInd w:val="0"/>
      <w:snapToGrid w:val="0"/>
      <w:spacing w:line="400" w:lineRule="exact"/>
      <w:jc w:val="center"/>
    </w:pPr>
    <w:rPr>
      <w:snapToGrid w:val="0"/>
      <w:kern w:val="0"/>
      <w:szCs w:val="18"/>
    </w:rPr>
  </w:style>
  <w:style w:type="character" w:customStyle="1" w:styleId="143">
    <w:name w:val="报告 Char Char"/>
    <w:link w:val="74"/>
    <w:qFormat/>
    <w:uiPriority w:val="0"/>
    <w:rPr>
      <w:sz w:val="24"/>
    </w:rPr>
  </w:style>
  <w:style w:type="character" w:customStyle="1" w:styleId="144">
    <w:name w:val="页眉 Char"/>
    <w:link w:val="37"/>
    <w:qFormat/>
    <w:uiPriority w:val="0"/>
    <w:rPr>
      <w:kern w:val="2"/>
      <w:sz w:val="18"/>
      <w:szCs w:val="18"/>
    </w:rPr>
  </w:style>
  <w:style w:type="paragraph" w:customStyle="1" w:styleId="145">
    <w:name w:val="Table Paragraph"/>
    <w:basedOn w:val="1"/>
    <w:qFormat/>
    <w:uiPriority w:val="1"/>
    <w:rPr>
      <w:rFonts w:ascii="Noto Sans CJK JP Regular" w:hAnsi="Noto Sans CJK JP Regular" w:eastAsia="Noto Sans CJK JP Regular" w:cs="Noto Sans CJK JP Regular"/>
    </w:rPr>
  </w:style>
  <w:style w:type="paragraph" w:customStyle="1" w:styleId="146">
    <w:name w:val="小标题"/>
    <w:basedOn w:val="147"/>
    <w:qFormat/>
    <w:uiPriority w:val="0"/>
    <w:pPr>
      <w:ind w:firstLine="0" w:firstLineChars="0"/>
      <w:jc w:val="left"/>
    </w:pPr>
    <w:rPr>
      <w:b/>
      <w:bCs/>
    </w:rPr>
  </w:style>
  <w:style w:type="paragraph" w:customStyle="1" w:styleId="147">
    <w:name w:val="正文-lin"/>
    <w:basedOn w:val="1"/>
    <w:qFormat/>
    <w:uiPriority w:val="0"/>
    <w:pPr>
      <w:spacing w:line="360" w:lineRule="auto"/>
      <w:ind w:firstLine="1040" w:firstLineChars="200"/>
    </w:pPr>
    <w:rPr>
      <w:kern w:val="0"/>
      <w:sz w:val="24"/>
      <w:szCs w:val="20"/>
    </w:rPr>
  </w:style>
  <w:style w:type="paragraph" w:customStyle="1" w:styleId="148">
    <w:name w:val="表格内"/>
    <w:basedOn w:val="32"/>
    <w:next w:val="1"/>
    <w:qFormat/>
    <w:uiPriority w:val="0"/>
    <w:pPr>
      <w:spacing w:before="0" w:after="0"/>
      <w:ind w:firstLine="0"/>
      <w:jc w:val="center"/>
    </w:pPr>
    <w:rPr>
      <w:rFonts w:ascii="Times New Roman" w:hAnsi="Times New Roman" w:eastAsia="仿宋_GB2312"/>
      <w:sz w:val="21"/>
      <w:szCs w:val="21"/>
    </w:rPr>
  </w:style>
  <w:style w:type="paragraph" w:customStyle="1" w:styleId="149">
    <w:name w:val="真宗兴表格内容"/>
    <w:basedOn w:val="1"/>
    <w:qFormat/>
    <w:uiPriority w:val="0"/>
    <w:pPr>
      <w:tabs>
        <w:tab w:val="left" w:pos="-2848"/>
      </w:tabs>
      <w:spacing w:before="93" w:beforeLines="20" w:after="93" w:afterLines="20"/>
      <w:jc w:val="center"/>
    </w:pPr>
  </w:style>
  <w:style w:type="paragraph" w:customStyle="1" w:styleId="150">
    <w:name w:val="表文字"/>
    <w:basedOn w:val="1"/>
    <w:qFormat/>
    <w:uiPriority w:val="0"/>
    <w:pPr>
      <w:overflowPunct w:val="0"/>
      <w:autoSpaceDE w:val="0"/>
      <w:autoSpaceDN w:val="0"/>
      <w:adjustRightInd w:val="0"/>
      <w:spacing w:line="240" w:lineRule="atLeast"/>
      <w:jc w:val="center"/>
    </w:pPr>
    <w:rPr>
      <w:kern w:val="0"/>
      <w:sz w:val="24"/>
      <w:szCs w:val="20"/>
    </w:rPr>
  </w:style>
  <w:style w:type="paragraph" w:customStyle="1" w:styleId="151">
    <w:name w:val="3级"/>
    <w:basedOn w:val="16"/>
    <w:qFormat/>
    <w:uiPriority w:val="0"/>
    <w:pPr>
      <w:ind w:firstLine="480" w:firstLineChars="200"/>
    </w:pPr>
    <w:rPr>
      <w:b w:val="0"/>
      <w:kern w:val="0"/>
    </w:rPr>
  </w:style>
  <w:style w:type="paragraph" w:customStyle="1" w:styleId="152">
    <w:name w:val="样式 表格 32 + 首行缩进:  2 字符"/>
    <w:basedOn w:val="1"/>
    <w:qFormat/>
    <w:uiPriority w:val="0"/>
    <w:pPr>
      <w:autoSpaceDE w:val="0"/>
      <w:autoSpaceDN w:val="0"/>
      <w:adjustRightInd w:val="0"/>
      <w:spacing w:line="0" w:lineRule="atLeast"/>
      <w:jc w:val="center"/>
      <w:textAlignment w:val="baseline"/>
    </w:pPr>
    <w:rPr>
      <w:kern w:val="0"/>
      <w:szCs w:val="21"/>
    </w:rPr>
  </w:style>
  <w:style w:type="paragraph" w:customStyle="1" w:styleId="153">
    <w:name w:val="表格文字"/>
    <w:basedOn w:val="1"/>
    <w:qFormat/>
    <w:uiPriority w:val="0"/>
    <w:pPr>
      <w:jc w:val="center"/>
    </w:pPr>
    <w:rPr>
      <w:kern w:val="44"/>
      <w:szCs w:val="20"/>
    </w:rPr>
  </w:style>
  <w:style w:type="paragraph" w:customStyle="1" w:styleId="154">
    <w:name w:val="正 文"/>
    <w:basedOn w:val="1"/>
    <w:qFormat/>
    <w:uiPriority w:val="0"/>
    <w:rPr>
      <w:rFonts w:ascii="仿宋" w:hAnsi="仿宋" w:eastAsia="仿宋"/>
    </w:rPr>
  </w:style>
  <w:style w:type="paragraph" w:customStyle="1" w:styleId="155">
    <w:name w:val="表格题名"/>
    <w:basedOn w:val="2"/>
    <w:qFormat/>
    <w:uiPriority w:val="0"/>
    <w:pPr>
      <w:spacing w:line="360" w:lineRule="auto"/>
      <w:jc w:val="center"/>
    </w:pPr>
    <w:rPr>
      <w:rFonts w:ascii="思源宋体 CN" w:hAnsi="思源宋体 CN" w:eastAsia="思源宋体 CN"/>
      <w:sz w:val="28"/>
    </w:rPr>
  </w:style>
  <w:style w:type="paragraph" w:customStyle="1" w:styleId="156">
    <w:name w:val="表 内容"/>
    <w:basedOn w:val="1"/>
    <w:qFormat/>
    <w:uiPriority w:val="0"/>
    <w:pPr>
      <w:spacing w:line="276" w:lineRule="auto"/>
      <w:jc w:val="center"/>
    </w:pPr>
    <w:rPr>
      <w:rFonts w:ascii="仿宋" w:hAnsi="仿宋" w:eastAsia="仿宋"/>
      <w:sz w:val="24"/>
    </w:rPr>
  </w:style>
  <w:style w:type="paragraph" w:customStyle="1" w:styleId="157">
    <w:name w:val="正文+小四，黑色"/>
    <w:basedOn w:val="1"/>
    <w:qFormat/>
    <w:uiPriority w:val="0"/>
    <w:pPr>
      <w:snapToGrid w:val="0"/>
      <w:spacing w:line="300" w:lineRule="auto"/>
      <w:ind w:firstLine="492" w:firstLineChars="205"/>
    </w:pPr>
    <w:rPr>
      <w:rFonts w:ascii="宋体" w:hAnsi="宋体"/>
      <w:sz w:val="24"/>
      <w:szCs w:val="20"/>
    </w:rPr>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customXml" Target="../customXml/item2.xml"/><Relationship Id="rId9" Type="http://schemas.openxmlformats.org/officeDocument/2006/relationships/footer" Target="footer4.xml"/><Relationship Id="rId89" Type="http://schemas.openxmlformats.org/officeDocument/2006/relationships/numbering" Target="numbering.xml"/><Relationship Id="rId88" Type="http://schemas.openxmlformats.org/officeDocument/2006/relationships/customXml" Target="../customXml/item1.xml"/><Relationship Id="rId87" Type="http://schemas.openxmlformats.org/officeDocument/2006/relationships/image" Target="media/image41.jpeg"/><Relationship Id="rId86" Type="http://schemas.openxmlformats.org/officeDocument/2006/relationships/image" Target="media/image40.jpeg"/><Relationship Id="rId85" Type="http://schemas.openxmlformats.org/officeDocument/2006/relationships/image" Target="media/image39.png"/><Relationship Id="rId84" Type="http://schemas.openxmlformats.org/officeDocument/2006/relationships/image" Target="media/image38.jpeg"/><Relationship Id="rId83" Type="http://schemas.openxmlformats.org/officeDocument/2006/relationships/image" Target="media/image37.png"/><Relationship Id="rId82" Type="http://schemas.openxmlformats.org/officeDocument/2006/relationships/image" Target="media/image36.png"/><Relationship Id="rId81" Type="http://schemas.openxmlformats.org/officeDocument/2006/relationships/image" Target="media/image35.jpeg"/><Relationship Id="rId80" Type="http://schemas.openxmlformats.org/officeDocument/2006/relationships/image" Target="media/image34.png"/><Relationship Id="rId8" Type="http://schemas.openxmlformats.org/officeDocument/2006/relationships/footer" Target="footer3.xml"/><Relationship Id="rId79" Type="http://schemas.openxmlformats.org/officeDocument/2006/relationships/image" Target="media/image33.jpeg"/><Relationship Id="rId78" Type="http://schemas.openxmlformats.org/officeDocument/2006/relationships/image" Target="media/image32.jpeg"/><Relationship Id="rId77" Type="http://schemas.openxmlformats.org/officeDocument/2006/relationships/image" Target="media/image31.jpeg"/><Relationship Id="rId76" Type="http://schemas.openxmlformats.org/officeDocument/2006/relationships/image" Target="media/image30.png"/><Relationship Id="rId75" Type="http://schemas.openxmlformats.org/officeDocument/2006/relationships/image" Target="media/image29.jpeg"/><Relationship Id="rId74" Type="http://schemas.openxmlformats.org/officeDocument/2006/relationships/image" Target="media/image28.png"/><Relationship Id="rId73" Type="http://schemas.openxmlformats.org/officeDocument/2006/relationships/image" Target="media/image27.jpeg"/><Relationship Id="rId72" Type="http://schemas.openxmlformats.org/officeDocument/2006/relationships/image" Target="media/image26.png"/><Relationship Id="rId71" Type="http://schemas.openxmlformats.org/officeDocument/2006/relationships/image" Target="media/image25.png"/><Relationship Id="rId70" Type="http://schemas.openxmlformats.org/officeDocument/2006/relationships/image" Target="media/image24.wmf"/><Relationship Id="rId7" Type="http://schemas.openxmlformats.org/officeDocument/2006/relationships/header" Target="header3.xml"/><Relationship Id="rId69" Type="http://schemas.openxmlformats.org/officeDocument/2006/relationships/oleObject" Target="embeddings/oleObject15.bin"/><Relationship Id="rId68" Type="http://schemas.openxmlformats.org/officeDocument/2006/relationships/oleObject" Target="embeddings/oleObject14.bin"/><Relationship Id="rId67" Type="http://schemas.openxmlformats.org/officeDocument/2006/relationships/image" Target="media/image23.wmf"/><Relationship Id="rId66" Type="http://schemas.openxmlformats.org/officeDocument/2006/relationships/oleObject" Target="embeddings/oleObject13.bin"/><Relationship Id="rId65" Type="http://schemas.openxmlformats.org/officeDocument/2006/relationships/image" Target="media/image22.wmf"/><Relationship Id="rId64" Type="http://schemas.openxmlformats.org/officeDocument/2006/relationships/oleObject" Target="embeddings/oleObject12.bin"/><Relationship Id="rId63" Type="http://schemas.openxmlformats.org/officeDocument/2006/relationships/oleObject" Target="embeddings/oleObject11.bin"/><Relationship Id="rId62" Type="http://schemas.openxmlformats.org/officeDocument/2006/relationships/image" Target="media/image21.wmf"/><Relationship Id="rId61" Type="http://schemas.openxmlformats.org/officeDocument/2006/relationships/oleObject" Target="embeddings/oleObject10.bin"/><Relationship Id="rId60" Type="http://schemas.openxmlformats.org/officeDocument/2006/relationships/image" Target="media/image20.wmf"/><Relationship Id="rId6" Type="http://schemas.openxmlformats.org/officeDocument/2006/relationships/footer" Target="footer2.xml"/><Relationship Id="rId59" Type="http://schemas.openxmlformats.org/officeDocument/2006/relationships/oleObject" Target="embeddings/oleObject9.bin"/><Relationship Id="rId58" Type="http://schemas.openxmlformats.org/officeDocument/2006/relationships/image" Target="media/image19.wmf"/><Relationship Id="rId57" Type="http://schemas.openxmlformats.org/officeDocument/2006/relationships/oleObject" Target="embeddings/oleObject8.bin"/><Relationship Id="rId56" Type="http://schemas.openxmlformats.org/officeDocument/2006/relationships/image" Target="media/image18.wmf"/><Relationship Id="rId55" Type="http://schemas.openxmlformats.org/officeDocument/2006/relationships/oleObject" Target="embeddings/oleObject7.bin"/><Relationship Id="rId54" Type="http://schemas.openxmlformats.org/officeDocument/2006/relationships/image" Target="media/image17.wmf"/><Relationship Id="rId53" Type="http://schemas.openxmlformats.org/officeDocument/2006/relationships/oleObject" Target="embeddings/oleObject6.bin"/><Relationship Id="rId52" Type="http://schemas.openxmlformats.org/officeDocument/2006/relationships/image" Target="media/image16.wmf"/><Relationship Id="rId51" Type="http://schemas.openxmlformats.org/officeDocument/2006/relationships/oleObject" Target="embeddings/oleObject5.bin"/><Relationship Id="rId50" Type="http://schemas.openxmlformats.org/officeDocument/2006/relationships/image" Target="media/image15.wmf"/><Relationship Id="rId5" Type="http://schemas.openxmlformats.org/officeDocument/2006/relationships/footer" Target="footer1.xml"/><Relationship Id="rId49" Type="http://schemas.openxmlformats.org/officeDocument/2006/relationships/oleObject" Target="embeddings/oleObject4.bin"/><Relationship Id="rId48" Type="http://schemas.openxmlformats.org/officeDocument/2006/relationships/image" Target="media/image14.wmf"/><Relationship Id="rId47" Type="http://schemas.openxmlformats.org/officeDocument/2006/relationships/oleObject" Target="embeddings/oleObject3.bin"/><Relationship Id="rId46" Type="http://schemas.openxmlformats.org/officeDocument/2006/relationships/image" Target="media/image13.wmf"/><Relationship Id="rId45" Type="http://schemas.openxmlformats.org/officeDocument/2006/relationships/oleObject" Target="embeddings/oleObject2.bin"/><Relationship Id="rId44" Type="http://schemas.openxmlformats.org/officeDocument/2006/relationships/image" Target="media/image12.wmf"/><Relationship Id="rId43" Type="http://schemas.openxmlformats.org/officeDocument/2006/relationships/oleObject" Target="embeddings/oleObject1.bin"/><Relationship Id="rId42" Type="http://schemas.openxmlformats.org/officeDocument/2006/relationships/image" Target="media/image11.png"/><Relationship Id="rId41" Type="http://schemas.openxmlformats.org/officeDocument/2006/relationships/image" Target="media/image10.png"/><Relationship Id="rId40" Type="http://schemas.openxmlformats.org/officeDocument/2006/relationships/image" Target="media/image9.png"/><Relationship Id="rId4" Type="http://schemas.openxmlformats.org/officeDocument/2006/relationships/header" Target="header2.xml"/><Relationship Id="rId39" Type="http://schemas.openxmlformats.org/officeDocument/2006/relationships/image" Target="media/image8.png"/><Relationship Id="rId38" Type="http://schemas.openxmlformats.org/officeDocument/2006/relationships/image" Target="media/image7.png"/><Relationship Id="rId37" Type="http://schemas.openxmlformats.org/officeDocument/2006/relationships/image" Target="media/image6.png"/><Relationship Id="rId36" Type="http://schemas.openxmlformats.org/officeDocument/2006/relationships/image" Target="media/image5.png"/><Relationship Id="rId35" Type="http://schemas.openxmlformats.org/officeDocument/2006/relationships/image" Target="media/image4.png"/><Relationship Id="rId34" Type="http://schemas.openxmlformats.org/officeDocument/2006/relationships/image" Target="media/image3.png"/><Relationship Id="rId33" Type="http://schemas.openxmlformats.org/officeDocument/2006/relationships/image" Target="media/image2.png"/><Relationship Id="rId32" Type="http://schemas.openxmlformats.org/officeDocument/2006/relationships/image" Target="media/image1.png"/><Relationship Id="rId31" Type="http://schemas.openxmlformats.org/officeDocument/2006/relationships/theme" Target="theme/theme1.xml"/><Relationship Id="rId30" Type="http://schemas.openxmlformats.org/officeDocument/2006/relationships/footer" Target="footer19.xml"/><Relationship Id="rId3" Type="http://schemas.openxmlformats.org/officeDocument/2006/relationships/header" Target="header1.xml"/><Relationship Id="rId29" Type="http://schemas.openxmlformats.org/officeDocument/2006/relationships/header" Target="header9.xml"/><Relationship Id="rId28" Type="http://schemas.openxmlformats.org/officeDocument/2006/relationships/footer" Target="footer18.xml"/><Relationship Id="rId27" Type="http://schemas.openxmlformats.org/officeDocument/2006/relationships/footer" Target="footer17.xml"/><Relationship Id="rId26" Type="http://schemas.openxmlformats.org/officeDocument/2006/relationships/footer" Target="footer16.xml"/><Relationship Id="rId25" Type="http://schemas.openxmlformats.org/officeDocument/2006/relationships/footer" Target="footer15.xml"/><Relationship Id="rId24" Type="http://schemas.openxmlformats.org/officeDocument/2006/relationships/header" Target="header8.xml"/><Relationship Id="rId23" Type="http://schemas.openxmlformats.org/officeDocument/2006/relationships/footer" Target="footer14.xml"/><Relationship Id="rId22" Type="http://schemas.openxmlformats.org/officeDocument/2006/relationships/header" Target="header7.xml"/><Relationship Id="rId21" Type="http://schemas.openxmlformats.org/officeDocument/2006/relationships/footer" Target="footer13.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1027"/>
    <customShpInfo spid="_x0000_s2063"/>
    <customShpInfo spid="_x0000_s2064"/>
    <customShpInfo spid="_x0000_s2065"/>
    <customShpInfo spid="_x0000_s2066"/>
    <customShpInfo spid="_x0000_s2067"/>
    <customShpInfo spid="_x0000_s2068"/>
    <customShpInfo spid="_x0000_s2070"/>
    <customShpInfo spid="_x0000_s2071"/>
    <customShpInfo spid="_x0000_s2072"/>
    <customShpInfo spid="_x0000_s2069"/>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6"/>
    <customShpInfo spid="_x0000_s2087"/>
    <customShpInfo spid="_x0000_s2088"/>
    <customShpInfo spid="_x0000_s2085"/>
    <customShpInfo spid="_x0000_s2062"/>
    <customShpInfo spid="_x0000_s2089"/>
    <customShpInfo spid="_x0000_s1082"/>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090"/>
    <customShpInfo spid="_x0000_s2120"/>
    <customShpInfo spid="_x0000_s2121"/>
    <customShpInfo spid="_x0000_s2122"/>
    <customShpInfo spid="_x0000_s2125"/>
    <customShpInfo spid="_x0000_s2126"/>
    <customShpInfo spid="_x0000_s2124"/>
    <customShpInfo spid="_x0000_s2127"/>
    <customShpInfo spid="_x0000_s2123"/>
    <customShpInfo spid="_x0000_s1332"/>
    <customShpInfo spid="_x0000_s2129"/>
    <customShpInfo spid="_x0000_s2130"/>
    <customShpInfo spid="_x0000_s2131"/>
    <customShpInfo spid="_x0000_s2132"/>
    <customShpInfo spid="_x0000_s2133"/>
    <customShpInfo spid="_x0000_s2134"/>
    <customShpInfo spid="_x0000_s2135"/>
    <customShpInfo spid="_x0000_s2136"/>
    <customShpInfo spid="_x0000_s2137"/>
    <customShpInfo spid="_x0000_s2138"/>
    <customShpInfo spid="_x0000_s2139"/>
    <customShpInfo spid="_x0000_s2140"/>
    <customShpInfo spid="_x0000_s2141"/>
    <customShpInfo spid="_x0000_s2142"/>
    <customShpInfo spid="_x0000_s2143"/>
    <customShpInfo spid="_x0000_s2144"/>
    <customShpInfo spid="_x0000_s2145"/>
    <customShpInfo spid="_x0000_s2146"/>
    <customShpInfo spid="_x0000_s2147"/>
    <customShpInfo spid="_x0000_s2148"/>
    <customShpInfo spid="_x0000_s2149"/>
    <customShpInfo spid="_x0000_s2150"/>
    <customShpInfo spid="_x0000_s2153" textRotate="1"/>
    <customShpInfo spid="_x0000_s2154" textRotate="1"/>
    <customShpInfo spid="_x0000_s2152"/>
    <customShpInfo spid="_x0000_s2155" textRotate="1"/>
    <customShpInfo spid="_x0000_s2151"/>
    <customShpInfo spid="_x0000_s2128"/>
    <customShpInfo spid="_x0000_s1133"/>
    <customShpInfo spid="_x0000_s2157"/>
    <customShpInfo spid="_x0000_s2158"/>
    <customShpInfo spid="_x0000_s2159"/>
    <customShpInfo spid="_x0000_s2160"/>
    <customShpInfo spid="_x0000_s2161"/>
    <customShpInfo spid="_x0000_s2162"/>
    <customShpInfo spid="_x0000_s2163"/>
    <customShpInfo spid="_x0000_s2164"/>
    <customShpInfo spid="_x0000_s2165"/>
    <customShpInfo spid="_x0000_s2166"/>
    <customShpInfo spid="_x0000_s2167"/>
    <customShpInfo spid="_x0000_s2168"/>
    <customShpInfo spid="_x0000_s2169"/>
    <customShpInfo spid="_x0000_s2170"/>
    <customShpInfo spid="_x0000_s2171"/>
    <customShpInfo spid="_x0000_s2172"/>
    <customShpInfo spid="_x0000_s2173"/>
    <customShpInfo spid="_x0000_s2174"/>
    <customShpInfo spid="_x0000_s2175"/>
    <customShpInfo spid="_x0000_s2176"/>
    <customShpInfo spid="_x0000_s2177"/>
    <customShpInfo spid="_x0000_s2178"/>
    <customShpInfo spid="_x0000_s2179"/>
    <customShpInfo spid="_x0000_s2180"/>
    <customShpInfo spid="_x0000_s2181"/>
    <customShpInfo spid="_x0000_s2184" textRotate="1"/>
    <customShpInfo spid="_x0000_s2185" textRotate="1"/>
    <customShpInfo spid="_x0000_s2183"/>
    <customShpInfo spid="_x0000_s2186" textRotate="1"/>
    <customShpInfo spid="_x0000_s2182"/>
    <customShpInfo spid="_x0000_s2156"/>
    <customShpInfo spid="_x0000_s2187"/>
    <customShpInfo spid="_x0000_s2188"/>
    <customShpInfo spid="_x0000_s2189"/>
    <customShpInfo spid="_x0000_s2190"/>
    <customShpInfo spid="_x0000_s2265"/>
    <customShpInfo spid="_x0000_s2264"/>
    <customShpInfo spid="_x0000_s2191"/>
    <customShpInfo spid="_x0000_s2192"/>
    <customShpInfo spid="_x0000_s2193"/>
    <customShpInfo spid="_x0000_s2196"/>
    <customShpInfo spid="_x0000_s2197"/>
    <customShpInfo spid="_x0000_s2195"/>
    <customShpInfo spid="_x0000_s2198"/>
    <customShpInfo spid="_x0000_s2194"/>
    <customShpInfo spid="_x0000_s2199"/>
    <customShpInfo spid="_x0000_s2200"/>
    <customShpInfo spid="_x0000_s2201"/>
    <customShpInfo spid="_x0000_s2202"/>
    <customShpInfo spid="_x0000_s2203"/>
    <customShpInfo spid="_x0000_s2204"/>
    <customShpInfo spid="_x0000_s2205"/>
    <customShpInfo spid="_x0000_s2206"/>
    <customShpInfo spid="_x0000_s2207"/>
    <customShpInfo spid="_x0000_s2208"/>
    <customShpInfo spid="_x0000_s2209"/>
    <customShpInfo spid="_x0000_s2210"/>
    <customShpInfo spid="_x0000_s2211"/>
    <customShpInfo spid="_x0000_s2212"/>
    <customShpInfo spid="_x0000_s2213"/>
    <customShpInfo spid="_x0000_s2214"/>
    <customShpInfo spid="_x0000_s2215"/>
    <customShpInfo spid="_x0000_s2216"/>
    <customShpInfo spid="_x0000_s2217"/>
    <customShpInfo spid="_x0000_s2218"/>
    <customShpInfo spid="_x0000_s2219"/>
    <customShpInfo spid="_x0000_s2220"/>
    <customShpInfo spid="_x0000_s2221"/>
    <customShpInfo spid="_x0000_s2222"/>
    <customShpInfo spid="_x0000_s2223"/>
    <customShpInfo spid="_x0000_s2224"/>
    <customShpInfo spid="_x0000_s2225"/>
    <customShpInfo spid="_x0000_s2226"/>
    <customShpInfo spid="_x0000_s2227"/>
    <customShpInfo spid="_x0000_s2228"/>
    <customShpInfo spid="_x0000_s2229"/>
    <customShpInfo spid="_x0000_s2230"/>
    <customShpInfo spid="_x0000_s2231"/>
    <customShpInfo spid="_x0000_s2232"/>
    <customShpInfo spid="_x0000_s2233"/>
    <customShpInfo spid="_x0000_s2234"/>
    <customShpInfo spid="_x0000_s1469"/>
    <customShpInfo spid="_x0000_s2236"/>
    <customShpInfo spid="_x0000_s2237"/>
    <customShpInfo spid="_x0000_s2238"/>
    <customShpInfo spid="_x0000_s2239"/>
    <customShpInfo spid="_x0000_s2240"/>
    <customShpInfo spid="_x0000_s2241"/>
    <customShpInfo spid="_x0000_s2242"/>
    <customShpInfo spid="_x0000_s2243"/>
    <customShpInfo spid="_x0000_s2244"/>
    <customShpInfo spid="_x0000_s2245"/>
    <customShpInfo spid="_x0000_s2246"/>
    <customShpInfo spid="_x0000_s2247"/>
    <customShpInfo spid="_x0000_s2248"/>
    <customShpInfo spid="_x0000_s2249"/>
    <customShpInfo spid="_x0000_s2250"/>
    <customShpInfo spid="_x0000_s2253"/>
    <customShpInfo spid="_x0000_s2254"/>
    <customShpInfo spid="_x0000_s2252"/>
    <customShpInfo spid="_x0000_s2255"/>
    <customShpInfo spid="_x0000_s2251"/>
    <customShpInfo spid="_x0000_s2235"/>
    <customShpInfo spid="_x0000_s2256"/>
    <customShpInfo spid="_x0000_s2257"/>
    <customShpInfo spid="_x0000_s2258"/>
    <customShpInfo spid="_x0000_s2259"/>
    <customShpInfo spid="_x0000_s2260"/>
    <customShpInfo spid="_x0000_s2261"/>
    <customShpInfo spid="_x0000_s2262"/>
    <customShpInfo spid="_x0000_s2263"/>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A31BB7D-7BCC-4E8C-B873-53DED1966576}">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95</Pages>
  <Words>6643</Words>
  <Characters>37868</Characters>
  <Lines>315</Lines>
  <Paragraphs>88</Paragraphs>
  <TotalTime>2</TotalTime>
  <ScaleCrop>false</ScaleCrop>
  <LinksUpToDate>false</LinksUpToDate>
  <CharactersWithSpaces>44423</CharactersWithSpaces>
  <Application>WPS Office_11.1.0.9305_F1E327BC-269C-435d-A152-05C5408002CA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2017-07-31T00:57:00Z</dcterms:created>
  <dc:creator>微软用户</dc:creator>
  <cp:lastModifiedBy>hpb</cp:lastModifiedBy>
  <cp:lastPrinted>2017-07-11T12:00:00Z</cp:lastPrinted>
  <dcterms:modified xsi:type="dcterms:W3CDTF">2020-01-09T06:26:48Z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2052-11.1.0.9305</vt:lpwstr>
  </property>
</Properties>
</file>