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cs="Times New Roman"/>
          <w:color w:val="auto"/>
          <w:highlight w:val="none"/>
        </w:rPr>
      </w:pPr>
    </w:p>
    <w:p>
      <w:pPr>
        <w:rPr>
          <w:rFonts w:ascii="Times New Roman" w:hAnsi="Times New Roman" w:cs="Times New Roman"/>
          <w:color w:val="auto"/>
          <w:highlight w:val="none"/>
        </w:rPr>
      </w:pPr>
    </w:p>
    <w:p>
      <w:pPr>
        <w:rPr>
          <w:rFonts w:ascii="Times New Roman" w:hAnsi="Times New Roman" w:cs="Times New Roman"/>
          <w:color w:val="auto"/>
          <w:highlight w:val="none"/>
        </w:rPr>
      </w:pPr>
    </w:p>
    <w:p>
      <w:pPr>
        <w:pStyle w:val="17"/>
        <w:rPr>
          <w:rFonts w:ascii="Times New Roman" w:hAnsi="Times New Roman" w:cs="Times New Roman"/>
          <w:color w:val="auto"/>
          <w:sz w:val="18"/>
          <w:szCs w:val="18"/>
          <w:highlight w:val="none"/>
        </w:rPr>
      </w:pPr>
    </w:p>
    <w:p>
      <w:pPr>
        <w:pStyle w:val="17"/>
        <w:rPr>
          <w:rFonts w:ascii="Times New Roman" w:hAnsi="Times New Roman" w:cs="Times New Roman"/>
          <w:color w:val="auto"/>
          <w:highlight w:val="none"/>
        </w:rPr>
      </w:pPr>
    </w:p>
    <w:p>
      <w:pPr>
        <w:rPr>
          <w:color w:val="auto"/>
          <w:highlight w:val="none"/>
        </w:rPr>
      </w:pPr>
    </w:p>
    <w:p>
      <w:pPr>
        <w:rPr>
          <w:rFonts w:ascii="Times New Roman" w:hAnsi="Times New Roman" w:cs="Times New Roman"/>
          <w:color w:val="auto"/>
          <w:highlight w:val="none"/>
        </w:rPr>
      </w:pPr>
    </w:p>
    <w:p>
      <w:pPr>
        <w:jc w:val="center"/>
        <w:rPr>
          <w:rFonts w:ascii="Times New Roman" w:hAnsi="Times New Roman" w:cs="Times New Roman"/>
          <w:b/>
          <w:color w:val="auto"/>
          <w:sz w:val="72"/>
          <w:highlight w:val="none"/>
        </w:rPr>
      </w:pPr>
      <w:r>
        <w:rPr>
          <w:rFonts w:ascii="Times New Roman" w:hAnsi="Times New Roman" w:cs="Times New Roman"/>
          <w:b/>
          <w:color w:val="auto"/>
          <w:sz w:val="72"/>
          <w:highlight w:val="none"/>
        </w:rPr>
        <w:t>建设项目环境影响报告表</w:t>
      </w:r>
    </w:p>
    <w:p>
      <w:pPr>
        <w:jc w:val="center"/>
        <w:rPr>
          <w:rFonts w:ascii="Times New Roman" w:hAnsi="Times New Roman" w:cs="Times New Roman"/>
          <w:b/>
          <w:color w:val="auto"/>
          <w:sz w:val="72"/>
          <w:highlight w:val="none"/>
        </w:rPr>
      </w:pPr>
    </w:p>
    <w:p>
      <w:pPr>
        <w:pStyle w:val="17"/>
        <w:rPr>
          <w:rFonts w:ascii="Times New Roman" w:hAnsi="Times New Roman" w:cs="Times New Roman"/>
          <w:color w:val="auto"/>
          <w:highlight w:val="none"/>
        </w:rPr>
      </w:pPr>
    </w:p>
    <w:p>
      <w:pPr>
        <w:jc w:val="center"/>
        <w:rPr>
          <w:rFonts w:ascii="Times New Roman" w:hAnsi="Times New Roman" w:cs="Times New Roman"/>
          <w:b/>
          <w:color w:val="auto"/>
          <w:sz w:val="72"/>
          <w:highlight w:val="none"/>
        </w:rPr>
      </w:pPr>
    </w:p>
    <w:p>
      <w:pPr>
        <w:pStyle w:val="2"/>
        <w:rPr>
          <w:rFonts w:ascii="Times New Roman" w:hAnsi="Times New Roman" w:cs="Times New Roman"/>
          <w:b/>
          <w:color w:val="auto"/>
          <w:sz w:val="72"/>
          <w:highlight w:val="none"/>
        </w:rPr>
      </w:pPr>
    </w:p>
    <w:p>
      <w:pPr>
        <w:rPr>
          <w:color w:val="auto"/>
          <w:highlight w:val="none"/>
        </w:rPr>
      </w:pPr>
    </w:p>
    <w:p>
      <w:pPr>
        <w:snapToGrid w:val="0"/>
        <w:spacing w:line="360" w:lineRule="auto"/>
        <w:jc w:val="center"/>
        <w:rPr>
          <w:rFonts w:ascii="Times New Roman" w:hAnsi="Times New Roman" w:eastAsia="黑体" w:cs="Times New Roman"/>
          <w:color w:val="auto"/>
          <w:sz w:val="32"/>
          <w:szCs w:val="32"/>
          <w:highlight w:val="none"/>
        </w:rPr>
      </w:pPr>
    </w:p>
    <w:p>
      <w:pPr>
        <w:snapToGrid w:val="0"/>
        <w:spacing w:line="360" w:lineRule="auto"/>
        <w:jc w:val="center"/>
        <w:rPr>
          <w:rFonts w:ascii="Times New Roman" w:hAnsi="Times New Roman" w:eastAsia="宋体" w:cs="Times New Roman"/>
          <w:b/>
          <w:bCs/>
          <w:color w:val="auto"/>
          <w:sz w:val="32"/>
          <w:szCs w:val="32"/>
          <w:highlight w:val="none"/>
          <w:u w:val="single"/>
        </w:rPr>
      </w:pPr>
      <w:r>
        <w:rPr>
          <w:rFonts w:ascii="Times New Roman" w:hAnsi="Times New Roman" w:eastAsia="宋体" w:cs="Times New Roman"/>
          <w:b/>
          <w:bCs/>
          <w:color w:val="auto"/>
          <w:sz w:val="32"/>
          <w:szCs w:val="32"/>
          <w:highlight w:val="none"/>
        </w:rPr>
        <w:t>项目名称：</w:t>
      </w:r>
      <w:r>
        <w:rPr>
          <w:rFonts w:ascii="Times New Roman" w:hAnsi="Times New Roman" w:eastAsia="宋体" w:cs="Times New Roman"/>
          <w:b/>
          <w:bCs/>
          <w:color w:val="auto"/>
          <w:sz w:val="32"/>
          <w:szCs w:val="32"/>
          <w:highlight w:val="none"/>
          <w:u w:val="single"/>
        </w:rPr>
        <w:t>开平市鹏裕包装材料有限公司建设项目</w:t>
      </w:r>
    </w:p>
    <w:p>
      <w:pPr>
        <w:snapToGrid w:val="0"/>
        <w:spacing w:line="360" w:lineRule="auto"/>
        <w:jc w:val="center"/>
        <w:rPr>
          <w:rFonts w:ascii="Times New Roman" w:hAnsi="Times New Roman" w:eastAsia="宋体" w:cs="Times New Roman"/>
          <w:color w:val="auto"/>
          <w:sz w:val="32"/>
          <w:szCs w:val="32"/>
          <w:highlight w:val="none"/>
          <w:u w:val="single"/>
        </w:rPr>
      </w:pPr>
      <w:r>
        <w:rPr>
          <w:rFonts w:ascii="Times New Roman" w:hAnsi="Times New Roman" w:eastAsia="宋体" w:cs="Times New Roman"/>
          <w:b/>
          <w:bCs/>
          <w:color w:val="auto"/>
          <w:sz w:val="32"/>
          <w:szCs w:val="32"/>
          <w:highlight w:val="none"/>
        </w:rPr>
        <w:t>建设单位（盖章）：</w:t>
      </w:r>
      <w:r>
        <w:rPr>
          <w:rFonts w:ascii="Times New Roman" w:hAnsi="Times New Roman" w:eastAsia="宋体" w:cs="Times New Roman"/>
          <w:b/>
          <w:bCs/>
          <w:color w:val="auto"/>
          <w:sz w:val="32"/>
          <w:szCs w:val="32"/>
          <w:highlight w:val="none"/>
          <w:u w:val="single"/>
        </w:rPr>
        <w:t>开平市鹏裕包装材料有限公司</w:t>
      </w:r>
    </w:p>
    <w:p>
      <w:pPr>
        <w:spacing w:line="360" w:lineRule="auto"/>
        <w:jc w:val="center"/>
        <w:rPr>
          <w:rFonts w:ascii="Times New Roman" w:hAnsi="Times New Roman" w:cs="Times New Roman"/>
          <w:b/>
          <w:color w:val="auto"/>
          <w:sz w:val="72"/>
          <w:highlight w:val="none"/>
        </w:rPr>
      </w:pPr>
    </w:p>
    <w:p>
      <w:pPr>
        <w:pStyle w:val="17"/>
        <w:rPr>
          <w:rFonts w:ascii="Times New Roman" w:hAnsi="Times New Roman" w:cs="Times New Roman"/>
          <w:b/>
          <w:color w:val="auto"/>
          <w:sz w:val="72"/>
          <w:highlight w:val="none"/>
        </w:rPr>
      </w:pPr>
    </w:p>
    <w:p>
      <w:pPr>
        <w:rPr>
          <w:rFonts w:ascii="Times New Roman" w:hAnsi="Times New Roman" w:cs="Times New Roman"/>
          <w:color w:val="auto"/>
          <w:highlight w:val="none"/>
        </w:rPr>
      </w:pPr>
    </w:p>
    <w:p>
      <w:pPr>
        <w:spacing w:line="360" w:lineRule="auto"/>
        <w:jc w:val="center"/>
        <w:rPr>
          <w:rFonts w:ascii="Times New Roman" w:hAnsi="Times New Roman" w:cs="Times New Roman"/>
          <w:b/>
          <w:color w:val="auto"/>
          <w:sz w:val="72"/>
          <w:highlight w:val="none"/>
        </w:rPr>
      </w:pPr>
    </w:p>
    <w:p>
      <w:pPr>
        <w:pStyle w:val="24"/>
        <w:rPr>
          <w:color w:val="auto"/>
          <w:highlight w:val="none"/>
        </w:rPr>
      </w:pPr>
    </w:p>
    <w:p>
      <w:pPr>
        <w:pStyle w:val="17"/>
        <w:rPr>
          <w:rFonts w:ascii="Times New Roman" w:hAnsi="Times New Roman" w:cs="Times New Roman"/>
          <w:color w:val="auto"/>
          <w:highlight w:val="none"/>
        </w:rPr>
      </w:pPr>
    </w:p>
    <w:p>
      <w:pPr>
        <w:spacing w:line="360" w:lineRule="auto"/>
        <w:jc w:val="center"/>
        <w:rPr>
          <w:rFonts w:ascii="Times New Roman" w:hAnsi="Times New Roman" w:cs="Times New Roman" w:eastAsiaTheme="majorEastAsia"/>
          <w:color w:val="auto"/>
          <w:sz w:val="32"/>
          <w:szCs w:val="32"/>
          <w:highlight w:val="none"/>
        </w:rPr>
      </w:pPr>
      <w:r>
        <w:rPr>
          <w:rFonts w:ascii="Times New Roman" w:hAnsi="Times New Roman" w:eastAsia="宋体" w:cs="Times New Roman"/>
          <w:b/>
          <w:bCs/>
          <w:color w:val="auto"/>
          <w:sz w:val="32"/>
          <w:szCs w:val="32"/>
          <w:highlight w:val="none"/>
        </w:rPr>
        <w:t>编制日期：2019年6月</w:t>
      </w:r>
    </w:p>
    <w:p>
      <w:pPr>
        <w:snapToGrid w:val="0"/>
        <w:spacing w:line="30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国家环境保护总局制</w:t>
      </w:r>
    </w:p>
    <w:p>
      <w:pPr>
        <w:spacing w:before="156" w:beforeLines="50" w:after="312" w:afterLines="100" w:line="360" w:lineRule="auto"/>
        <w:jc w:val="center"/>
        <w:rPr>
          <w:rFonts w:ascii="Times New Roman" w:hAnsi="Times New Roman" w:eastAsia="宋体" w:cs="Times New Roman"/>
          <w:bCs/>
          <w:color w:val="auto"/>
          <w:sz w:val="24"/>
          <w:highlight w:val="none"/>
        </w:rPr>
      </w:pPr>
    </w:p>
    <w:p>
      <w:pPr>
        <w:spacing w:before="156" w:beforeLines="50" w:after="312" w:afterLines="100" w:line="360" w:lineRule="auto"/>
        <w:jc w:val="center"/>
        <w:rPr>
          <w:rFonts w:ascii="Times New Roman" w:hAnsi="Times New Roman" w:eastAsia="宋体" w:cs="Times New Roman"/>
          <w:b/>
          <w:color w:val="auto"/>
          <w:sz w:val="28"/>
          <w:szCs w:val="28"/>
          <w:highlight w:val="none"/>
        </w:rPr>
      </w:pPr>
      <w:r>
        <w:rPr>
          <w:rFonts w:ascii="Times New Roman" w:hAnsi="Times New Roman" w:eastAsia="宋体" w:cs="Times New Roman"/>
          <w:b/>
          <w:color w:val="auto"/>
          <w:sz w:val="28"/>
          <w:szCs w:val="28"/>
          <w:highlight w:val="none"/>
        </w:rPr>
        <w:t>《建设项目环境影响报告表》编制说明</w:t>
      </w:r>
    </w:p>
    <w:p>
      <w:pPr>
        <w:pStyle w:val="17"/>
        <w:ind w:left="0" w:leftChars="0"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《建设项目环境影响评价报告表》由具有从事环境影响评价工作资质的单位编制。</w:t>
      </w:r>
    </w:p>
    <w:p>
      <w:pPr>
        <w:tabs>
          <w:tab w:val="left" w:pos="210"/>
        </w:tabs>
        <w:spacing w:line="56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1.项目名称----指项目立项批复时的名称，应不超过30个字（两个英文字段作一个汉字）。</w:t>
      </w:r>
    </w:p>
    <w:p>
      <w:pPr>
        <w:tabs>
          <w:tab w:val="left" w:pos="210"/>
        </w:tabs>
        <w:spacing w:line="56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2.建设地点----指项目所在地详细地址、公路、铁路应填写起止地点。</w:t>
      </w:r>
    </w:p>
    <w:p>
      <w:pPr>
        <w:tabs>
          <w:tab w:val="left" w:pos="210"/>
        </w:tabs>
        <w:spacing w:line="56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3.行业类别----按国标填写。</w:t>
      </w:r>
    </w:p>
    <w:p>
      <w:pPr>
        <w:tabs>
          <w:tab w:val="left" w:pos="210"/>
        </w:tabs>
        <w:spacing w:line="56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4.总投资----指项目投资总额。</w:t>
      </w:r>
    </w:p>
    <w:p>
      <w:pPr>
        <w:tabs>
          <w:tab w:val="left" w:pos="210"/>
        </w:tabs>
        <w:spacing w:line="56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5.主要环境保护目标----指项目区周围一定范围内集中居民住宅、学校、医院、保护文物、风景名胜区、水源地和生态敏感点等，应尽可能给出保护目标、性质、规模和距厂界距离等。</w:t>
      </w:r>
    </w:p>
    <w:p>
      <w:pPr>
        <w:tabs>
          <w:tab w:val="left" w:pos="210"/>
        </w:tabs>
        <w:spacing w:line="56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6.结论与建议----给出本项目清洁生产、达标排放和总量控制的分析结论，确定污染防治措施的有效性，说明本项目对环境造成的影响，给出建设项目环境可行性的明确结论。同时提出减少环境影响的其它建议。</w:t>
      </w:r>
    </w:p>
    <w:p>
      <w:pPr>
        <w:tabs>
          <w:tab w:val="left" w:pos="210"/>
        </w:tabs>
        <w:spacing w:line="56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7.预审意见----由行业主管部门填写答复意见，无主管部门项目，可不填。</w:t>
      </w:r>
    </w:p>
    <w:p>
      <w:pPr>
        <w:tabs>
          <w:tab w:val="left" w:pos="210"/>
        </w:tabs>
        <w:spacing w:line="56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8.审批意见----由负责审批该项目的环境保护行政主管部门批复。</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widowControl/>
        <w:jc w:val="left"/>
        <w:rPr>
          <w:color w:val="auto"/>
          <w:highlight w:val="none"/>
        </w:rPr>
      </w:pPr>
      <w:r>
        <w:rPr>
          <w:color w:val="auto"/>
          <w:highlight w:val="none"/>
        </w:rPr>
        <w:br w:type="page"/>
      </w:r>
    </w:p>
    <w:p>
      <w:pPr>
        <w:rPr>
          <w:color w:val="auto"/>
          <w:highlight w:val="none"/>
        </w:rPr>
      </w:pPr>
    </w:p>
    <w:p>
      <w:pPr>
        <w:snapToGrid w:val="0"/>
        <w:spacing w:line="300" w:lineRule="auto"/>
        <w:jc w:val="center"/>
        <w:rPr>
          <w:rFonts w:hint="eastAsia" w:ascii="宋体" w:hAnsi="宋体" w:cs="宋体" w:eastAsiaTheme="minorEastAsia"/>
          <w:b/>
          <w:color w:val="auto"/>
          <w:sz w:val="32"/>
          <w:szCs w:val="32"/>
          <w:highlight w:val="none"/>
          <w:lang w:eastAsia="zh-CN"/>
        </w:rPr>
      </w:pPr>
      <w:r>
        <w:rPr>
          <w:rFonts w:hint="eastAsia" w:ascii="宋体" w:hAnsi="宋体" w:cs="宋体" w:eastAsiaTheme="minorEastAsia"/>
          <w:b/>
          <w:color w:val="auto"/>
          <w:sz w:val="32"/>
          <w:szCs w:val="32"/>
          <w:highlight w:val="none"/>
          <w:lang w:eastAsia="zh-CN"/>
        </w:rPr>
        <w:drawing>
          <wp:inline distT="0" distB="0" distL="114300" distR="114300">
            <wp:extent cx="5271135" cy="7450455"/>
            <wp:effectExtent l="0" t="0" r="5715" b="17145"/>
            <wp:docPr id="51" name="图片 51"/>
            <wp:cNvGraphicFramePr/>
            <a:graphic xmlns:a="http://schemas.openxmlformats.org/drawingml/2006/main">
              <a:graphicData uri="http://schemas.openxmlformats.org/drawingml/2006/picture">
                <pic:pic xmlns:pic="http://schemas.openxmlformats.org/drawingml/2006/picture">
                  <pic:nvPicPr>
                    <pic:cNvPr id="51" name="图片 51"/>
                    <pic:cNvPicPr/>
                  </pic:nvPicPr>
                  <pic:blipFill>
                    <a:blip r:embed="rId7"/>
                  </pic:blipFill>
                  <pic:spPr>
                    <a:xfrm>
                      <a:off x="0" y="0"/>
                      <a:ext cx="5271135" cy="7450455"/>
                    </a:xfrm>
                    <a:prstGeom prst="rect">
                      <a:avLst/>
                    </a:prstGeom>
                  </pic:spPr>
                </pic:pic>
              </a:graphicData>
            </a:graphic>
          </wp:inline>
        </w:drawing>
      </w:r>
      <w:r>
        <w:rPr>
          <w:rFonts w:hint="eastAsia" w:ascii="宋体" w:hAnsi="宋体" w:cs="宋体" w:eastAsiaTheme="minorEastAsia"/>
          <w:b/>
          <w:color w:val="auto"/>
          <w:sz w:val="32"/>
          <w:szCs w:val="32"/>
          <w:highlight w:val="none"/>
          <w:lang w:eastAsia="zh-CN"/>
        </w:rPr>
        <w:drawing>
          <wp:inline distT="0" distB="0" distL="114300" distR="114300">
            <wp:extent cx="5271135" cy="7450455"/>
            <wp:effectExtent l="0" t="0" r="5715" b="17145"/>
            <wp:docPr id="52" name="图片 52"/>
            <wp:cNvGraphicFramePr/>
            <a:graphic xmlns:a="http://schemas.openxmlformats.org/drawingml/2006/main">
              <a:graphicData uri="http://schemas.openxmlformats.org/drawingml/2006/picture">
                <pic:pic xmlns:pic="http://schemas.openxmlformats.org/drawingml/2006/picture">
                  <pic:nvPicPr>
                    <pic:cNvPr id="52" name="图片 52"/>
                    <pic:cNvPicPr/>
                  </pic:nvPicPr>
                  <pic:blipFill>
                    <a:blip r:embed="rId8"/>
                  </pic:blipFill>
                  <pic:spPr>
                    <a:xfrm>
                      <a:off x="0" y="0"/>
                      <a:ext cx="5271135" cy="7450455"/>
                    </a:xfrm>
                    <a:prstGeom prst="rect">
                      <a:avLst/>
                    </a:prstGeom>
                  </pic:spPr>
                </pic:pic>
              </a:graphicData>
            </a:graphic>
          </wp:inline>
        </w:drawing>
      </w:r>
      <w:r>
        <w:rPr>
          <w:rFonts w:hint="eastAsia" w:ascii="宋体" w:hAnsi="宋体" w:cs="宋体" w:eastAsiaTheme="minorEastAsia"/>
          <w:b/>
          <w:color w:val="auto"/>
          <w:sz w:val="32"/>
          <w:szCs w:val="32"/>
          <w:highlight w:val="none"/>
          <w:lang w:eastAsia="zh-CN"/>
        </w:rPr>
        <w:drawing>
          <wp:inline distT="0" distB="0" distL="114300" distR="114300">
            <wp:extent cx="5271135" cy="7450455"/>
            <wp:effectExtent l="0" t="0" r="5715" b="17145"/>
            <wp:docPr id="114" name="图片 114"/>
            <wp:cNvGraphicFramePr/>
            <a:graphic xmlns:a="http://schemas.openxmlformats.org/drawingml/2006/main">
              <a:graphicData uri="http://schemas.openxmlformats.org/drawingml/2006/picture">
                <pic:pic xmlns:pic="http://schemas.openxmlformats.org/drawingml/2006/picture">
                  <pic:nvPicPr>
                    <pic:cNvPr id="114" name="图片 114"/>
                    <pic:cNvPicPr/>
                  </pic:nvPicPr>
                  <pic:blipFill>
                    <a:blip r:embed="rId9"/>
                  </pic:blipFill>
                  <pic:spPr>
                    <a:xfrm>
                      <a:off x="0" y="0"/>
                      <a:ext cx="5271135" cy="7450455"/>
                    </a:xfrm>
                    <a:prstGeom prst="rect">
                      <a:avLst/>
                    </a:prstGeom>
                  </pic:spPr>
                </pic:pic>
              </a:graphicData>
            </a:graphic>
          </wp:inline>
        </w:drawing>
      </w:r>
      <w:r>
        <w:rPr>
          <w:rFonts w:hint="eastAsia" w:ascii="宋体" w:hAnsi="宋体" w:cs="宋体" w:eastAsiaTheme="minorEastAsia"/>
          <w:b/>
          <w:color w:val="auto"/>
          <w:sz w:val="32"/>
          <w:szCs w:val="32"/>
          <w:highlight w:val="none"/>
          <w:lang w:eastAsia="zh-CN"/>
        </w:rPr>
        <w:drawing>
          <wp:inline distT="0" distB="0" distL="114300" distR="114300">
            <wp:extent cx="5271135" cy="7450455"/>
            <wp:effectExtent l="0" t="0" r="5715" b="17145"/>
            <wp:docPr id="115" name="图片 115"/>
            <wp:cNvGraphicFramePr/>
            <a:graphic xmlns:a="http://schemas.openxmlformats.org/drawingml/2006/main">
              <a:graphicData uri="http://schemas.openxmlformats.org/drawingml/2006/picture">
                <pic:pic xmlns:pic="http://schemas.openxmlformats.org/drawingml/2006/picture">
                  <pic:nvPicPr>
                    <pic:cNvPr id="115" name="图片 115"/>
                    <pic:cNvPicPr/>
                  </pic:nvPicPr>
                  <pic:blipFill>
                    <a:blip r:embed="rId10"/>
                  </pic:blipFill>
                  <pic:spPr>
                    <a:xfrm>
                      <a:off x="0" y="0"/>
                      <a:ext cx="5271135" cy="7450455"/>
                    </a:xfrm>
                    <a:prstGeom prst="rect">
                      <a:avLst/>
                    </a:prstGeom>
                  </pic:spPr>
                </pic:pic>
              </a:graphicData>
            </a:graphic>
          </wp:inline>
        </w:drawing>
      </w:r>
      <w:r>
        <w:rPr>
          <w:rFonts w:hint="eastAsia" w:ascii="宋体" w:hAnsi="宋体" w:cs="宋体" w:eastAsiaTheme="minorEastAsia"/>
          <w:b/>
          <w:color w:val="auto"/>
          <w:sz w:val="32"/>
          <w:szCs w:val="32"/>
          <w:highlight w:val="none"/>
          <w:lang w:eastAsia="zh-CN"/>
        </w:rPr>
        <w:drawing>
          <wp:inline distT="0" distB="0" distL="114300" distR="114300">
            <wp:extent cx="5271135" cy="7450455"/>
            <wp:effectExtent l="0" t="0" r="5715" b="17145"/>
            <wp:docPr id="124" name="图片 124"/>
            <wp:cNvGraphicFramePr/>
            <a:graphic xmlns:a="http://schemas.openxmlformats.org/drawingml/2006/main">
              <a:graphicData uri="http://schemas.openxmlformats.org/drawingml/2006/picture">
                <pic:pic xmlns:pic="http://schemas.openxmlformats.org/drawingml/2006/picture">
                  <pic:nvPicPr>
                    <pic:cNvPr id="124" name="图片 124"/>
                    <pic:cNvPicPr/>
                  </pic:nvPicPr>
                  <pic:blipFill>
                    <a:blip r:embed="rId11"/>
                  </pic:blipFill>
                  <pic:spPr>
                    <a:xfrm>
                      <a:off x="0" y="0"/>
                      <a:ext cx="5271135" cy="7450455"/>
                    </a:xfrm>
                    <a:prstGeom prst="rect">
                      <a:avLst/>
                    </a:prstGeom>
                  </pic:spPr>
                </pic:pic>
              </a:graphicData>
            </a:graphic>
          </wp:inline>
        </w:drawing>
      </w:r>
      <w:r>
        <w:rPr>
          <w:rFonts w:hint="eastAsia" w:ascii="宋体" w:hAnsi="宋体" w:cs="宋体" w:eastAsiaTheme="minorEastAsia"/>
          <w:b/>
          <w:color w:val="auto"/>
          <w:sz w:val="32"/>
          <w:szCs w:val="32"/>
          <w:highlight w:val="none"/>
          <w:lang w:eastAsia="zh-CN"/>
        </w:rPr>
        <w:drawing>
          <wp:inline distT="0" distB="0" distL="114300" distR="114300">
            <wp:extent cx="5271135" cy="7450455"/>
            <wp:effectExtent l="0" t="0" r="5715" b="17145"/>
            <wp:docPr id="125" name="图片 125"/>
            <wp:cNvGraphicFramePr/>
            <a:graphic xmlns:a="http://schemas.openxmlformats.org/drawingml/2006/main">
              <a:graphicData uri="http://schemas.openxmlformats.org/drawingml/2006/picture">
                <pic:pic xmlns:pic="http://schemas.openxmlformats.org/drawingml/2006/picture">
                  <pic:nvPicPr>
                    <pic:cNvPr id="125" name="图片 125"/>
                    <pic:cNvPicPr/>
                  </pic:nvPicPr>
                  <pic:blipFill>
                    <a:blip r:embed="rId12"/>
                  </pic:blipFill>
                  <pic:spPr>
                    <a:xfrm>
                      <a:off x="0" y="0"/>
                      <a:ext cx="5271135" cy="7450455"/>
                    </a:xfrm>
                    <a:prstGeom prst="rect">
                      <a:avLst/>
                    </a:prstGeom>
                  </pic:spPr>
                </pic:pic>
              </a:graphicData>
            </a:graphic>
          </wp:inline>
        </w:drawing>
      </w:r>
      <w:r>
        <w:rPr>
          <w:rFonts w:hint="eastAsia" w:ascii="宋体" w:hAnsi="宋体" w:cs="宋体" w:eastAsiaTheme="minorEastAsia"/>
          <w:b/>
          <w:color w:val="auto"/>
          <w:sz w:val="32"/>
          <w:szCs w:val="32"/>
          <w:highlight w:val="none"/>
          <w:lang w:eastAsia="zh-CN"/>
        </w:rPr>
        <w:drawing>
          <wp:inline distT="0" distB="0" distL="114300" distR="114300">
            <wp:extent cx="5271135" cy="7450455"/>
            <wp:effectExtent l="0" t="0" r="5715" b="17145"/>
            <wp:docPr id="126" name="图片 126"/>
            <wp:cNvGraphicFramePr/>
            <a:graphic xmlns:a="http://schemas.openxmlformats.org/drawingml/2006/main">
              <a:graphicData uri="http://schemas.openxmlformats.org/drawingml/2006/picture">
                <pic:pic xmlns:pic="http://schemas.openxmlformats.org/drawingml/2006/picture">
                  <pic:nvPicPr>
                    <pic:cNvPr id="126" name="图片 126"/>
                    <pic:cNvPicPr/>
                  </pic:nvPicPr>
                  <pic:blipFill>
                    <a:blip r:embed="rId13"/>
                  </pic:blipFill>
                  <pic:spPr>
                    <a:xfrm>
                      <a:off x="0" y="0"/>
                      <a:ext cx="5271135" cy="7450455"/>
                    </a:xfrm>
                    <a:prstGeom prst="rect">
                      <a:avLst/>
                    </a:prstGeom>
                  </pic:spPr>
                </pic:pic>
              </a:graphicData>
            </a:graphic>
          </wp:inline>
        </w:drawing>
      </w:r>
    </w:p>
    <w:p/>
    <w:p>
      <w:pPr>
        <w:pStyle w:val="4"/>
        <w:jc w:val="center"/>
        <w:rPr>
          <w:color w:val="auto"/>
          <w:highlight w:val="none"/>
        </w:rPr>
      </w:pPr>
      <w:bookmarkStart w:id="34" w:name="_GoBack"/>
      <w:bookmarkEnd w:id="34"/>
    </w:p>
    <w:p>
      <w:pPr>
        <w:pStyle w:val="4"/>
        <w:jc w:val="center"/>
        <w:rPr>
          <w:color w:val="auto"/>
          <w:highlight w:val="none"/>
        </w:rPr>
      </w:pPr>
      <w:r>
        <w:rPr>
          <w:color w:val="auto"/>
          <w:highlight w:val="none"/>
        </w:rPr>
        <w:t>目录</w:t>
      </w:r>
    </w:p>
    <w:p>
      <w:pPr>
        <w:spacing w:line="360" w:lineRule="auto"/>
        <w:rPr>
          <w:rFonts w:hint="default" w:ascii="Times New Roman" w:hAnsi="Times New Roman" w:eastAsia="宋体" w:cs="Times New Roman"/>
          <w:color w:val="auto"/>
          <w:sz w:val="24"/>
          <w:szCs w:val="24"/>
          <w:highlight w:val="none"/>
        </w:rPr>
      </w:pPr>
      <w:r>
        <w:rPr>
          <w:rFonts w:hint="default" w:ascii="Times New Roman" w:hAnsi="Times New Roman" w:cs="Times New Roman"/>
          <w:b/>
          <w:color w:val="auto"/>
          <w:sz w:val="24"/>
          <w:szCs w:val="24"/>
          <w:highlight w:val="none"/>
        </w:rPr>
        <w:fldChar w:fldCharType="begin"/>
      </w:r>
      <w:r>
        <w:rPr>
          <w:rFonts w:hint="default" w:ascii="Times New Roman" w:hAnsi="Times New Roman" w:cs="Times New Roman"/>
          <w:b/>
          <w:color w:val="auto"/>
          <w:sz w:val="24"/>
          <w:szCs w:val="24"/>
          <w:highlight w:val="none"/>
        </w:rPr>
        <w:instrText xml:space="preserve">TOC \o "1-4" \f \h \u </w:instrText>
      </w:r>
      <w:r>
        <w:rPr>
          <w:rFonts w:hint="default" w:ascii="Times New Roman" w:hAnsi="Times New Roman" w:cs="Times New Roman"/>
          <w:b/>
          <w:color w:val="auto"/>
          <w:sz w:val="24"/>
          <w:szCs w:val="24"/>
          <w:highlight w:val="none"/>
        </w:rPr>
        <w:fldChar w:fldCharType="separate"/>
      </w: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"_Toc10814" </w:instrText>
      </w:r>
      <w:r>
        <w:rPr>
          <w:rFonts w:hint="default" w:ascii="Times New Roman" w:hAnsi="Times New Roman"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一、建设项目基本状况</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……………………………………………………………1</w:t>
      </w:r>
    </w:p>
    <w:p>
      <w:pPr>
        <w:pStyle w:val="15"/>
        <w:tabs>
          <w:tab w:val="right" w:leader="dot" w:pos="8306"/>
        </w:tabs>
        <w:spacing w:line="360" w:lineRule="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"_Toc30970" </w:instrText>
      </w:r>
      <w:r>
        <w:rPr>
          <w:rFonts w:hint="default" w:ascii="Times New Roman" w:hAnsi="Times New Roman"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二、建设项目所在地自然环境简况</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_Toc30970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7</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pPr>
        <w:pStyle w:val="15"/>
        <w:tabs>
          <w:tab w:val="right" w:leader="dot" w:pos="8306"/>
        </w:tabs>
        <w:spacing w:line="360" w:lineRule="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"_Toc9352" </w:instrText>
      </w:r>
      <w:r>
        <w:rPr>
          <w:rFonts w:hint="default" w:ascii="Times New Roman" w:hAnsi="Times New Roman"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三、环境质量状况</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_Toc9352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11</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pPr>
        <w:pStyle w:val="15"/>
        <w:tabs>
          <w:tab w:val="right" w:leader="dot" w:pos="8306"/>
        </w:tabs>
        <w:spacing w:line="360" w:lineRule="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"_Toc9864" </w:instrText>
      </w:r>
      <w:r>
        <w:rPr>
          <w:rFonts w:hint="default" w:ascii="Times New Roman" w:hAnsi="Times New Roman"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四、评价适用标准</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_Toc9864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18</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pPr>
        <w:pStyle w:val="15"/>
        <w:tabs>
          <w:tab w:val="right" w:leader="dot" w:pos="8306"/>
        </w:tabs>
        <w:spacing w:line="360" w:lineRule="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"_Toc28347" </w:instrText>
      </w:r>
      <w:r>
        <w:rPr>
          <w:rFonts w:hint="default" w:ascii="Times New Roman" w:hAnsi="Times New Roman"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五、建设项目工程分析</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_Toc28347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21</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pPr>
        <w:pStyle w:val="15"/>
        <w:tabs>
          <w:tab w:val="right" w:leader="dot" w:pos="8306"/>
        </w:tabs>
        <w:spacing w:line="360" w:lineRule="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"_Toc6523" </w:instrText>
      </w:r>
      <w:r>
        <w:rPr>
          <w:rFonts w:hint="default" w:ascii="Times New Roman" w:hAnsi="Times New Roman"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六、项目营运期主要污染物产生及预计排放情况</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_Toc6523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34</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pPr>
        <w:pStyle w:val="15"/>
        <w:tabs>
          <w:tab w:val="right" w:leader="dot" w:pos="8306"/>
        </w:tabs>
        <w:spacing w:line="360" w:lineRule="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"_Toc26431" </w:instrText>
      </w:r>
      <w:r>
        <w:rPr>
          <w:rFonts w:hint="default" w:ascii="Times New Roman" w:hAnsi="Times New Roman"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七、环境影响分析</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_Toc26431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35</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pPr>
        <w:pStyle w:val="15"/>
        <w:tabs>
          <w:tab w:val="right" w:leader="dot" w:pos="8306"/>
        </w:tabs>
        <w:spacing w:line="360" w:lineRule="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"_Toc26926" </w:instrText>
      </w:r>
      <w:r>
        <w:rPr>
          <w:rFonts w:hint="default" w:ascii="Times New Roman" w:hAnsi="Times New Roman"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八、项目拟采取的防治措施及预期治理效果</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_Toc26926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60</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pPr>
        <w:pStyle w:val="15"/>
        <w:tabs>
          <w:tab w:val="right" w:leader="dot" w:pos="8306"/>
        </w:tabs>
        <w:spacing w:line="360" w:lineRule="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"_Toc24602" </w:instrText>
      </w:r>
      <w:r>
        <w:rPr>
          <w:rFonts w:hint="default" w:ascii="Times New Roman" w:hAnsi="Times New Roman"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九、结论与建议</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_Toc24602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61</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pPr>
        <w:rPr>
          <w:color w:val="auto"/>
          <w:sz w:val="24"/>
          <w:highlight w:val="none"/>
        </w:rPr>
      </w:pPr>
      <w:r>
        <w:rPr>
          <w:rFonts w:hint="default" w:ascii="Times New Roman" w:hAnsi="Times New Roman" w:cs="Times New Roman"/>
          <w:color w:val="auto"/>
          <w:sz w:val="24"/>
          <w:szCs w:val="24"/>
          <w:highlight w:val="none"/>
        </w:rPr>
        <w:fldChar w:fldCharType="end"/>
      </w:r>
    </w:p>
    <w:p>
      <w:pPr>
        <w:spacing w:after="156" w:afterLines="50" w:line="360" w:lineRule="auto"/>
        <w:outlineLvl w:val="0"/>
        <w:rPr>
          <w:rFonts w:ascii="Times New Roman" w:hAnsi="Times New Roman" w:eastAsia="宋体" w:cs="Times New Roman"/>
          <w:b/>
          <w:bCs/>
          <w:color w:val="auto"/>
          <w:sz w:val="24"/>
          <w:highlight w:val="none"/>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3"/>
        <w:spacing w:before="0" w:after="0" w:line="240" w:lineRule="auto"/>
        <w:rPr>
          <w:rFonts w:ascii="Times New Roman" w:hAnsi="Times New Roman" w:cs="Times New Roman"/>
          <w:color w:val="auto"/>
          <w:sz w:val="32"/>
          <w:szCs w:val="32"/>
          <w:highlight w:val="none"/>
        </w:rPr>
      </w:pPr>
      <w:bookmarkStart w:id="0" w:name="_Toc6463_WPSOffice_Level1"/>
      <w:bookmarkStart w:id="1" w:name="_Toc10814"/>
      <w:bookmarkStart w:id="2" w:name="_Toc11996"/>
      <w:bookmarkStart w:id="3" w:name="_Toc17048_WPSOffice_Level1"/>
      <w:r>
        <w:rPr>
          <w:rFonts w:ascii="Times New Roman" w:hAnsi="Times New Roman" w:cs="Times New Roman"/>
          <w:color w:val="auto"/>
          <w:sz w:val="32"/>
          <w:szCs w:val="32"/>
          <w:highlight w:val="none"/>
        </w:rPr>
        <w:t>一、建设项目基本状况</w:t>
      </w:r>
      <w:bookmarkEnd w:id="0"/>
      <w:bookmarkEnd w:id="1"/>
      <w:bookmarkEnd w:id="2"/>
      <w:bookmarkEnd w:id="3"/>
    </w:p>
    <w:tbl>
      <w:tblPr>
        <w:tblStyle w:val="22"/>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9"/>
        <w:gridCol w:w="935"/>
        <w:gridCol w:w="911"/>
        <w:gridCol w:w="417"/>
        <w:gridCol w:w="501"/>
        <w:gridCol w:w="1373"/>
        <w:gridCol w:w="390"/>
        <w:gridCol w:w="1351"/>
        <w:gridCol w:w="1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49" w:type="dxa"/>
            <w:tcBorders>
              <w:top w:val="single" w:color="auto" w:sz="4" w:space="0"/>
              <w:left w:val="single" w:color="auto" w:sz="4" w:space="0"/>
              <w:bottom w:val="single" w:color="auto" w:sz="4" w:space="0"/>
              <w:right w:val="single" w:color="auto" w:sz="4" w:space="0"/>
            </w:tcBorders>
            <w:vAlign w:val="center"/>
          </w:tcPr>
          <w:p>
            <w:pPr>
              <w:ind w:firstLine="6"/>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项目名称</w:t>
            </w:r>
          </w:p>
        </w:tc>
        <w:tc>
          <w:tcPr>
            <w:tcW w:w="7073" w:type="dxa"/>
            <w:gridSpan w:val="8"/>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开平市鹏裕包装材料有限公司建设项目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49" w:type="dxa"/>
            <w:tcBorders>
              <w:top w:val="single" w:color="auto" w:sz="4" w:space="0"/>
              <w:left w:val="single" w:color="auto" w:sz="4" w:space="0"/>
              <w:bottom w:val="single" w:color="auto" w:sz="4" w:space="0"/>
              <w:right w:val="single" w:color="auto" w:sz="4" w:space="0"/>
            </w:tcBorders>
            <w:vAlign w:val="center"/>
          </w:tcPr>
          <w:p>
            <w:pPr>
              <w:ind w:firstLine="6"/>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建设单位</w:t>
            </w:r>
          </w:p>
        </w:tc>
        <w:tc>
          <w:tcPr>
            <w:tcW w:w="7073" w:type="dxa"/>
            <w:gridSpan w:val="8"/>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开平市鹏裕包装材料有限公司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49" w:type="dxa"/>
            <w:tcBorders>
              <w:top w:val="single" w:color="auto" w:sz="4" w:space="0"/>
              <w:left w:val="single" w:color="auto" w:sz="4" w:space="0"/>
              <w:bottom w:val="single" w:color="auto" w:sz="4" w:space="0"/>
              <w:right w:val="single" w:color="auto" w:sz="4" w:space="0"/>
            </w:tcBorders>
            <w:vAlign w:val="center"/>
          </w:tcPr>
          <w:p>
            <w:pPr>
              <w:ind w:firstLine="6"/>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法人代表</w:t>
            </w:r>
          </w:p>
        </w:tc>
        <w:tc>
          <w:tcPr>
            <w:tcW w:w="2263" w:type="dxa"/>
            <w:gridSpan w:val="3"/>
            <w:tcBorders>
              <w:top w:val="single" w:color="auto" w:sz="4" w:space="0"/>
              <w:left w:val="single" w:color="auto" w:sz="4" w:space="0"/>
              <w:bottom w:val="single" w:color="auto" w:sz="4" w:space="0"/>
              <w:right w:val="single" w:color="auto" w:sz="4" w:space="0"/>
            </w:tcBorders>
            <w:vAlign w:val="center"/>
          </w:tcPr>
          <w:p>
            <w:pPr>
              <w:ind w:firstLine="6"/>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王喜</w:t>
            </w:r>
          </w:p>
        </w:tc>
        <w:tc>
          <w:tcPr>
            <w:tcW w:w="1874" w:type="dxa"/>
            <w:gridSpan w:val="2"/>
            <w:tcBorders>
              <w:top w:val="single" w:color="auto" w:sz="4" w:space="0"/>
              <w:left w:val="single" w:color="auto" w:sz="4" w:space="0"/>
              <w:bottom w:val="single" w:color="auto" w:sz="4" w:space="0"/>
              <w:right w:val="single" w:color="auto" w:sz="4" w:space="0"/>
            </w:tcBorders>
            <w:vAlign w:val="center"/>
          </w:tcPr>
          <w:p>
            <w:pPr>
              <w:ind w:firstLine="6"/>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联 系 人</w:t>
            </w:r>
          </w:p>
        </w:tc>
        <w:tc>
          <w:tcPr>
            <w:tcW w:w="2936" w:type="dxa"/>
            <w:gridSpan w:val="3"/>
            <w:tcBorders>
              <w:top w:val="single" w:color="auto" w:sz="4" w:space="0"/>
              <w:left w:val="single" w:color="auto" w:sz="4" w:space="0"/>
              <w:bottom w:val="single" w:color="auto" w:sz="4" w:space="0"/>
              <w:right w:val="single" w:color="auto" w:sz="4" w:space="0"/>
            </w:tcBorders>
            <w:vAlign w:val="center"/>
          </w:tcPr>
          <w:p>
            <w:pPr>
              <w:ind w:firstLine="6"/>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王喜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49" w:type="dxa"/>
            <w:tcBorders>
              <w:top w:val="single" w:color="auto" w:sz="4" w:space="0"/>
              <w:left w:val="single" w:color="auto" w:sz="4" w:space="0"/>
              <w:bottom w:val="single" w:color="auto" w:sz="4" w:space="0"/>
              <w:right w:val="single" w:color="auto" w:sz="4" w:space="0"/>
            </w:tcBorders>
            <w:vAlign w:val="center"/>
          </w:tcPr>
          <w:p>
            <w:pPr>
              <w:ind w:firstLine="6"/>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通讯地址</w:t>
            </w:r>
          </w:p>
        </w:tc>
        <w:tc>
          <w:tcPr>
            <w:tcW w:w="7073" w:type="dxa"/>
            <w:gridSpan w:val="8"/>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开平市长沙区金章大道12号5幢之二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49" w:type="dxa"/>
            <w:tcBorders>
              <w:top w:val="single" w:color="auto" w:sz="4" w:space="0"/>
              <w:left w:val="single" w:color="auto" w:sz="4" w:space="0"/>
              <w:bottom w:val="single" w:color="auto" w:sz="4" w:space="0"/>
              <w:right w:val="single" w:color="auto" w:sz="4" w:space="0"/>
            </w:tcBorders>
            <w:vAlign w:val="center"/>
          </w:tcPr>
          <w:p>
            <w:pPr>
              <w:ind w:firstLine="6"/>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联系电话</w:t>
            </w:r>
          </w:p>
        </w:tc>
        <w:tc>
          <w:tcPr>
            <w:tcW w:w="1846" w:type="dxa"/>
            <w:gridSpan w:val="2"/>
            <w:tcBorders>
              <w:top w:val="single" w:color="auto" w:sz="4" w:space="0"/>
              <w:left w:val="single" w:color="auto" w:sz="4" w:space="0"/>
              <w:bottom w:val="single" w:color="auto" w:sz="4" w:space="0"/>
              <w:right w:val="single" w:color="auto" w:sz="4" w:space="0"/>
            </w:tcBorders>
            <w:vAlign w:val="center"/>
          </w:tcPr>
          <w:p>
            <w:pPr>
              <w:ind w:firstLine="6"/>
              <w:jc w:val="center"/>
              <w:rPr>
                <w:rFonts w:ascii="Times New Roman" w:hAnsi="Times New Roman" w:eastAsia="宋体" w:cs="Times New Roman"/>
                <w:color w:val="auto"/>
                <w:sz w:val="24"/>
                <w:highlight w:val="none"/>
              </w:rPr>
            </w:pPr>
          </w:p>
        </w:tc>
        <w:tc>
          <w:tcPr>
            <w:tcW w:w="918" w:type="dxa"/>
            <w:gridSpan w:val="2"/>
            <w:tcBorders>
              <w:top w:val="single" w:color="auto" w:sz="4" w:space="0"/>
              <w:left w:val="single" w:color="auto" w:sz="4" w:space="0"/>
              <w:bottom w:val="single" w:color="auto" w:sz="4" w:space="0"/>
              <w:right w:val="single" w:color="auto" w:sz="4" w:space="0"/>
            </w:tcBorders>
            <w:vAlign w:val="center"/>
          </w:tcPr>
          <w:p>
            <w:pPr>
              <w:ind w:firstLine="6"/>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传真</w:t>
            </w:r>
          </w:p>
        </w:tc>
        <w:tc>
          <w:tcPr>
            <w:tcW w:w="1763" w:type="dxa"/>
            <w:gridSpan w:val="2"/>
            <w:tcBorders>
              <w:top w:val="single" w:color="auto" w:sz="4" w:space="0"/>
              <w:left w:val="single" w:color="auto" w:sz="4" w:space="0"/>
              <w:bottom w:val="single" w:color="auto" w:sz="4" w:space="0"/>
              <w:right w:val="single" w:color="auto" w:sz="4" w:space="0"/>
            </w:tcBorders>
            <w:vAlign w:val="center"/>
          </w:tcPr>
          <w:p>
            <w:pPr>
              <w:ind w:firstLine="6"/>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0750-2310803</w:t>
            </w:r>
          </w:p>
        </w:tc>
        <w:tc>
          <w:tcPr>
            <w:tcW w:w="1351" w:type="dxa"/>
            <w:tcBorders>
              <w:top w:val="single" w:color="auto" w:sz="4" w:space="0"/>
              <w:left w:val="single" w:color="auto" w:sz="4" w:space="0"/>
              <w:bottom w:val="single" w:color="auto" w:sz="4" w:space="0"/>
              <w:right w:val="single" w:color="auto" w:sz="4" w:space="0"/>
            </w:tcBorders>
            <w:vAlign w:val="center"/>
          </w:tcPr>
          <w:p>
            <w:pPr>
              <w:ind w:firstLine="6"/>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邮政编码</w:t>
            </w:r>
          </w:p>
        </w:tc>
        <w:tc>
          <w:tcPr>
            <w:tcW w:w="1195" w:type="dxa"/>
            <w:tcBorders>
              <w:top w:val="single" w:color="auto" w:sz="4" w:space="0"/>
              <w:left w:val="single" w:color="auto" w:sz="4" w:space="0"/>
              <w:bottom w:val="single" w:color="auto" w:sz="4" w:space="0"/>
              <w:right w:val="single" w:color="auto" w:sz="4" w:space="0"/>
            </w:tcBorders>
            <w:vAlign w:val="center"/>
          </w:tcPr>
          <w:p>
            <w:pPr>
              <w:ind w:firstLine="6"/>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529300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49" w:type="dxa"/>
            <w:tcBorders>
              <w:top w:val="single" w:color="auto" w:sz="4" w:space="0"/>
              <w:left w:val="single" w:color="auto" w:sz="4" w:space="0"/>
              <w:bottom w:val="single" w:color="auto" w:sz="4" w:space="0"/>
              <w:right w:val="single" w:color="auto" w:sz="4" w:space="0"/>
            </w:tcBorders>
            <w:vAlign w:val="center"/>
          </w:tcPr>
          <w:p>
            <w:pPr>
              <w:ind w:firstLine="6"/>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建设地点</w:t>
            </w:r>
          </w:p>
        </w:tc>
        <w:tc>
          <w:tcPr>
            <w:tcW w:w="7073" w:type="dxa"/>
            <w:gridSpan w:val="8"/>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开平市长沙区金章大道12号5幢之二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49" w:type="dxa"/>
            <w:tcBorders>
              <w:top w:val="single" w:color="auto" w:sz="4" w:space="0"/>
              <w:left w:val="single" w:color="auto" w:sz="4" w:space="0"/>
              <w:bottom w:val="single" w:color="auto" w:sz="4" w:space="0"/>
              <w:right w:val="single" w:color="auto" w:sz="4" w:space="0"/>
            </w:tcBorders>
            <w:vAlign w:val="center"/>
          </w:tcPr>
          <w:p>
            <w:pPr>
              <w:ind w:firstLine="6"/>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立项审批部门</w:t>
            </w:r>
          </w:p>
        </w:tc>
        <w:tc>
          <w:tcPr>
            <w:tcW w:w="2263" w:type="dxa"/>
            <w:gridSpan w:val="3"/>
            <w:tcBorders>
              <w:top w:val="single" w:color="auto" w:sz="4" w:space="0"/>
              <w:left w:val="single" w:color="auto" w:sz="4" w:space="0"/>
              <w:bottom w:val="single" w:color="auto" w:sz="4" w:space="0"/>
              <w:right w:val="single" w:color="auto" w:sz="4" w:space="0"/>
            </w:tcBorders>
            <w:vAlign w:val="center"/>
          </w:tcPr>
          <w:p>
            <w:pPr>
              <w:ind w:firstLine="6"/>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广东省发展改革委员会</w:t>
            </w:r>
          </w:p>
        </w:tc>
        <w:tc>
          <w:tcPr>
            <w:tcW w:w="1874" w:type="dxa"/>
            <w:gridSpan w:val="2"/>
            <w:tcBorders>
              <w:top w:val="single" w:color="auto" w:sz="4" w:space="0"/>
              <w:left w:val="single" w:color="auto" w:sz="4" w:space="0"/>
              <w:bottom w:val="single" w:color="auto" w:sz="4" w:space="0"/>
              <w:right w:val="single" w:color="auto" w:sz="4" w:space="0"/>
            </w:tcBorders>
            <w:vAlign w:val="center"/>
          </w:tcPr>
          <w:p>
            <w:pPr>
              <w:ind w:firstLine="6"/>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批准文号</w:t>
            </w:r>
          </w:p>
        </w:tc>
        <w:tc>
          <w:tcPr>
            <w:tcW w:w="2936" w:type="dxa"/>
            <w:gridSpan w:val="3"/>
            <w:tcBorders>
              <w:top w:val="single" w:color="auto" w:sz="4" w:space="0"/>
              <w:left w:val="single" w:color="auto" w:sz="4" w:space="0"/>
              <w:bottom w:val="single" w:color="auto" w:sz="4" w:space="0"/>
              <w:right w:val="single" w:color="auto" w:sz="4" w:space="0"/>
            </w:tcBorders>
            <w:vAlign w:val="center"/>
          </w:tcPr>
          <w:p>
            <w:pPr>
              <w:ind w:firstLine="7"/>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2019-440783-29-03-032953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49" w:type="dxa"/>
            <w:tcBorders>
              <w:top w:val="single" w:color="auto" w:sz="4" w:space="0"/>
              <w:left w:val="single" w:color="auto" w:sz="4" w:space="0"/>
              <w:bottom w:val="single" w:color="auto" w:sz="4" w:space="0"/>
              <w:right w:val="single" w:color="auto" w:sz="4" w:space="0"/>
            </w:tcBorders>
            <w:vAlign w:val="center"/>
          </w:tcPr>
          <w:p>
            <w:pPr>
              <w:ind w:firstLine="7"/>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建设性质</w:t>
            </w:r>
          </w:p>
        </w:tc>
        <w:tc>
          <w:tcPr>
            <w:tcW w:w="2263" w:type="dxa"/>
            <w:gridSpan w:val="3"/>
            <w:tcBorders>
              <w:top w:val="single" w:color="auto" w:sz="4" w:space="0"/>
              <w:left w:val="single" w:color="auto" w:sz="4" w:space="0"/>
              <w:bottom w:val="single" w:color="auto" w:sz="4" w:space="0"/>
              <w:right w:val="single" w:color="auto" w:sz="4" w:space="0"/>
            </w:tcBorders>
            <w:vAlign w:val="center"/>
          </w:tcPr>
          <w:p>
            <w:pPr>
              <w:ind w:firstLine="7"/>
              <w:jc w:val="center"/>
              <w:rPr>
                <w:rFonts w:ascii="Times New Roman" w:hAnsi="Times New Roman" w:eastAsia="宋体" w:cs="Times New Roman"/>
                <w:color w:val="auto"/>
                <w:sz w:val="24"/>
                <w:highlight w:val="none"/>
              </w:rPr>
            </w:pPr>
            <w:r>
              <w:rPr>
                <w:rFonts w:ascii="Times New Roman" w:hAnsi="Times New Roman" w:eastAsia="宋体" w:cs="Times New Roman"/>
                <w:color w:val="auto"/>
                <w:spacing w:val="10"/>
                <w:sz w:val="24"/>
                <w:highlight w:val="none"/>
              </w:rPr>
              <w:t>新建</w:t>
            </w:r>
            <w:r>
              <w:rPr>
                <w:rFonts w:ascii="Times New Roman" w:hAnsi="Times New Roman" w:eastAsia="宋体" w:cs="Times New Roman"/>
                <w:color w:val="auto"/>
                <w:spacing w:val="10"/>
                <w:sz w:val="24"/>
                <w:highlight w:val="none"/>
                <w:bdr w:val="single" w:color="auto" w:sz="4" w:space="0"/>
              </w:rPr>
              <w:t>√</w:t>
            </w:r>
            <w:r>
              <w:rPr>
                <w:rFonts w:ascii="Times New Roman" w:hAnsi="Times New Roman" w:eastAsia="宋体" w:cs="Times New Roman"/>
                <w:color w:val="auto"/>
                <w:spacing w:val="10"/>
                <w:sz w:val="24"/>
                <w:highlight w:val="none"/>
              </w:rPr>
              <w:t>扩建□搬迁</w:t>
            </w:r>
            <w:r>
              <w:rPr>
                <w:rFonts w:ascii="Times New Roman" w:hAnsi="Times New Roman" w:eastAsia="宋体" w:cs="Times New Roman"/>
                <w:color w:val="auto"/>
                <w:spacing w:val="-5"/>
                <w:sz w:val="24"/>
                <w:highlight w:val="none"/>
              </w:rPr>
              <w:t>□</w:t>
            </w:r>
          </w:p>
        </w:tc>
        <w:tc>
          <w:tcPr>
            <w:tcW w:w="1874" w:type="dxa"/>
            <w:gridSpan w:val="2"/>
            <w:tcBorders>
              <w:top w:val="single" w:color="auto" w:sz="4" w:space="0"/>
              <w:left w:val="single" w:color="auto" w:sz="4" w:space="0"/>
              <w:bottom w:val="single" w:color="auto" w:sz="4" w:space="0"/>
              <w:right w:val="single" w:color="auto" w:sz="4" w:space="0"/>
            </w:tcBorders>
            <w:vAlign w:val="center"/>
          </w:tcPr>
          <w:p>
            <w:pPr>
              <w:ind w:firstLine="7"/>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行业类别及代码</w:t>
            </w:r>
          </w:p>
        </w:tc>
        <w:tc>
          <w:tcPr>
            <w:tcW w:w="2936" w:type="dxa"/>
            <w:gridSpan w:val="3"/>
            <w:tcBorders>
              <w:top w:val="single" w:color="auto" w:sz="4" w:space="0"/>
              <w:left w:val="single" w:color="auto" w:sz="4" w:space="0"/>
              <w:bottom w:val="single" w:color="auto" w:sz="4" w:space="0"/>
              <w:right w:val="single" w:color="auto" w:sz="4" w:space="0"/>
            </w:tcBorders>
            <w:vAlign w:val="center"/>
          </w:tcPr>
          <w:p>
            <w:pPr>
              <w:ind w:firstLine="7"/>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C2924泡沫塑料制造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49" w:type="dxa"/>
            <w:tcBorders>
              <w:top w:val="single" w:color="auto" w:sz="4" w:space="0"/>
              <w:left w:val="single" w:color="auto" w:sz="4" w:space="0"/>
              <w:bottom w:val="single" w:color="auto" w:sz="4" w:space="0"/>
              <w:right w:val="single" w:color="auto" w:sz="4" w:space="0"/>
            </w:tcBorders>
            <w:vAlign w:val="center"/>
          </w:tcPr>
          <w:p>
            <w:pPr>
              <w:ind w:firstLine="7"/>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用地面积</w:t>
            </w:r>
          </w:p>
          <w:p>
            <w:pPr>
              <w:ind w:firstLine="7"/>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（平方米）</w:t>
            </w:r>
          </w:p>
        </w:tc>
        <w:tc>
          <w:tcPr>
            <w:tcW w:w="2263" w:type="dxa"/>
            <w:gridSpan w:val="3"/>
            <w:tcBorders>
              <w:top w:val="single" w:color="auto" w:sz="4" w:space="0"/>
              <w:left w:val="single" w:color="auto" w:sz="4" w:space="0"/>
              <w:bottom w:val="single" w:color="auto" w:sz="4" w:space="0"/>
              <w:right w:val="single" w:color="auto" w:sz="4" w:space="0"/>
            </w:tcBorders>
            <w:vAlign w:val="center"/>
          </w:tcPr>
          <w:p>
            <w:pPr>
              <w:ind w:firstLine="7"/>
              <w:jc w:val="center"/>
              <w:rPr>
                <w:rFonts w:ascii="Times New Roman" w:hAnsi="Times New Roman" w:eastAsia="宋体" w:cs="Times New Roman"/>
                <w:color w:val="auto"/>
                <w:sz w:val="24"/>
                <w:highlight w:val="none"/>
                <w:vertAlign w:val="superscript"/>
              </w:rPr>
            </w:pPr>
            <w:r>
              <w:rPr>
                <w:rFonts w:ascii="Times New Roman" w:hAnsi="Times New Roman" w:eastAsia="宋体" w:cs="Times New Roman"/>
                <w:color w:val="auto"/>
                <w:sz w:val="24"/>
                <w:highlight w:val="none"/>
              </w:rPr>
              <w:t>2500m</w:t>
            </w:r>
            <w:r>
              <w:rPr>
                <w:rFonts w:ascii="Times New Roman" w:hAnsi="Times New Roman" w:eastAsia="宋体" w:cs="Times New Roman"/>
                <w:color w:val="auto"/>
                <w:sz w:val="24"/>
                <w:highlight w:val="none"/>
                <w:vertAlign w:val="superscript"/>
              </w:rPr>
              <w:t>3</w:t>
            </w:r>
          </w:p>
        </w:tc>
        <w:tc>
          <w:tcPr>
            <w:tcW w:w="1874" w:type="dxa"/>
            <w:gridSpan w:val="2"/>
            <w:tcBorders>
              <w:top w:val="single" w:color="auto" w:sz="4" w:space="0"/>
              <w:left w:val="single" w:color="auto" w:sz="4" w:space="0"/>
              <w:bottom w:val="single" w:color="auto" w:sz="4" w:space="0"/>
              <w:right w:val="single" w:color="auto" w:sz="4" w:space="0"/>
            </w:tcBorders>
            <w:vAlign w:val="center"/>
          </w:tcPr>
          <w:p>
            <w:pPr>
              <w:ind w:firstLine="7"/>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建筑面积(平方米）</w:t>
            </w:r>
          </w:p>
        </w:tc>
        <w:tc>
          <w:tcPr>
            <w:tcW w:w="2936" w:type="dxa"/>
            <w:gridSpan w:val="3"/>
            <w:tcBorders>
              <w:top w:val="single" w:color="auto" w:sz="4" w:space="0"/>
              <w:left w:val="single" w:color="auto" w:sz="4" w:space="0"/>
              <w:bottom w:val="single" w:color="auto" w:sz="4" w:space="0"/>
              <w:right w:val="single" w:color="auto" w:sz="4" w:space="0"/>
            </w:tcBorders>
            <w:vAlign w:val="center"/>
          </w:tcPr>
          <w:p>
            <w:pPr>
              <w:ind w:firstLine="7"/>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2500m</w:t>
            </w:r>
            <w:r>
              <w:rPr>
                <w:rFonts w:ascii="Times New Roman" w:hAnsi="Times New Roman" w:eastAsia="宋体" w:cs="Times New Roman"/>
                <w:color w:val="auto"/>
                <w:sz w:val="24"/>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49" w:type="dxa"/>
            <w:tcBorders>
              <w:top w:val="single" w:color="auto" w:sz="4" w:space="0"/>
              <w:left w:val="single" w:color="auto" w:sz="4" w:space="0"/>
              <w:bottom w:val="single" w:color="auto" w:sz="4" w:space="0"/>
              <w:right w:val="single" w:color="auto" w:sz="4" w:space="0"/>
            </w:tcBorders>
            <w:vAlign w:val="center"/>
          </w:tcPr>
          <w:p>
            <w:pPr>
              <w:ind w:firstLine="7"/>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总投资（万元）</w:t>
            </w:r>
          </w:p>
        </w:tc>
        <w:tc>
          <w:tcPr>
            <w:tcW w:w="935" w:type="dxa"/>
            <w:tcBorders>
              <w:top w:val="single" w:color="auto" w:sz="4" w:space="0"/>
              <w:left w:val="single" w:color="auto" w:sz="4" w:space="0"/>
              <w:bottom w:val="single" w:color="auto" w:sz="4" w:space="0"/>
              <w:right w:val="single" w:color="auto" w:sz="4" w:space="0"/>
            </w:tcBorders>
            <w:vAlign w:val="center"/>
          </w:tcPr>
          <w:p>
            <w:pPr>
              <w:ind w:firstLine="7"/>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150万</w:t>
            </w:r>
          </w:p>
        </w:tc>
        <w:tc>
          <w:tcPr>
            <w:tcW w:w="1328" w:type="dxa"/>
            <w:gridSpan w:val="2"/>
            <w:tcBorders>
              <w:top w:val="single" w:color="auto" w:sz="4" w:space="0"/>
              <w:left w:val="single" w:color="auto" w:sz="4" w:space="0"/>
              <w:bottom w:val="single" w:color="auto" w:sz="4" w:space="0"/>
              <w:right w:val="single" w:color="auto" w:sz="4" w:space="0"/>
            </w:tcBorders>
            <w:vAlign w:val="center"/>
          </w:tcPr>
          <w:p>
            <w:pPr>
              <w:ind w:firstLine="7"/>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其中:环保投资（万元）</w:t>
            </w:r>
          </w:p>
        </w:tc>
        <w:tc>
          <w:tcPr>
            <w:tcW w:w="1874" w:type="dxa"/>
            <w:gridSpan w:val="2"/>
            <w:tcBorders>
              <w:top w:val="single" w:color="auto" w:sz="4" w:space="0"/>
              <w:left w:val="single" w:color="auto" w:sz="4" w:space="0"/>
              <w:bottom w:val="single" w:color="auto" w:sz="4" w:space="0"/>
              <w:right w:val="single" w:color="auto" w:sz="4" w:space="0"/>
            </w:tcBorders>
            <w:vAlign w:val="center"/>
          </w:tcPr>
          <w:p>
            <w:pPr>
              <w:ind w:firstLine="7"/>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20万</w:t>
            </w:r>
          </w:p>
        </w:tc>
        <w:tc>
          <w:tcPr>
            <w:tcW w:w="1741" w:type="dxa"/>
            <w:gridSpan w:val="2"/>
            <w:tcBorders>
              <w:top w:val="single" w:color="auto" w:sz="4" w:space="0"/>
              <w:left w:val="single" w:color="auto" w:sz="4" w:space="0"/>
              <w:bottom w:val="single" w:color="auto" w:sz="4" w:space="0"/>
              <w:right w:val="single" w:color="auto" w:sz="4" w:space="0"/>
            </w:tcBorders>
            <w:vAlign w:val="center"/>
          </w:tcPr>
          <w:p>
            <w:pPr>
              <w:ind w:firstLine="7"/>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环保投资占总投资比例</w:t>
            </w:r>
          </w:p>
        </w:tc>
        <w:tc>
          <w:tcPr>
            <w:tcW w:w="1195" w:type="dxa"/>
            <w:tcBorders>
              <w:top w:val="single" w:color="auto" w:sz="4" w:space="0"/>
              <w:left w:val="single" w:color="auto" w:sz="4" w:space="0"/>
              <w:bottom w:val="single" w:color="auto" w:sz="4" w:space="0"/>
              <w:right w:val="single" w:color="auto" w:sz="4" w:space="0"/>
            </w:tcBorders>
            <w:vAlign w:val="center"/>
          </w:tcPr>
          <w:p>
            <w:pPr>
              <w:ind w:firstLine="7"/>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49" w:type="dxa"/>
            <w:tcBorders>
              <w:top w:val="single" w:color="auto" w:sz="4" w:space="0"/>
              <w:left w:val="single" w:color="auto" w:sz="4" w:space="0"/>
              <w:bottom w:val="single" w:color="auto" w:sz="4" w:space="0"/>
              <w:right w:val="single" w:color="auto" w:sz="4" w:space="0"/>
            </w:tcBorders>
            <w:vAlign w:val="center"/>
          </w:tcPr>
          <w:p>
            <w:pPr>
              <w:ind w:firstLine="7"/>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评价经费（万元）</w:t>
            </w:r>
          </w:p>
        </w:tc>
        <w:tc>
          <w:tcPr>
            <w:tcW w:w="2263" w:type="dxa"/>
            <w:gridSpan w:val="3"/>
            <w:tcBorders>
              <w:top w:val="single" w:color="auto" w:sz="4" w:space="0"/>
              <w:left w:val="single" w:color="auto" w:sz="4" w:space="0"/>
              <w:bottom w:val="single" w:color="auto" w:sz="4" w:space="0"/>
              <w:right w:val="single" w:color="auto" w:sz="4" w:space="0"/>
            </w:tcBorders>
            <w:vAlign w:val="center"/>
          </w:tcPr>
          <w:p>
            <w:pPr>
              <w:ind w:firstLine="7"/>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w:t>
            </w:r>
          </w:p>
        </w:tc>
        <w:tc>
          <w:tcPr>
            <w:tcW w:w="1874" w:type="dxa"/>
            <w:gridSpan w:val="2"/>
            <w:tcBorders>
              <w:top w:val="single" w:color="auto" w:sz="4" w:space="0"/>
              <w:left w:val="single" w:color="auto" w:sz="4" w:space="0"/>
              <w:bottom w:val="single" w:color="auto" w:sz="4" w:space="0"/>
              <w:right w:val="single" w:color="auto" w:sz="4" w:space="0"/>
            </w:tcBorders>
            <w:vAlign w:val="center"/>
          </w:tcPr>
          <w:p>
            <w:pPr>
              <w:ind w:firstLine="7"/>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预期投产日期</w:t>
            </w:r>
          </w:p>
        </w:tc>
        <w:tc>
          <w:tcPr>
            <w:tcW w:w="2936" w:type="dxa"/>
            <w:gridSpan w:val="3"/>
            <w:tcBorders>
              <w:top w:val="single" w:color="auto" w:sz="4" w:space="0"/>
              <w:left w:val="single" w:color="auto" w:sz="4" w:space="0"/>
              <w:bottom w:val="single" w:color="auto" w:sz="4" w:space="0"/>
              <w:right w:val="single" w:color="auto" w:sz="4" w:space="0"/>
            </w:tcBorders>
            <w:vAlign w:val="center"/>
          </w:tcPr>
          <w:p>
            <w:pPr>
              <w:ind w:firstLine="7"/>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2019年</w:t>
            </w:r>
            <w:r>
              <w:rPr>
                <w:rFonts w:hint="eastAsia" w:ascii="Times New Roman" w:hAnsi="Times New Roman" w:eastAsia="宋体" w:cs="Times New Roman"/>
                <w:color w:val="auto"/>
                <w:sz w:val="24"/>
                <w:highlight w:val="none"/>
                <w:lang w:val="en-US" w:eastAsia="zh-CN"/>
              </w:rPr>
              <w:t>12</w:t>
            </w:r>
            <w:r>
              <w:rPr>
                <w:rFonts w:ascii="Times New Roman" w:hAnsi="Times New Roman" w:eastAsia="宋体" w:cs="Times New Roman"/>
                <w:color w:val="auto"/>
                <w:sz w:val="24"/>
                <w:highlight w:val="none"/>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9" w:hRule="atLeast"/>
          <w:jc w:val="center"/>
        </w:trPr>
        <w:tc>
          <w:tcPr>
            <w:tcW w:w="8522" w:type="dxa"/>
            <w:gridSpan w:val="9"/>
            <w:tcBorders>
              <w:top w:val="single" w:color="auto" w:sz="4" w:space="0"/>
              <w:left w:val="single" w:color="auto" w:sz="4" w:space="0"/>
              <w:bottom w:val="single" w:color="auto" w:sz="4" w:space="0"/>
              <w:right w:val="single" w:color="auto" w:sz="4" w:space="0"/>
            </w:tcBorders>
          </w:tcPr>
          <w:p>
            <w:pPr>
              <w:spacing w:before="156" w:beforeLines="50" w:line="360" w:lineRule="auto"/>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工程内容及规模:</w:t>
            </w:r>
          </w:p>
          <w:p>
            <w:pPr>
              <w:spacing w:line="360" w:lineRule="auto"/>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一、工程规模:</w:t>
            </w:r>
          </w:p>
          <w:p>
            <w:pPr>
              <w:spacing w:line="360" w:lineRule="auto"/>
              <w:ind w:firstLine="480"/>
              <w:rPr>
                <w:rFonts w:ascii="Times New Roman" w:hAnsi="Times New Roman" w:cs="Times New Roman"/>
                <w:color w:val="auto"/>
                <w:sz w:val="24"/>
                <w:highlight w:val="none"/>
              </w:rPr>
            </w:pPr>
            <w:r>
              <w:rPr>
                <w:rFonts w:ascii="Times New Roman" w:hAnsi="Times New Roman" w:eastAsia="宋体" w:cs="Times New Roman"/>
                <w:color w:val="auto"/>
                <w:sz w:val="24"/>
                <w:highlight w:val="none"/>
              </w:rPr>
              <w:t>开平市鹏裕包装材料有限公司建设项目位于开平市长沙区金章大道12号5幢之二。其厂址中心地理坐标为北纬：22°24′24″，东经：112°37′32″。企业信用代码：91440783MA4UMRXC3D。根据</w:t>
            </w:r>
            <w:r>
              <w:rPr>
                <w:rFonts w:hint="eastAsia" w:ascii="Times New Roman" w:hAnsi="Times New Roman" w:eastAsia="宋体" w:cs="Times New Roman"/>
                <w:color w:val="auto"/>
                <w:sz w:val="24"/>
                <w:highlight w:val="none"/>
              </w:rPr>
              <w:t>粤</w:t>
            </w:r>
            <w:r>
              <w:rPr>
                <w:rFonts w:ascii="Times New Roman" w:hAnsi="Times New Roman" w:eastAsia="宋体" w:cs="Times New Roman"/>
                <w:color w:val="auto"/>
                <w:sz w:val="24"/>
                <w:highlight w:val="none"/>
              </w:rPr>
              <w:t>（20</w:t>
            </w:r>
            <w:r>
              <w:rPr>
                <w:rFonts w:hint="eastAsia" w:ascii="Times New Roman" w:hAnsi="Times New Roman" w:eastAsia="宋体" w:cs="Times New Roman"/>
                <w:color w:val="auto"/>
                <w:sz w:val="24"/>
                <w:highlight w:val="none"/>
              </w:rPr>
              <w:t>18</w:t>
            </w:r>
            <w:r>
              <w:rPr>
                <w:rFonts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rPr>
              <w:t>开平市不动产权第0022479号</w:t>
            </w:r>
            <w:r>
              <w:rPr>
                <w:rFonts w:ascii="Times New Roman" w:hAnsi="Times New Roman" w:eastAsia="宋体" w:cs="Times New Roman"/>
                <w:color w:val="auto"/>
                <w:sz w:val="24"/>
                <w:highlight w:val="none"/>
              </w:rPr>
              <w:t>，该项目用地性质为工业用地</w:t>
            </w:r>
            <w:r>
              <w:rPr>
                <w:rFonts w:hint="eastAsia" w:ascii="Times New Roman" w:hAnsi="Times New Roman" w:eastAsia="宋体" w:cs="Times New Roman"/>
                <w:color w:val="auto"/>
                <w:sz w:val="24"/>
                <w:highlight w:val="none"/>
              </w:rPr>
              <w:t>，权利人为开平裕进纺织厂有限公司，本项目租用开平裕进纺织厂有限公司（占地面积147050m</w:t>
            </w:r>
            <w:r>
              <w:rPr>
                <w:rFonts w:hint="eastAsia" w:ascii="Times New Roman" w:hAnsi="Times New Roman" w:eastAsia="宋体" w:cs="Times New Roman"/>
                <w:color w:val="auto"/>
                <w:sz w:val="24"/>
                <w:highlight w:val="none"/>
                <w:vertAlign w:val="superscript"/>
              </w:rPr>
              <w:t>2</w:t>
            </w:r>
            <w:r>
              <w:rPr>
                <w:rFonts w:hint="eastAsia" w:ascii="Times New Roman" w:hAnsi="Times New Roman" w:eastAsia="宋体" w:cs="Times New Roman"/>
                <w:color w:val="auto"/>
                <w:sz w:val="24"/>
                <w:highlight w:val="none"/>
              </w:rPr>
              <w:t>，建筑面积55704.3m</w:t>
            </w:r>
            <w:r>
              <w:rPr>
                <w:rFonts w:hint="eastAsia" w:ascii="Times New Roman" w:hAnsi="Times New Roman" w:eastAsia="宋体" w:cs="Times New Roman"/>
                <w:color w:val="auto"/>
                <w:sz w:val="24"/>
                <w:highlight w:val="none"/>
                <w:vertAlign w:val="superscript"/>
              </w:rPr>
              <w:t>2</w:t>
            </w:r>
            <w:r>
              <w:rPr>
                <w:rFonts w:hint="eastAsia" w:ascii="Times New Roman" w:hAnsi="Times New Roman" w:eastAsia="宋体" w:cs="Times New Roman"/>
                <w:color w:val="auto"/>
                <w:sz w:val="24"/>
                <w:highlight w:val="none"/>
              </w:rPr>
              <w:t>）的</w:t>
            </w:r>
            <w:r>
              <w:rPr>
                <w:rFonts w:ascii="Times New Roman" w:hAnsi="Times New Roman" w:eastAsia="宋体" w:cs="Times New Roman"/>
                <w:color w:val="auto"/>
                <w:sz w:val="24"/>
                <w:highlight w:val="none"/>
              </w:rPr>
              <w:t>闲置厂房</w:t>
            </w:r>
            <w:r>
              <w:rPr>
                <w:rFonts w:hint="eastAsia" w:ascii="Times New Roman" w:hAnsi="Times New Roman" w:eastAsia="宋体" w:cs="Times New Roman"/>
                <w:color w:val="auto"/>
                <w:sz w:val="24"/>
                <w:highlight w:val="none"/>
              </w:rPr>
              <w:t>进行生产。本</w:t>
            </w:r>
            <w:r>
              <w:rPr>
                <w:rFonts w:ascii="Times New Roman" w:hAnsi="Times New Roman" w:eastAsia="宋体" w:cs="Times New Roman"/>
                <w:color w:val="auto"/>
                <w:sz w:val="24"/>
                <w:highlight w:val="none"/>
              </w:rPr>
              <w:t>项目总用地面积2500m</w:t>
            </w:r>
            <w:r>
              <w:rPr>
                <w:rFonts w:ascii="Times New Roman" w:hAnsi="Times New Roman" w:eastAsia="宋体" w:cs="Times New Roman"/>
                <w:color w:val="auto"/>
                <w:sz w:val="24"/>
                <w:highlight w:val="none"/>
                <w:vertAlign w:val="superscript"/>
              </w:rPr>
              <w:t>3</w:t>
            </w:r>
            <w:r>
              <w:rPr>
                <w:rFonts w:ascii="Times New Roman" w:hAnsi="Times New Roman" w:eastAsia="宋体" w:cs="Times New Roman"/>
                <w:color w:val="auto"/>
                <w:sz w:val="24"/>
                <w:highlight w:val="none"/>
              </w:rPr>
              <w:t>，总投资150万元，其中环保投资为20万元</w:t>
            </w:r>
            <w:r>
              <w:rPr>
                <w:rFonts w:hint="eastAsia" w:ascii="Times New Roman" w:hAnsi="Times New Roman" w:eastAsia="宋体" w:cs="Times New Roman"/>
                <w:color w:val="auto"/>
                <w:sz w:val="24"/>
                <w:highlight w:val="none"/>
              </w:rPr>
              <w:t>。</w:t>
            </w:r>
            <w:r>
              <w:rPr>
                <w:rFonts w:ascii="Times New Roman" w:hAnsi="Times New Roman" w:eastAsia="宋体" w:cs="Times New Roman"/>
                <w:color w:val="auto"/>
                <w:sz w:val="24"/>
                <w:highlight w:val="none"/>
              </w:rPr>
              <w:t>项目主要生产和销售EPS泡沫包装产品，设计生产能力为年产EPS泡沫包装产品400吨。</w:t>
            </w:r>
          </w:p>
          <w:p>
            <w:pPr>
              <w:spacing w:line="360" w:lineRule="auto"/>
              <w:rPr>
                <w:rFonts w:ascii="Times New Roman" w:hAnsi="Times New Roman" w:eastAsia="宋体" w:cs="Times New Roman"/>
                <w:b/>
                <w:color w:val="auto"/>
                <w:sz w:val="24"/>
                <w:highlight w:val="none"/>
              </w:rPr>
            </w:pPr>
            <w:r>
              <w:rPr>
                <w:rFonts w:ascii="Times New Roman" w:hAnsi="Times New Roman" w:eastAsia="宋体" w:cs="Times New Roman"/>
                <w:color w:val="auto"/>
                <w:sz w:val="24"/>
                <w:highlight w:val="none"/>
              </w:rPr>
              <w:t xml:space="preserve">   根据《中华人民共和国环境保护法》、《中华人民共和国环境影响评价法》</w:t>
            </w:r>
            <w:r>
              <w:rPr>
                <w:rFonts w:hint="eastAsia"/>
                <w:bCs/>
                <w:color w:val="auto"/>
                <w:sz w:val="24"/>
                <w:highlight w:val="none"/>
              </w:rPr>
              <w:t>（2018年12月29日修订）</w:t>
            </w:r>
            <w:r>
              <w:rPr>
                <w:rFonts w:ascii="Times New Roman" w:hAnsi="Times New Roman" w:eastAsia="宋体" w:cs="Times New Roman"/>
                <w:color w:val="auto"/>
                <w:sz w:val="24"/>
                <w:highlight w:val="none"/>
              </w:rPr>
              <w:t>，本项目需执行环境影响评价制度，根据《建设项目环境影响评价分类管理名录》</w:t>
            </w:r>
            <w:r>
              <w:rPr>
                <w:rFonts w:hAnsi="宋体" w:eastAsia="宋体"/>
                <w:color w:val="auto"/>
                <w:sz w:val="24"/>
                <w:highlight w:val="none"/>
              </w:rPr>
              <w:t>（</w:t>
            </w:r>
            <w:r>
              <w:rPr>
                <w:rFonts w:eastAsia="宋体"/>
                <w:color w:val="auto"/>
                <w:sz w:val="24"/>
                <w:highlight w:val="none"/>
              </w:rPr>
              <w:t>2017</w:t>
            </w:r>
            <w:r>
              <w:rPr>
                <w:rFonts w:hAnsi="宋体" w:eastAsia="宋体"/>
                <w:color w:val="auto"/>
                <w:sz w:val="24"/>
                <w:highlight w:val="none"/>
              </w:rPr>
              <w:t>年本）及</w:t>
            </w:r>
            <w:r>
              <w:rPr>
                <w:rFonts w:eastAsia="宋体"/>
                <w:color w:val="auto"/>
                <w:sz w:val="24"/>
                <w:highlight w:val="none"/>
              </w:rPr>
              <w:t>2018</w:t>
            </w:r>
            <w:r>
              <w:rPr>
                <w:rFonts w:hAnsi="宋体" w:eastAsia="宋体"/>
                <w:color w:val="auto"/>
                <w:sz w:val="24"/>
                <w:highlight w:val="none"/>
              </w:rPr>
              <w:t>年修改单（生态环境部令第</w:t>
            </w:r>
            <w:r>
              <w:rPr>
                <w:rFonts w:eastAsia="宋体"/>
                <w:color w:val="auto"/>
                <w:sz w:val="24"/>
                <w:highlight w:val="none"/>
              </w:rPr>
              <w:t>1</w:t>
            </w:r>
            <w:r>
              <w:rPr>
                <w:rFonts w:hAnsi="宋体" w:eastAsia="宋体"/>
                <w:color w:val="auto"/>
                <w:sz w:val="24"/>
                <w:highlight w:val="none"/>
              </w:rPr>
              <w:t>号）</w:t>
            </w:r>
            <w:r>
              <w:rPr>
                <w:rFonts w:ascii="Times New Roman" w:hAnsi="Times New Roman" w:eastAsia="宋体" w:cs="Times New Roman"/>
                <w:color w:val="auto"/>
                <w:sz w:val="24"/>
                <w:highlight w:val="none"/>
              </w:rPr>
              <w:t>，本项目属于“十八、橡胶和塑料制品业——47、塑料制品制造”，中的“其他”类别。本项目所用原料EPS（聚苯乙烯）均不属于有毒原材料，也不属于再生塑料，生产工艺中无电镀或喷漆工序，故本项目应编制环境影响报告表。受开平市鹏裕包装材料有限公司委托，我单位承担了该建设项目的环境影响评价工作。评价单位接受该任务后，即组织有关人员进行现场踏勘、区域环境现状调查和基础资料收集，并对项目的建设内容和排污状况进行了资料调研和深入分析，在此基础上，按照国家相关环保法律、法规、污染防治技术政策的有关规定及环境影响评价技术导则要求，编制了《开平市鹏裕包装材料有限公司建设项目环境影响报告表》。</w:t>
            </w:r>
          </w:p>
          <w:p>
            <w:pPr>
              <w:pStyle w:val="10"/>
              <w:spacing w:line="360" w:lineRule="auto"/>
              <w:rPr>
                <w:rFonts w:ascii="Times New Roman" w:hAnsi="Times New Roman" w:cs="Times New Roman"/>
                <w:b/>
                <w:bCs/>
                <w:color w:val="auto"/>
                <w:sz w:val="24"/>
                <w:highlight w:val="none"/>
              </w:rPr>
            </w:pPr>
            <w:r>
              <w:rPr>
                <w:rFonts w:ascii="Times New Roman" w:hAnsi="Times New Roman" w:cs="Times New Roman"/>
                <w:b/>
                <w:bCs/>
                <w:color w:val="auto"/>
                <w:sz w:val="24"/>
                <w:highlight w:val="none"/>
              </w:rPr>
              <w:t>二、项目建设内容</w:t>
            </w:r>
          </w:p>
          <w:p>
            <w:pPr>
              <w:spacing w:line="360" w:lineRule="auto"/>
              <w:ind w:firstLine="482" w:firstLineChars="200"/>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 xml:space="preserve">1、产品规模 </w:t>
            </w:r>
          </w:p>
          <w:p>
            <w:pPr>
              <w:spacing w:line="276" w:lineRule="auto"/>
              <w:jc w:val="center"/>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表1</w:t>
            </w:r>
            <w:r>
              <w:rPr>
                <w:rFonts w:hint="eastAsia" w:ascii="Times New Roman" w:hAnsi="Times New Roman" w:eastAsia="宋体" w:cs="Times New Roman"/>
                <w:b/>
                <w:color w:val="auto"/>
                <w:sz w:val="24"/>
                <w:highlight w:val="none"/>
              </w:rPr>
              <w:t>-1</w:t>
            </w:r>
            <w:r>
              <w:rPr>
                <w:rFonts w:ascii="Times New Roman" w:hAnsi="Times New Roman" w:eastAsia="宋体" w:cs="Times New Roman"/>
                <w:b/>
                <w:color w:val="auto"/>
                <w:sz w:val="24"/>
                <w:highlight w:val="none"/>
              </w:rPr>
              <w:t>项目产品规模</w:t>
            </w:r>
          </w:p>
          <w:tbl>
            <w:tblPr>
              <w:tblStyle w:val="23"/>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53"/>
              <w:gridCol w:w="2286"/>
              <w:gridCol w:w="1455"/>
              <w:gridCol w:w="1648"/>
              <w:gridCol w:w="14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jc w:val="center"/>
              </w:trPr>
              <w:tc>
                <w:tcPr>
                  <w:tcW w:w="1453" w:type="dxa"/>
                  <w:tcBorders>
                    <w:tl2br w:val="nil"/>
                    <w:tr2bl w:val="nil"/>
                  </w:tcBorders>
                  <w:vAlign w:val="center"/>
                </w:tcPr>
                <w:p>
                  <w:pPr>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序号</w:t>
                  </w:r>
                </w:p>
              </w:tc>
              <w:tc>
                <w:tcPr>
                  <w:tcW w:w="2286" w:type="dxa"/>
                  <w:tcBorders>
                    <w:tl2br w:val="nil"/>
                    <w:tr2bl w:val="nil"/>
                  </w:tcBorders>
                  <w:vAlign w:val="center"/>
                </w:tcPr>
                <w:p>
                  <w:pPr>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产品名称</w:t>
                  </w:r>
                </w:p>
              </w:tc>
              <w:tc>
                <w:tcPr>
                  <w:tcW w:w="1455" w:type="dxa"/>
                  <w:tcBorders>
                    <w:tl2br w:val="nil"/>
                    <w:tr2bl w:val="nil"/>
                  </w:tcBorders>
                  <w:vAlign w:val="center"/>
                </w:tcPr>
                <w:p>
                  <w:pPr>
                    <w:jc w:val="center"/>
                    <w:rPr>
                      <w:rFonts w:ascii="Times New Roman" w:hAnsi="Times New Roman" w:eastAsia="宋体" w:cs="Times New Roman"/>
                      <w:b/>
                      <w:color w:val="auto"/>
                      <w:szCs w:val="21"/>
                      <w:highlight w:val="none"/>
                    </w:rPr>
                  </w:pPr>
                  <w:r>
                    <w:rPr>
                      <w:rFonts w:hint="eastAsia" w:ascii="Times New Roman" w:hAnsi="Times New Roman" w:eastAsia="宋体" w:cs="Times New Roman"/>
                      <w:b/>
                      <w:color w:val="auto"/>
                      <w:szCs w:val="21"/>
                      <w:highlight w:val="none"/>
                    </w:rPr>
                    <w:t>生产能力</w:t>
                  </w:r>
                </w:p>
              </w:tc>
              <w:tc>
                <w:tcPr>
                  <w:tcW w:w="1648" w:type="dxa"/>
                  <w:tcBorders>
                    <w:tl2br w:val="nil"/>
                    <w:tr2bl w:val="nil"/>
                  </w:tcBorders>
                  <w:vAlign w:val="center"/>
                </w:tcPr>
                <w:p>
                  <w:pPr>
                    <w:jc w:val="center"/>
                    <w:rPr>
                      <w:rFonts w:ascii="Times New Roman" w:hAnsi="Times New Roman" w:eastAsia="宋体" w:cs="Times New Roman"/>
                      <w:b/>
                      <w:color w:val="auto"/>
                      <w:szCs w:val="21"/>
                      <w:highlight w:val="none"/>
                    </w:rPr>
                  </w:pPr>
                  <w:r>
                    <w:rPr>
                      <w:rFonts w:hint="eastAsia" w:ascii="Times New Roman" w:hAnsi="Times New Roman" w:eastAsia="宋体" w:cs="Times New Roman"/>
                      <w:b/>
                      <w:color w:val="auto"/>
                      <w:szCs w:val="21"/>
                      <w:highlight w:val="none"/>
                    </w:rPr>
                    <w:t>产品规格</w:t>
                  </w:r>
                </w:p>
              </w:tc>
              <w:tc>
                <w:tcPr>
                  <w:tcW w:w="1434" w:type="dxa"/>
                  <w:tcBorders>
                    <w:tl2br w:val="nil"/>
                    <w:tr2bl w:val="nil"/>
                  </w:tcBorders>
                  <w:vAlign w:val="center"/>
                </w:tcPr>
                <w:p>
                  <w:pPr>
                    <w:jc w:val="center"/>
                    <w:rPr>
                      <w:rFonts w:ascii="Times New Roman" w:hAnsi="Times New Roman" w:eastAsia="宋体" w:cs="Times New Roman"/>
                      <w:b/>
                      <w:color w:val="auto"/>
                      <w:szCs w:val="21"/>
                      <w:highlight w:val="none"/>
                    </w:rPr>
                  </w:pPr>
                  <w:r>
                    <w:rPr>
                      <w:rFonts w:hint="eastAsia" w:ascii="Times New Roman" w:hAnsi="Times New Roman" w:eastAsia="宋体" w:cs="Times New Roman"/>
                      <w:b/>
                      <w:color w:val="auto"/>
                      <w:szCs w:val="21"/>
                      <w:highlight w:val="none"/>
                    </w:rPr>
                    <w:t>最大暂存量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jc w:val="center"/>
              </w:trPr>
              <w:tc>
                <w:tcPr>
                  <w:tcW w:w="1453"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1</w:t>
                  </w:r>
                </w:p>
              </w:tc>
              <w:tc>
                <w:tcPr>
                  <w:tcW w:w="2286"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EPS泡沫包装产品</w:t>
                  </w:r>
                </w:p>
              </w:tc>
              <w:tc>
                <w:tcPr>
                  <w:tcW w:w="1455"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4</w:t>
                  </w:r>
                  <w:r>
                    <w:rPr>
                      <w:rFonts w:hint="eastAsia" w:ascii="Times New Roman" w:hAnsi="Times New Roman" w:eastAsia="宋体" w:cs="Times New Roman"/>
                      <w:bCs/>
                      <w:color w:val="auto"/>
                      <w:szCs w:val="21"/>
                      <w:highlight w:val="none"/>
                    </w:rPr>
                    <w:t>0</w:t>
                  </w:r>
                  <w:r>
                    <w:rPr>
                      <w:rFonts w:ascii="Times New Roman" w:hAnsi="Times New Roman" w:eastAsia="宋体" w:cs="Times New Roman"/>
                      <w:bCs/>
                      <w:color w:val="auto"/>
                      <w:szCs w:val="21"/>
                      <w:highlight w:val="none"/>
                    </w:rPr>
                    <w:t>0吨</w:t>
                  </w:r>
                  <w:r>
                    <w:rPr>
                      <w:rFonts w:hint="eastAsia" w:ascii="Times New Roman" w:hAnsi="Times New Roman" w:eastAsia="宋体" w:cs="Times New Roman"/>
                      <w:bCs/>
                      <w:color w:val="auto"/>
                      <w:szCs w:val="21"/>
                      <w:highlight w:val="none"/>
                    </w:rPr>
                    <w:t>/年</w:t>
                  </w:r>
                </w:p>
              </w:tc>
              <w:tc>
                <w:tcPr>
                  <w:tcW w:w="1648"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hint="eastAsia" w:ascii="Times New Roman" w:hAnsi="Times New Roman" w:eastAsia="宋体" w:cs="Times New Roman"/>
                      <w:bCs/>
                      <w:color w:val="auto"/>
                      <w:szCs w:val="21"/>
                      <w:highlight w:val="none"/>
                    </w:rPr>
                    <w:t>1.2m×0.6m×（0.02~0.06m）</w:t>
                  </w:r>
                </w:p>
              </w:tc>
              <w:tc>
                <w:tcPr>
                  <w:tcW w:w="1434"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hint="eastAsia" w:ascii="Times New Roman" w:hAnsi="Times New Roman" w:eastAsia="宋体" w:cs="Times New Roman"/>
                      <w:bCs/>
                      <w:color w:val="auto"/>
                      <w:szCs w:val="21"/>
                      <w:highlight w:val="none"/>
                    </w:rPr>
                    <w:t>30吨</w:t>
                  </w:r>
                </w:p>
              </w:tc>
            </w:tr>
          </w:tbl>
          <w:p>
            <w:pPr>
              <w:spacing w:line="360" w:lineRule="auto"/>
              <w:ind w:firstLine="482" w:firstLineChars="200"/>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 xml:space="preserve">2、项目主要建设内容 </w:t>
            </w:r>
          </w:p>
          <w:p>
            <w:pPr>
              <w:spacing w:line="276" w:lineRule="auto"/>
              <w:jc w:val="center"/>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表</w:t>
            </w:r>
            <w:r>
              <w:rPr>
                <w:rFonts w:hint="eastAsia" w:ascii="Times New Roman" w:hAnsi="Times New Roman" w:eastAsia="宋体" w:cs="Times New Roman"/>
                <w:b/>
                <w:color w:val="auto"/>
                <w:sz w:val="24"/>
                <w:highlight w:val="none"/>
              </w:rPr>
              <w:t>1-</w:t>
            </w:r>
            <w:r>
              <w:rPr>
                <w:rFonts w:ascii="Times New Roman" w:hAnsi="Times New Roman" w:eastAsia="宋体" w:cs="Times New Roman"/>
                <w:b/>
                <w:color w:val="auto"/>
                <w:sz w:val="24"/>
                <w:highlight w:val="none"/>
              </w:rPr>
              <w:t>2项目主要建设内容</w:t>
            </w:r>
          </w:p>
          <w:tbl>
            <w:tblPr>
              <w:tblStyle w:val="22"/>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142"/>
              <w:gridCol w:w="677"/>
              <w:gridCol w:w="917"/>
              <w:gridCol w:w="48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659" w:type="dxa"/>
                  <w:vAlign w:val="center"/>
                </w:tcPr>
                <w:p>
                  <w:pPr>
                    <w:overflowPunct w:val="0"/>
                    <w:autoSpaceDE w:val="0"/>
                    <w:autoSpaceDN w:val="0"/>
                    <w:adjustRightInd w:val="0"/>
                    <w:snapToGrid w:val="0"/>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类别</w:t>
                  </w:r>
                </w:p>
              </w:tc>
              <w:tc>
                <w:tcPr>
                  <w:tcW w:w="1142" w:type="dxa"/>
                  <w:vAlign w:val="center"/>
                </w:tcPr>
                <w:p>
                  <w:pPr>
                    <w:overflowPunct w:val="0"/>
                    <w:autoSpaceDE w:val="0"/>
                    <w:autoSpaceDN w:val="0"/>
                    <w:adjustRightInd w:val="0"/>
                    <w:snapToGrid w:val="0"/>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工程名称</w:t>
                  </w:r>
                </w:p>
              </w:tc>
              <w:tc>
                <w:tcPr>
                  <w:tcW w:w="1594" w:type="dxa"/>
                  <w:gridSpan w:val="2"/>
                  <w:vAlign w:val="center"/>
                </w:tcPr>
                <w:p>
                  <w:pPr>
                    <w:overflowPunct w:val="0"/>
                    <w:autoSpaceDE w:val="0"/>
                    <w:autoSpaceDN w:val="0"/>
                    <w:adjustRightInd w:val="0"/>
                    <w:snapToGrid w:val="0"/>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工程内容</w:t>
                  </w:r>
                </w:p>
              </w:tc>
              <w:tc>
                <w:tcPr>
                  <w:tcW w:w="4881" w:type="dxa"/>
                  <w:vAlign w:val="center"/>
                </w:tcPr>
                <w:p>
                  <w:pPr>
                    <w:overflowPunct w:val="0"/>
                    <w:autoSpaceDE w:val="0"/>
                    <w:autoSpaceDN w:val="0"/>
                    <w:adjustRightInd w:val="0"/>
                    <w:snapToGrid w:val="0"/>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规模及用途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78" w:hRule="atLeast"/>
                <w:jc w:val="center"/>
              </w:trPr>
              <w:tc>
                <w:tcPr>
                  <w:tcW w:w="659" w:type="dxa"/>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w:t>
                  </w:r>
                </w:p>
              </w:tc>
              <w:tc>
                <w:tcPr>
                  <w:tcW w:w="1142" w:type="dxa"/>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主体工程</w:t>
                  </w:r>
                </w:p>
              </w:tc>
              <w:tc>
                <w:tcPr>
                  <w:tcW w:w="1594" w:type="dxa"/>
                  <w:gridSpan w:val="2"/>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厂房一</w:t>
                  </w:r>
                </w:p>
              </w:tc>
              <w:tc>
                <w:tcPr>
                  <w:tcW w:w="4881" w:type="dxa"/>
                  <w:vAlign w:val="center"/>
                </w:tcPr>
                <w:p>
                  <w:pPr>
                    <w:overflowPunct w:val="0"/>
                    <w:autoSpaceDE w:val="0"/>
                    <w:autoSpaceDN w:val="0"/>
                    <w:adjustRightInd w:val="0"/>
                    <w:snapToGrid w:val="0"/>
                    <w:jc w:val="center"/>
                    <w:rPr>
                      <w:rFonts w:ascii="Times New Roman" w:hAnsi="Times New Roman" w:eastAsia="宋体" w:cs="Times New Roman"/>
                      <w:color w:val="auto"/>
                      <w:szCs w:val="21"/>
                      <w:highlight w:val="none"/>
                    </w:rPr>
                  </w:pPr>
                  <w:r>
                    <w:rPr>
                      <w:rFonts w:ascii="Times New Roman" w:hAnsi="Times New Roman" w:cs="Times New Roman"/>
                      <w:color w:val="auto"/>
                      <w:szCs w:val="21"/>
                      <w:highlight w:val="none"/>
                    </w:rPr>
                    <w:t>建筑面积12</w:t>
                  </w:r>
                  <w:r>
                    <w:rPr>
                      <w:rFonts w:hint="eastAsia" w:ascii="Times New Roman" w:hAnsi="Times New Roman" w:cs="Times New Roman"/>
                      <w:color w:val="auto"/>
                      <w:szCs w:val="21"/>
                      <w:highlight w:val="none"/>
                    </w:rPr>
                    <w:t>9</w:t>
                  </w:r>
                  <w:r>
                    <w:rPr>
                      <w:rFonts w:ascii="Times New Roman" w:hAnsi="Times New Roman" w:cs="Times New Roman"/>
                      <w:color w:val="auto"/>
                      <w:szCs w:val="21"/>
                      <w:highlight w:val="none"/>
                    </w:rPr>
                    <w:t>8m</w:t>
                  </w:r>
                  <w:r>
                    <w:rPr>
                      <w:rFonts w:ascii="Times New Roman" w:hAnsi="Times New Roman" w:cs="Times New Roman"/>
                      <w:color w:val="auto"/>
                      <w:szCs w:val="21"/>
                      <w:highlight w:val="none"/>
                      <w:vertAlign w:val="superscript"/>
                    </w:rPr>
                    <w:t>2</w:t>
                  </w:r>
                  <w:r>
                    <w:rPr>
                      <w:rFonts w:ascii="Times New Roman" w:hAnsi="Times New Roman" w:cs="Times New Roman"/>
                      <w:color w:val="auto"/>
                      <w:szCs w:val="21"/>
                      <w:highlight w:val="none"/>
                    </w:rPr>
                    <w:t>，</w:t>
                  </w:r>
                  <w:r>
                    <w:rPr>
                      <w:rFonts w:hint="eastAsia" w:ascii="Times New Roman" w:hAnsi="Times New Roman" w:cs="Times New Roman"/>
                      <w:color w:val="auto"/>
                      <w:szCs w:val="21"/>
                      <w:highlight w:val="none"/>
                    </w:rPr>
                    <w:t>1层，</w:t>
                  </w:r>
                  <w:r>
                    <w:rPr>
                      <w:rFonts w:hint="eastAsia" w:ascii="Times New Roman" w:hAnsi="Times New Roman" w:cs="Times New Roman"/>
                      <w:color w:val="auto"/>
                      <w:szCs w:val="21"/>
                      <w:highlight w:val="none"/>
                      <w:lang w:val="en-US" w:eastAsia="zh-CN"/>
                    </w:rPr>
                    <w:t>厂房高度约8m，</w:t>
                  </w:r>
                  <w:r>
                    <w:rPr>
                      <w:rFonts w:ascii="Times New Roman" w:hAnsi="Times New Roman" w:cs="Times New Roman"/>
                      <w:color w:val="auto"/>
                      <w:szCs w:val="21"/>
                      <w:highlight w:val="none"/>
                    </w:rPr>
                    <w:t>主要作为泡沫包装产品成型区、发泡区的生产车间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jc w:val="center"/>
              </w:trPr>
              <w:tc>
                <w:tcPr>
                  <w:tcW w:w="659" w:type="dxa"/>
                  <w:vMerge w:val="restart"/>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2</w:t>
                  </w:r>
                </w:p>
              </w:tc>
              <w:tc>
                <w:tcPr>
                  <w:tcW w:w="1142" w:type="dxa"/>
                  <w:vMerge w:val="restart"/>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辅助工程</w:t>
                  </w:r>
                </w:p>
              </w:tc>
              <w:tc>
                <w:tcPr>
                  <w:tcW w:w="1594" w:type="dxa"/>
                  <w:gridSpan w:val="2"/>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仓库</w:t>
                  </w:r>
                </w:p>
              </w:tc>
              <w:tc>
                <w:tcPr>
                  <w:tcW w:w="4881" w:type="dxa"/>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建筑面积约1000m</w:t>
                  </w:r>
                  <w:r>
                    <w:rPr>
                      <w:rFonts w:ascii="Times New Roman" w:hAnsi="Times New Roman" w:cs="Times New Roman"/>
                      <w:color w:val="auto"/>
                      <w:szCs w:val="21"/>
                      <w:highlight w:val="none"/>
                      <w:vertAlign w:val="superscript"/>
                    </w:rPr>
                    <w:t>2</w:t>
                  </w:r>
                  <w:r>
                    <w:rPr>
                      <w:rFonts w:ascii="Times New Roman" w:hAnsi="Times New Roman" w:cs="Times New Roman"/>
                      <w:color w:val="auto"/>
                      <w:szCs w:val="21"/>
                      <w:highlight w:val="none"/>
                    </w:rPr>
                    <w:t>，</w:t>
                  </w:r>
                  <w:r>
                    <w:rPr>
                      <w:rFonts w:hint="eastAsia" w:ascii="Times New Roman" w:hAnsi="Times New Roman" w:cs="Times New Roman"/>
                      <w:color w:val="auto"/>
                      <w:szCs w:val="21"/>
                      <w:highlight w:val="none"/>
                    </w:rPr>
                    <w:t>1层，</w:t>
                  </w:r>
                  <w:r>
                    <w:rPr>
                      <w:rFonts w:ascii="Times New Roman" w:hAnsi="Times New Roman" w:cs="Times New Roman"/>
                      <w:color w:val="auto"/>
                      <w:szCs w:val="21"/>
                      <w:highlight w:val="none"/>
                    </w:rPr>
                    <w:t>用于储存EPS原料和泡沫包装产品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jc w:val="center"/>
              </w:trPr>
              <w:tc>
                <w:tcPr>
                  <w:tcW w:w="659" w:type="dxa"/>
                  <w:vMerge w:val="continue"/>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p>
              </w:tc>
              <w:tc>
                <w:tcPr>
                  <w:tcW w:w="1142" w:type="dxa"/>
                  <w:vMerge w:val="continue"/>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p>
              </w:tc>
              <w:tc>
                <w:tcPr>
                  <w:tcW w:w="1594" w:type="dxa"/>
                  <w:gridSpan w:val="2"/>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宿舍楼</w:t>
                  </w:r>
                </w:p>
              </w:tc>
              <w:tc>
                <w:tcPr>
                  <w:tcW w:w="4881" w:type="dxa"/>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建筑面积约200m</w:t>
                  </w:r>
                  <w:r>
                    <w:rPr>
                      <w:rFonts w:ascii="Times New Roman" w:hAnsi="Times New Roman" w:cs="Times New Roman"/>
                      <w:color w:val="auto"/>
                      <w:szCs w:val="21"/>
                      <w:highlight w:val="none"/>
                      <w:vertAlign w:val="superscript"/>
                    </w:rPr>
                    <w:t>2</w:t>
                  </w:r>
                  <w:r>
                    <w:rPr>
                      <w:rFonts w:ascii="Times New Roman" w:hAnsi="Times New Roman" w:cs="Times New Roman"/>
                      <w:color w:val="auto"/>
                      <w:szCs w:val="21"/>
                      <w:highlight w:val="none"/>
                    </w:rPr>
                    <w:t>，</w:t>
                  </w:r>
                  <w:r>
                    <w:rPr>
                      <w:rFonts w:hint="eastAsia" w:ascii="Times New Roman" w:hAnsi="Times New Roman" w:cs="Times New Roman"/>
                      <w:color w:val="auto"/>
                      <w:szCs w:val="21"/>
                      <w:highlight w:val="none"/>
                    </w:rPr>
                    <w:t>1层，</w:t>
                  </w:r>
                  <w:r>
                    <w:rPr>
                      <w:rFonts w:ascii="Times New Roman" w:hAnsi="Times New Roman" w:cs="Times New Roman"/>
                      <w:color w:val="auto"/>
                      <w:szCs w:val="21"/>
                      <w:highlight w:val="none"/>
                    </w:rPr>
                    <w:t>用于员工信息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jc w:val="center"/>
              </w:trPr>
              <w:tc>
                <w:tcPr>
                  <w:tcW w:w="659" w:type="dxa"/>
                  <w:vMerge w:val="continue"/>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p>
              </w:tc>
              <w:tc>
                <w:tcPr>
                  <w:tcW w:w="1142" w:type="dxa"/>
                  <w:vMerge w:val="continue"/>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p>
              </w:tc>
              <w:tc>
                <w:tcPr>
                  <w:tcW w:w="1594" w:type="dxa"/>
                  <w:gridSpan w:val="2"/>
                  <w:vAlign w:val="center"/>
                </w:tcPr>
                <w:p>
                  <w:pPr>
                    <w:overflowPunct w:val="0"/>
                    <w:autoSpaceDE w:val="0"/>
                    <w:autoSpaceDN w:val="0"/>
                    <w:adjustRightInd w:val="0"/>
                    <w:snapToGrid w:val="0"/>
                    <w:jc w:val="center"/>
                    <w:rPr>
                      <w:rFonts w:ascii="Times New Roman" w:hAnsi="Times New Roman" w:eastAsia="宋体" w:cs="Times New Roman"/>
                      <w:color w:val="auto"/>
                      <w:szCs w:val="21"/>
                      <w:highlight w:val="none"/>
                    </w:rPr>
                  </w:pPr>
                  <w:r>
                    <w:rPr>
                      <w:rFonts w:ascii="Times New Roman" w:hAnsi="Times New Roman" w:cs="Times New Roman"/>
                      <w:color w:val="auto"/>
                      <w:szCs w:val="21"/>
                      <w:highlight w:val="none"/>
                    </w:rPr>
                    <w:t>危废房</w:t>
                  </w:r>
                </w:p>
              </w:tc>
              <w:tc>
                <w:tcPr>
                  <w:tcW w:w="4881" w:type="dxa"/>
                  <w:vAlign w:val="center"/>
                </w:tcPr>
                <w:p>
                  <w:pPr>
                    <w:overflowPunct w:val="0"/>
                    <w:autoSpaceDE w:val="0"/>
                    <w:autoSpaceDN w:val="0"/>
                    <w:adjustRightInd w:val="0"/>
                    <w:snapToGrid w:val="0"/>
                    <w:jc w:val="center"/>
                    <w:rPr>
                      <w:rFonts w:ascii="Times New Roman" w:hAnsi="Times New Roman" w:eastAsia="宋体" w:cs="Times New Roman"/>
                      <w:color w:val="auto"/>
                      <w:szCs w:val="21"/>
                      <w:highlight w:val="none"/>
                    </w:rPr>
                  </w:pPr>
                  <w:r>
                    <w:rPr>
                      <w:rFonts w:ascii="Times New Roman" w:hAnsi="Times New Roman" w:cs="Times New Roman"/>
                      <w:color w:val="auto"/>
                      <w:szCs w:val="21"/>
                      <w:highlight w:val="none"/>
                    </w:rPr>
                    <w:t>建筑面积约2m</w:t>
                  </w:r>
                  <w:r>
                    <w:rPr>
                      <w:rFonts w:ascii="Times New Roman" w:hAnsi="Times New Roman" w:cs="Times New Roman"/>
                      <w:color w:val="auto"/>
                      <w:szCs w:val="21"/>
                      <w:highlight w:val="none"/>
                      <w:vertAlign w:val="superscript"/>
                    </w:rPr>
                    <w:t>2</w:t>
                  </w:r>
                  <w:r>
                    <w:rPr>
                      <w:rFonts w:ascii="Times New Roman" w:hAnsi="Times New Roman" w:cs="Times New Roman"/>
                      <w:color w:val="auto"/>
                      <w:szCs w:val="21"/>
                      <w:highlight w:val="none"/>
                    </w:rPr>
                    <w:t>，</w:t>
                  </w:r>
                  <w:r>
                    <w:rPr>
                      <w:rFonts w:hint="eastAsia" w:ascii="Times New Roman" w:hAnsi="Times New Roman" w:cs="Times New Roman"/>
                      <w:color w:val="auto"/>
                      <w:szCs w:val="21"/>
                      <w:highlight w:val="none"/>
                    </w:rPr>
                    <w:t>1层，</w:t>
                  </w:r>
                  <w:r>
                    <w:rPr>
                      <w:rFonts w:ascii="Times New Roman" w:hAnsi="Times New Roman" w:cs="Times New Roman"/>
                      <w:color w:val="auto"/>
                      <w:szCs w:val="21"/>
                      <w:highlight w:val="none"/>
                    </w:rPr>
                    <w:t>用于暂存危险废物，拟建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jc w:val="center"/>
              </w:trPr>
              <w:tc>
                <w:tcPr>
                  <w:tcW w:w="659" w:type="dxa"/>
                  <w:vMerge w:val="restart"/>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3</w:t>
                  </w:r>
                </w:p>
              </w:tc>
              <w:tc>
                <w:tcPr>
                  <w:tcW w:w="1142" w:type="dxa"/>
                  <w:vMerge w:val="restart"/>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公用工程</w:t>
                  </w:r>
                </w:p>
              </w:tc>
              <w:tc>
                <w:tcPr>
                  <w:tcW w:w="1594" w:type="dxa"/>
                  <w:gridSpan w:val="2"/>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供水</w:t>
                  </w:r>
                </w:p>
              </w:tc>
              <w:tc>
                <w:tcPr>
                  <w:tcW w:w="4881" w:type="dxa"/>
                  <w:vAlign w:val="center"/>
                </w:tcPr>
                <w:p>
                  <w:pPr>
                    <w:overflowPunct w:val="0"/>
                    <w:autoSpaceDE w:val="0"/>
                    <w:autoSpaceDN w:val="0"/>
                    <w:adjustRightInd w:val="0"/>
                    <w:snapToGrid w:val="0"/>
                    <w:jc w:val="center"/>
                    <w:rPr>
                      <w:rFonts w:ascii="Times New Roman" w:hAnsi="Times New Roman" w:eastAsia="宋体" w:cs="Times New Roman"/>
                      <w:color w:val="auto"/>
                      <w:szCs w:val="21"/>
                      <w:highlight w:val="none"/>
                    </w:rPr>
                  </w:pPr>
                  <w:r>
                    <w:rPr>
                      <w:rFonts w:ascii="Times New Roman" w:hAnsi="Times New Roman" w:cs="Times New Roman"/>
                      <w:color w:val="auto"/>
                      <w:szCs w:val="21"/>
                      <w:highlight w:val="none"/>
                    </w:rPr>
                    <w:t>市政自来水供给，项目总用水量549.6t/a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78" w:hRule="atLeast"/>
                <w:jc w:val="center"/>
              </w:trPr>
              <w:tc>
                <w:tcPr>
                  <w:tcW w:w="659" w:type="dxa"/>
                  <w:vMerge w:val="continue"/>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p>
              </w:tc>
              <w:tc>
                <w:tcPr>
                  <w:tcW w:w="1142" w:type="dxa"/>
                  <w:vMerge w:val="continue"/>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p>
              </w:tc>
              <w:tc>
                <w:tcPr>
                  <w:tcW w:w="1594" w:type="dxa"/>
                  <w:gridSpan w:val="2"/>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排水</w:t>
                  </w:r>
                </w:p>
              </w:tc>
              <w:tc>
                <w:tcPr>
                  <w:tcW w:w="4881" w:type="dxa"/>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项目生活污水依托开平裕进纺织厂有限公司的厂区污水站处理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jc w:val="center"/>
              </w:trPr>
              <w:tc>
                <w:tcPr>
                  <w:tcW w:w="659" w:type="dxa"/>
                  <w:vMerge w:val="continue"/>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p>
              </w:tc>
              <w:tc>
                <w:tcPr>
                  <w:tcW w:w="1142" w:type="dxa"/>
                  <w:vMerge w:val="continue"/>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p>
              </w:tc>
              <w:tc>
                <w:tcPr>
                  <w:tcW w:w="1594" w:type="dxa"/>
                  <w:gridSpan w:val="2"/>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供电</w:t>
                  </w:r>
                </w:p>
              </w:tc>
              <w:tc>
                <w:tcPr>
                  <w:tcW w:w="4881" w:type="dxa"/>
                  <w:vAlign w:val="center"/>
                </w:tcPr>
                <w:p>
                  <w:pPr>
                    <w:overflowPunct w:val="0"/>
                    <w:autoSpaceDE w:val="0"/>
                    <w:autoSpaceDN w:val="0"/>
                    <w:adjustRightInd w:val="0"/>
                    <w:snapToGrid w:val="0"/>
                    <w:jc w:val="center"/>
                    <w:rPr>
                      <w:rFonts w:ascii="Times New Roman" w:hAnsi="Times New Roman" w:eastAsia="宋体" w:cs="Times New Roman"/>
                      <w:color w:val="auto"/>
                      <w:szCs w:val="21"/>
                      <w:highlight w:val="none"/>
                    </w:rPr>
                  </w:pPr>
                  <w:r>
                    <w:rPr>
                      <w:rFonts w:ascii="Times New Roman" w:hAnsi="Times New Roman" w:cs="Times New Roman"/>
                      <w:color w:val="auto"/>
                      <w:szCs w:val="21"/>
                      <w:highlight w:val="none"/>
                    </w:rPr>
                    <w:t>当地电网接入，项目用电量约2万度/年。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47" w:hRule="atLeast"/>
                <w:jc w:val="center"/>
              </w:trPr>
              <w:tc>
                <w:tcPr>
                  <w:tcW w:w="659" w:type="dxa"/>
                  <w:vMerge w:val="restart"/>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4</w:t>
                  </w:r>
                </w:p>
              </w:tc>
              <w:tc>
                <w:tcPr>
                  <w:tcW w:w="1142" w:type="dxa"/>
                  <w:vMerge w:val="restart"/>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环保工程</w:t>
                  </w:r>
                </w:p>
              </w:tc>
              <w:tc>
                <w:tcPr>
                  <w:tcW w:w="1594" w:type="dxa"/>
                  <w:gridSpan w:val="2"/>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污水治理</w:t>
                  </w:r>
                </w:p>
              </w:tc>
              <w:tc>
                <w:tcPr>
                  <w:tcW w:w="4881" w:type="dxa"/>
                  <w:vAlign w:val="center"/>
                </w:tcPr>
                <w:p>
                  <w:pPr>
                    <w:overflowPunct w:val="0"/>
                    <w:autoSpaceDE w:val="0"/>
                    <w:autoSpaceDN w:val="0"/>
                    <w:adjustRightInd w:val="0"/>
                    <w:snapToGrid w:val="0"/>
                    <w:jc w:val="center"/>
                    <w:rPr>
                      <w:rFonts w:ascii="Times New Roman" w:hAnsi="Times New Roman" w:eastAsia="宋体" w:cs="Times New Roman"/>
                      <w:color w:val="auto"/>
                      <w:szCs w:val="21"/>
                      <w:highlight w:val="none"/>
                    </w:rPr>
                  </w:pPr>
                  <w:r>
                    <w:rPr>
                      <w:rFonts w:ascii="Times New Roman" w:hAnsi="Times New Roman" w:cs="Times New Roman"/>
                      <w:color w:val="auto"/>
                      <w:szCs w:val="21"/>
                      <w:highlight w:val="none"/>
                    </w:rPr>
                    <w:t>生活用水量为549.6t/a，生活污水依托开平裕进纺织厂有限公司的厂区污水站处理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78" w:hRule="atLeast"/>
                <w:jc w:val="center"/>
              </w:trPr>
              <w:tc>
                <w:tcPr>
                  <w:tcW w:w="659" w:type="dxa"/>
                  <w:vMerge w:val="continue"/>
                </w:tcPr>
                <w:p>
                  <w:pPr>
                    <w:overflowPunct w:val="0"/>
                    <w:autoSpaceDE w:val="0"/>
                    <w:autoSpaceDN w:val="0"/>
                    <w:adjustRightInd w:val="0"/>
                    <w:snapToGrid w:val="0"/>
                    <w:jc w:val="center"/>
                    <w:rPr>
                      <w:rFonts w:ascii="Times New Roman" w:hAnsi="Times New Roman" w:cs="Times New Roman"/>
                      <w:color w:val="auto"/>
                      <w:szCs w:val="21"/>
                      <w:highlight w:val="none"/>
                    </w:rPr>
                  </w:pPr>
                </w:p>
              </w:tc>
              <w:tc>
                <w:tcPr>
                  <w:tcW w:w="1142" w:type="dxa"/>
                  <w:vMerge w:val="continue"/>
                </w:tcPr>
                <w:p>
                  <w:pPr>
                    <w:overflowPunct w:val="0"/>
                    <w:autoSpaceDE w:val="0"/>
                    <w:autoSpaceDN w:val="0"/>
                    <w:adjustRightInd w:val="0"/>
                    <w:snapToGrid w:val="0"/>
                    <w:jc w:val="center"/>
                    <w:rPr>
                      <w:rFonts w:ascii="Times New Roman" w:hAnsi="Times New Roman" w:cs="Times New Roman"/>
                      <w:color w:val="auto"/>
                      <w:szCs w:val="21"/>
                      <w:highlight w:val="none"/>
                    </w:rPr>
                  </w:pPr>
                </w:p>
              </w:tc>
              <w:tc>
                <w:tcPr>
                  <w:tcW w:w="1594" w:type="dxa"/>
                  <w:gridSpan w:val="2"/>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废气治理</w:t>
                  </w:r>
                </w:p>
              </w:tc>
              <w:tc>
                <w:tcPr>
                  <w:tcW w:w="4881" w:type="dxa"/>
                  <w:vAlign w:val="center"/>
                </w:tcPr>
                <w:p>
                  <w:pPr>
                    <w:overflowPunct w:val="0"/>
                    <w:autoSpaceDE w:val="0"/>
                    <w:autoSpaceDN w:val="0"/>
                    <w:adjustRightInd w:val="0"/>
                    <w:snapToGrid w:val="0"/>
                    <w:jc w:val="center"/>
                    <w:rPr>
                      <w:rFonts w:ascii="Times New Roman" w:hAnsi="Times New Roman" w:eastAsia="宋体" w:cs="Times New Roman"/>
                      <w:color w:val="auto"/>
                      <w:szCs w:val="21"/>
                      <w:highlight w:val="none"/>
                    </w:rPr>
                  </w:pPr>
                  <w:r>
                    <w:rPr>
                      <w:rFonts w:ascii="Times New Roman" w:hAnsi="Times New Roman" w:cs="Times New Roman"/>
                      <w:color w:val="auto"/>
                      <w:szCs w:val="21"/>
                      <w:highlight w:val="none"/>
                    </w:rPr>
                    <w:t>废气经收集后引入</w:t>
                  </w:r>
                  <w:r>
                    <w:rPr>
                      <w:rFonts w:hint="eastAsia" w:ascii="Times New Roman" w:hAnsi="Times New Roman" w:cs="Times New Roman"/>
                      <w:color w:val="auto"/>
                      <w:szCs w:val="21"/>
                      <w:highlight w:val="none"/>
                    </w:rPr>
                    <w:t>“水雾分离器+UV光解+活性炭吸附”</w:t>
                  </w:r>
                  <w:r>
                    <w:rPr>
                      <w:rFonts w:ascii="Times New Roman" w:hAnsi="Times New Roman" w:cs="Times New Roman"/>
                      <w:color w:val="auto"/>
                      <w:szCs w:val="21"/>
                      <w:highlight w:val="none"/>
                    </w:rPr>
                    <w:t>一体化处理设备，处理后通过15m高排气筒引至高空排放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jc w:val="center"/>
              </w:trPr>
              <w:tc>
                <w:tcPr>
                  <w:tcW w:w="659" w:type="dxa"/>
                  <w:vMerge w:val="continue"/>
                </w:tcPr>
                <w:p>
                  <w:pPr>
                    <w:overflowPunct w:val="0"/>
                    <w:autoSpaceDE w:val="0"/>
                    <w:autoSpaceDN w:val="0"/>
                    <w:adjustRightInd w:val="0"/>
                    <w:snapToGrid w:val="0"/>
                    <w:jc w:val="center"/>
                    <w:rPr>
                      <w:rFonts w:ascii="Times New Roman" w:hAnsi="Times New Roman" w:cs="Times New Roman"/>
                      <w:color w:val="auto"/>
                      <w:szCs w:val="21"/>
                      <w:highlight w:val="none"/>
                    </w:rPr>
                  </w:pPr>
                </w:p>
              </w:tc>
              <w:tc>
                <w:tcPr>
                  <w:tcW w:w="1142" w:type="dxa"/>
                  <w:vMerge w:val="continue"/>
                </w:tcPr>
                <w:p>
                  <w:pPr>
                    <w:overflowPunct w:val="0"/>
                    <w:autoSpaceDE w:val="0"/>
                    <w:autoSpaceDN w:val="0"/>
                    <w:adjustRightInd w:val="0"/>
                    <w:snapToGrid w:val="0"/>
                    <w:jc w:val="center"/>
                    <w:rPr>
                      <w:rFonts w:ascii="Times New Roman" w:hAnsi="Times New Roman" w:cs="Times New Roman"/>
                      <w:color w:val="auto"/>
                      <w:szCs w:val="21"/>
                      <w:highlight w:val="none"/>
                    </w:rPr>
                  </w:pPr>
                </w:p>
              </w:tc>
              <w:tc>
                <w:tcPr>
                  <w:tcW w:w="1594" w:type="dxa"/>
                  <w:gridSpan w:val="2"/>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噪声治理</w:t>
                  </w:r>
                </w:p>
              </w:tc>
              <w:tc>
                <w:tcPr>
                  <w:tcW w:w="4881" w:type="dxa"/>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隔声、降噪、减振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61" w:hRule="atLeast"/>
                <w:jc w:val="center"/>
              </w:trPr>
              <w:tc>
                <w:tcPr>
                  <w:tcW w:w="659" w:type="dxa"/>
                  <w:vMerge w:val="continue"/>
                </w:tcPr>
                <w:p>
                  <w:pPr>
                    <w:overflowPunct w:val="0"/>
                    <w:autoSpaceDE w:val="0"/>
                    <w:autoSpaceDN w:val="0"/>
                    <w:adjustRightInd w:val="0"/>
                    <w:snapToGrid w:val="0"/>
                    <w:jc w:val="center"/>
                    <w:rPr>
                      <w:rFonts w:ascii="Times New Roman" w:hAnsi="Times New Roman" w:cs="Times New Roman"/>
                      <w:color w:val="auto"/>
                      <w:szCs w:val="21"/>
                      <w:highlight w:val="none"/>
                    </w:rPr>
                  </w:pPr>
                </w:p>
              </w:tc>
              <w:tc>
                <w:tcPr>
                  <w:tcW w:w="1142" w:type="dxa"/>
                  <w:vMerge w:val="continue"/>
                </w:tcPr>
                <w:p>
                  <w:pPr>
                    <w:overflowPunct w:val="0"/>
                    <w:autoSpaceDE w:val="0"/>
                    <w:autoSpaceDN w:val="0"/>
                    <w:adjustRightInd w:val="0"/>
                    <w:snapToGrid w:val="0"/>
                    <w:jc w:val="center"/>
                    <w:rPr>
                      <w:rFonts w:ascii="Times New Roman" w:hAnsi="Times New Roman" w:cs="Times New Roman"/>
                      <w:color w:val="auto"/>
                      <w:szCs w:val="21"/>
                      <w:highlight w:val="none"/>
                    </w:rPr>
                  </w:pPr>
                </w:p>
              </w:tc>
              <w:tc>
                <w:tcPr>
                  <w:tcW w:w="677" w:type="dxa"/>
                  <w:vMerge w:val="restart"/>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固废治理</w:t>
                  </w:r>
                </w:p>
              </w:tc>
              <w:tc>
                <w:tcPr>
                  <w:tcW w:w="917" w:type="dxa"/>
                  <w:vAlign w:val="center"/>
                </w:tcPr>
                <w:p>
                  <w:pPr>
                    <w:overflowPunct w:val="0"/>
                    <w:autoSpaceDE w:val="0"/>
                    <w:autoSpaceDN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生活</w:t>
                  </w:r>
                </w:p>
                <w:p>
                  <w:pPr>
                    <w:overflowPunct w:val="0"/>
                    <w:autoSpaceDE w:val="0"/>
                    <w:autoSpaceDN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垃圾</w:t>
                  </w:r>
                </w:p>
              </w:tc>
              <w:tc>
                <w:tcPr>
                  <w:tcW w:w="4881" w:type="dxa"/>
                  <w:vAlign w:val="center"/>
                </w:tcPr>
                <w:p>
                  <w:pPr>
                    <w:overflowPunct w:val="0"/>
                    <w:autoSpaceDE w:val="0"/>
                    <w:autoSpaceDN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交环卫部门清运处理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87" w:hRule="atLeast"/>
                <w:jc w:val="center"/>
              </w:trPr>
              <w:tc>
                <w:tcPr>
                  <w:tcW w:w="659" w:type="dxa"/>
                  <w:vMerge w:val="continue"/>
                </w:tcPr>
                <w:p>
                  <w:pPr>
                    <w:overflowPunct w:val="0"/>
                    <w:autoSpaceDE w:val="0"/>
                    <w:autoSpaceDN w:val="0"/>
                    <w:adjustRightInd w:val="0"/>
                    <w:snapToGrid w:val="0"/>
                    <w:jc w:val="center"/>
                    <w:rPr>
                      <w:rFonts w:ascii="Times New Roman" w:hAnsi="Times New Roman" w:cs="Times New Roman"/>
                      <w:color w:val="auto"/>
                      <w:szCs w:val="21"/>
                      <w:highlight w:val="none"/>
                    </w:rPr>
                  </w:pPr>
                </w:p>
              </w:tc>
              <w:tc>
                <w:tcPr>
                  <w:tcW w:w="1142" w:type="dxa"/>
                  <w:vMerge w:val="continue"/>
                </w:tcPr>
                <w:p>
                  <w:pPr>
                    <w:overflowPunct w:val="0"/>
                    <w:autoSpaceDE w:val="0"/>
                    <w:autoSpaceDN w:val="0"/>
                    <w:adjustRightInd w:val="0"/>
                    <w:snapToGrid w:val="0"/>
                    <w:jc w:val="center"/>
                    <w:rPr>
                      <w:rFonts w:ascii="Times New Roman" w:hAnsi="Times New Roman" w:cs="Times New Roman"/>
                      <w:color w:val="auto"/>
                      <w:szCs w:val="21"/>
                      <w:highlight w:val="none"/>
                    </w:rPr>
                  </w:pPr>
                </w:p>
              </w:tc>
              <w:tc>
                <w:tcPr>
                  <w:tcW w:w="677" w:type="dxa"/>
                  <w:vMerge w:val="continue"/>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p>
              </w:tc>
              <w:tc>
                <w:tcPr>
                  <w:tcW w:w="917" w:type="dxa"/>
                  <w:vAlign w:val="center"/>
                </w:tcPr>
                <w:p>
                  <w:pPr>
                    <w:overflowPunct w:val="0"/>
                    <w:autoSpaceDE w:val="0"/>
                    <w:autoSpaceDN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一般工业固体废物</w:t>
                  </w:r>
                </w:p>
              </w:tc>
              <w:tc>
                <w:tcPr>
                  <w:tcW w:w="4881" w:type="dxa"/>
                  <w:vAlign w:val="center"/>
                </w:tcPr>
                <w:p>
                  <w:pPr>
                    <w:overflowPunct w:val="0"/>
                    <w:autoSpaceDE w:val="0"/>
                    <w:autoSpaceDN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交物资回收公司处理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14" w:hRule="atLeast"/>
                <w:jc w:val="center"/>
              </w:trPr>
              <w:tc>
                <w:tcPr>
                  <w:tcW w:w="659" w:type="dxa"/>
                  <w:vMerge w:val="continue"/>
                </w:tcPr>
                <w:p>
                  <w:pPr>
                    <w:overflowPunct w:val="0"/>
                    <w:autoSpaceDE w:val="0"/>
                    <w:autoSpaceDN w:val="0"/>
                    <w:adjustRightInd w:val="0"/>
                    <w:snapToGrid w:val="0"/>
                    <w:jc w:val="center"/>
                    <w:rPr>
                      <w:rFonts w:ascii="Times New Roman" w:hAnsi="Times New Roman" w:cs="Times New Roman"/>
                      <w:color w:val="auto"/>
                      <w:szCs w:val="21"/>
                      <w:highlight w:val="none"/>
                    </w:rPr>
                  </w:pPr>
                </w:p>
              </w:tc>
              <w:tc>
                <w:tcPr>
                  <w:tcW w:w="1142" w:type="dxa"/>
                  <w:vMerge w:val="continue"/>
                </w:tcPr>
                <w:p>
                  <w:pPr>
                    <w:overflowPunct w:val="0"/>
                    <w:autoSpaceDE w:val="0"/>
                    <w:autoSpaceDN w:val="0"/>
                    <w:adjustRightInd w:val="0"/>
                    <w:snapToGrid w:val="0"/>
                    <w:jc w:val="center"/>
                    <w:rPr>
                      <w:rFonts w:ascii="Times New Roman" w:hAnsi="Times New Roman" w:cs="Times New Roman"/>
                      <w:color w:val="auto"/>
                      <w:szCs w:val="21"/>
                      <w:highlight w:val="none"/>
                    </w:rPr>
                  </w:pPr>
                </w:p>
              </w:tc>
              <w:tc>
                <w:tcPr>
                  <w:tcW w:w="677" w:type="dxa"/>
                  <w:vMerge w:val="continue"/>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p>
              </w:tc>
              <w:tc>
                <w:tcPr>
                  <w:tcW w:w="917" w:type="dxa"/>
                  <w:vAlign w:val="center"/>
                </w:tcPr>
                <w:p>
                  <w:pPr>
                    <w:overflowPunct w:val="0"/>
                    <w:autoSpaceDE w:val="0"/>
                    <w:autoSpaceDN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危险</w:t>
                  </w:r>
                </w:p>
                <w:p>
                  <w:pPr>
                    <w:overflowPunct w:val="0"/>
                    <w:autoSpaceDE w:val="0"/>
                    <w:autoSpaceDN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固废</w:t>
                  </w:r>
                </w:p>
              </w:tc>
              <w:tc>
                <w:tcPr>
                  <w:tcW w:w="4881" w:type="dxa"/>
                  <w:vAlign w:val="center"/>
                </w:tcPr>
                <w:p>
                  <w:pPr>
                    <w:overflowPunct w:val="0"/>
                    <w:autoSpaceDE w:val="0"/>
                    <w:autoSpaceDN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交由相应危险废物处理资质单位处理</w:t>
                  </w:r>
                </w:p>
              </w:tc>
            </w:tr>
          </w:tbl>
          <w:p>
            <w:pPr>
              <w:spacing w:line="276" w:lineRule="auto"/>
              <w:jc w:val="center"/>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表</w:t>
            </w:r>
            <w:r>
              <w:rPr>
                <w:rFonts w:hint="eastAsia" w:ascii="Times New Roman" w:hAnsi="Times New Roman" w:eastAsia="宋体" w:cs="Times New Roman"/>
                <w:b/>
                <w:color w:val="auto"/>
                <w:sz w:val="24"/>
                <w:highlight w:val="none"/>
              </w:rPr>
              <w:t>1-3 开平裕进纺织厂有限公司</w:t>
            </w:r>
            <w:r>
              <w:rPr>
                <w:rFonts w:ascii="Times New Roman" w:hAnsi="Times New Roman" w:eastAsia="宋体" w:cs="Times New Roman"/>
                <w:b/>
                <w:color w:val="auto"/>
                <w:sz w:val="24"/>
                <w:highlight w:val="none"/>
              </w:rPr>
              <w:t>主要建设内容</w:t>
            </w:r>
          </w:p>
          <w:tbl>
            <w:tblPr>
              <w:tblStyle w:val="22"/>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142"/>
              <w:gridCol w:w="677"/>
              <w:gridCol w:w="917"/>
              <w:gridCol w:w="48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659" w:type="dxa"/>
                  <w:vAlign w:val="center"/>
                </w:tcPr>
                <w:p>
                  <w:pPr>
                    <w:overflowPunct w:val="0"/>
                    <w:autoSpaceDE w:val="0"/>
                    <w:autoSpaceDN w:val="0"/>
                    <w:adjustRightInd w:val="0"/>
                    <w:snapToGrid w:val="0"/>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类别</w:t>
                  </w:r>
                </w:p>
              </w:tc>
              <w:tc>
                <w:tcPr>
                  <w:tcW w:w="1142" w:type="dxa"/>
                  <w:vAlign w:val="center"/>
                </w:tcPr>
                <w:p>
                  <w:pPr>
                    <w:overflowPunct w:val="0"/>
                    <w:autoSpaceDE w:val="0"/>
                    <w:autoSpaceDN w:val="0"/>
                    <w:adjustRightInd w:val="0"/>
                    <w:snapToGrid w:val="0"/>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工程名称</w:t>
                  </w:r>
                </w:p>
              </w:tc>
              <w:tc>
                <w:tcPr>
                  <w:tcW w:w="1594" w:type="dxa"/>
                  <w:gridSpan w:val="2"/>
                  <w:vAlign w:val="center"/>
                </w:tcPr>
                <w:p>
                  <w:pPr>
                    <w:overflowPunct w:val="0"/>
                    <w:autoSpaceDE w:val="0"/>
                    <w:autoSpaceDN w:val="0"/>
                    <w:adjustRightInd w:val="0"/>
                    <w:snapToGrid w:val="0"/>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工程内容</w:t>
                  </w:r>
                </w:p>
              </w:tc>
              <w:tc>
                <w:tcPr>
                  <w:tcW w:w="4881" w:type="dxa"/>
                  <w:vAlign w:val="center"/>
                </w:tcPr>
                <w:p>
                  <w:pPr>
                    <w:overflowPunct w:val="0"/>
                    <w:autoSpaceDE w:val="0"/>
                    <w:autoSpaceDN w:val="0"/>
                    <w:adjustRightInd w:val="0"/>
                    <w:snapToGrid w:val="0"/>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规模及用途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78" w:hRule="atLeast"/>
                <w:jc w:val="center"/>
              </w:trPr>
              <w:tc>
                <w:tcPr>
                  <w:tcW w:w="659" w:type="dxa"/>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w:t>
                  </w:r>
                </w:p>
              </w:tc>
              <w:tc>
                <w:tcPr>
                  <w:tcW w:w="1142" w:type="dxa"/>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主体工程</w:t>
                  </w:r>
                </w:p>
              </w:tc>
              <w:tc>
                <w:tcPr>
                  <w:tcW w:w="1594" w:type="dxa"/>
                  <w:gridSpan w:val="2"/>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厂房</w:t>
                  </w:r>
                </w:p>
              </w:tc>
              <w:tc>
                <w:tcPr>
                  <w:tcW w:w="4881" w:type="dxa"/>
                  <w:vAlign w:val="center"/>
                </w:tcPr>
                <w:p>
                  <w:pPr>
                    <w:overflowPunct w:val="0"/>
                    <w:autoSpaceDE w:val="0"/>
                    <w:autoSpaceDN w:val="0"/>
                    <w:adjustRightInd w:val="0"/>
                    <w:snapToGrid w:val="0"/>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包括制衣车间、纺织车间</w:t>
                  </w:r>
                  <w:r>
                    <w:rPr>
                      <w:rFonts w:hint="eastAsia" w:ascii="Times New Roman" w:hAnsi="Times New Roman" w:cs="Times New Roman"/>
                      <w:color w:val="auto"/>
                      <w:szCs w:val="21"/>
                      <w:highlight w:val="none"/>
                    </w:rPr>
                    <w:t>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78" w:hRule="atLeast"/>
                <w:jc w:val="center"/>
              </w:trPr>
              <w:tc>
                <w:tcPr>
                  <w:tcW w:w="659" w:type="dxa"/>
                  <w:vMerge w:val="restart"/>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2</w:t>
                  </w:r>
                </w:p>
              </w:tc>
              <w:tc>
                <w:tcPr>
                  <w:tcW w:w="1142" w:type="dxa"/>
                  <w:vMerge w:val="restart"/>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辅助工程</w:t>
                  </w:r>
                </w:p>
              </w:tc>
              <w:tc>
                <w:tcPr>
                  <w:tcW w:w="1594" w:type="dxa"/>
                  <w:gridSpan w:val="2"/>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宿舍楼</w:t>
                  </w:r>
                </w:p>
              </w:tc>
              <w:tc>
                <w:tcPr>
                  <w:tcW w:w="4881" w:type="dxa"/>
                  <w:vAlign w:val="center"/>
                </w:tcPr>
                <w:p>
                  <w:pPr>
                    <w:overflowPunct w:val="0"/>
                    <w:autoSpaceDE w:val="0"/>
                    <w:autoSpaceDN w:val="0"/>
                    <w:adjustRightInd w:val="0"/>
                    <w:snapToGrid w:val="0"/>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主要用于员工住宿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78" w:hRule="atLeast"/>
                <w:jc w:val="center"/>
              </w:trPr>
              <w:tc>
                <w:tcPr>
                  <w:tcW w:w="659" w:type="dxa"/>
                  <w:vMerge w:val="continue"/>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p>
              </w:tc>
              <w:tc>
                <w:tcPr>
                  <w:tcW w:w="1142" w:type="dxa"/>
                  <w:vMerge w:val="continue"/>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p>
              </w:tc>
              <w:tc>
                <w:tcPr>
                  <w:tcW w:w="1594" w:type="dxa"/>
                  <w:gridSpan w:val="2"/>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锅炉房</w:t>
                  </w:r>
                </w:p>
              </w:tc>
              <w:tc>
                <w:tcPr>
                  <w:tcW w:w="4881" w:type="dxa"/>
                  <w:vAlign w:val="center"/>
                </w:tcPr>
                <w:p>
                  <w:pPr>
                    <w:overflowPunct w:val="0"/>
                    <w:autoSpaceDE w:val="0"/>
                    <w:autoSpaceDN w:val="0"/>
                    <w:adjustRightInd w:val="0"/>
                    <w:snapToGrid w:val="0"/>
                    <w:jc w:val="center"/>
                    <w:rPr>
                      <w:rFonts w:ascii="Times New Roman" w:hAnsi="Times New Roman" w:eastAsia="宋体" w:cs="Times New Roman"/>
                      <w:color w:val="auto"/>
                      <w:szCs w:val="21"/>
                      <w:highlight w:val="none"/>
                    </w:rPr>
                  </w:pPr>
                  <w:r>
                    <w:rPr>
                      <w:rFonts w:hint="eastAsia" w:ascii="Times New Roman" w:hAnsi="Times New Roman" w:cs="Times New Roman"/>
                      <w:color w:val="auto"/>
                      <w:szCs w:val="21"/>
                      <w:highlight w:val="none"/>
                    </w:rPr>
                    <w:t>配置一台15t/h锅炉、12t/h锅炉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jc w:val="center"/>
              </w:trPr>
              <w:tc>
                <w:tcPr>
                  <w:tcW w:w="659" w:type="dxa"/>
                  <w:vMerge w:val="restart"/>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3</w:t>
                  </w:r>
                </w:p>
              </w:tc>
              <w:tc>
                <w:tcPr>
                  <w:tcW w:w="1142" w:type="dxa"/>
                  <w:vMerge w:val="restart"/>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公用工程</w:t>
                  </w:r>
                </w:p>
              </w:tc>
              <w:tc>
                <w:tcPr>
                  <w:tcW w:w="1594" w:type="dxa"/>
                  <w:gridSpan w:val="2"/>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供水</w:t>
                  </w:r>
                </w:p>
              </w:tc>
              <w:tc>
                <w:tcPr>
                  <w:tcW w:w="4881" w:type="dxa"/>
                  <w:vAlign w:val="center"/>
                </w:tcPr>
                <w:p>
                  <w:pPr>
                    <w:overflowPunct w:val="0"/>
                    <w:autoSpaceDE w:val="0"/>
                    <w:autoSpaceDN w:val="0"/>
                    <w:adjustRightInd w:val="0"/>
                    <w:snapToGrid w:val="0"/>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开平裕进纺织厂有限公司共有员工1000人，年工作300天，每天8小时，有市政自来水供给</w:t>
                  </w:r>
                  <w:r>
                    <w:rPr>
                      <w:rFonts w:ascii="Times New Roman" w:hAnsi="Times New Roman" w:eastAsia="宋体" w:cs="Times New Roman"/>
                      <w:color w:val="auto"/>
                      <w:szCs w:val="21"/>
                      <w:highlight w:val="none"/>
                    </w:rPr>
                    <w:t>386667</w:t>
                  </w:r>
                  <w:r>
                    <w:rPr>
                      <w:rFonts w:hint="eastAsia" w:ascii="Times New Roman" w:hAnsi="Times New Roman" w:eastAsia="宋体" w:cs="Times New Roman"/>
                      <w:color w:val="auto"/>
                      <w:szCs w:val="21"/>
                      <w:highlight w:val="none"/>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78" w:hRule="atLeast"/>
                <w:jc w:val="center"/>
              </w:trPr>
              <w:tc>
                <w:tcPr>
                  <w:tcW w:w="659" w:type="dxa"/>
                  <w:vMerge w:val="continue"/>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p>
              </w:tc>
              <w:tc>
                <w:tcPr>
                  <w:tcW w:w="1142" w:type="dxa"/>
                  <w:vMerge w:val="continue"/>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p>
              </w:tc>
              <w:tc>
                <w:tcPr>
                  <w:tcW w:w="1594" w:type="dxa"/>
                  <w:gridSpan w:val="2"/>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排水</w:t>
                  </w:r>
                </w:p>
              </w:tc>
              <w:tc>
                <w:tcPr>
                  <w:tcW w:w="4881" w:type="dxa"/>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生活污水与工业废水（共</w:t>
                  </w:r>
                  <w:r>
                    <w:rPr>
                      <w:rFonts w:ascii="Times New Roman" w:hAnsi="Times New Roman" w:cs="Times New Roman"/>
                      <w:color w:val="auto"/>
                      <w:szCs w:val="21"/>
                      <w:highlight w:val="none"/>
                    </w:rPr>
                    <w:t>1160</w:t>
                  </w:r>
                  <w:r>
                    <w:rPr>
                      <w:rFonts w:hint="eastAsia" w:ascii="Times New Roman" w:hAnsi="Times New Roman" w:cs="Times New Roman"/>
                      <w:color w:val="auto"/>
                      <w:szCs w:val="21"/>
                      <w:highlight w:val="none"/>
                    </w:rPr>
                    <w:t>m</w:t>
                  </w:r>
                  <w:r>
                    <w:rPr>
                      <w:rFonts w:hint="eastAsia" w:ascii="Times New Roman" w:hAnsi="Times New Roman" w:cs="Times New Roman"/>
                      <w:color w:val="auto"/>
                      <w:szCs w:val="21"/>
                      <w:highlight w:val="none"/>
                      <w:vertAlign w:val="superscript"/>
                    </w:rPr>
                    <w:t>3</w:t>
                  </w:r>
                  <w:r>
                    <w:rPr>
                      <w:rFonts w:hint="eastAsia" w:ascii="Times New Roman" w:hAnsi="Times New Roman" w:cs="Times New Roman"/>
                      <w:color w:val="auto"/>
                      <w:szCs w:val="21"/>
                      <w:highlight w:val="none"/>
                    </w:rPr>
                    <w:t>/日）经废水处理系统（混凝沉淀+水解酸化+接触氧化）排入镇海水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jc w:val="center"/>
              </w:trPr>
              <w:tc>
                <w:tcPr>
                  <w:tcW w:w="659" w:type="dxa"/>
                  <w:vMerge w:val="continue"/>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p>
              </w:tc>
              <w:tc>
                <w:tcPr>
                  <w:tcW w:w="1142" w:type="dxa"/>
                  <w:vMerge w:val="continue"/>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p>
              </w:tc>
              <w:tc>
                <w:tcPr>
                  <w:tcW w:w="1594" w:type="dxa"/>
                  <w:gridSpan w:val="2"/>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供电</w:t>
                  </w:r>
                </w:p>
              </w:tc>
              <w:tc>
                <w:tcPr>
                  <w:tcW w:w="4881" w:type="dxa"/>
                  <w:vAlign w:val="center"/>
                </w:tcPr>
                <w:p>
                  <w:pPr>
                    <w:overflowPunct w:val="0"/>
                    <w:autoSpaceDE w:val="0"/>
                    <w:autoSpaceDN w:val="0"/>
                    <w:adjustRightInd w:val="0"/>
                    <w:snapToGrid w:val="0"/>
                    <w:jc w:val="center"/>
                    <w:rPr>
                      <w:rFonts w:ascii="Times New Roman" w:hAnsi="Times New Roman" w:eastAsia="宋体" w:cs="Times New Roman"/>
                      <w:color w:val="auto"/>
                      <w:szCs w:val="21"/>
                      <w:highlight w:val="none"/>
                    </w:rPr>
                  </w:pPr>
                  <w:r>
                    <w:rPr>
                      <w:rFonts w:hint="eastAsia" w:ascii="Times New Roman" w:hAnsi="Times New Roman" w:cs="Times New Roman"/>
                      <w:color w:val="auto"/>
                      <w:szCs w:val="21"/>
                      <w:highlight w:val="none"/>
                    </w:rPr>
                    <w:t>市政供电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jc w:val="center"/>
              </w:trPr>
              <w:tc>
                <w:tcPr>
                  <w:tcW w:w="659" w:type="dxa"/>
                  <w:vMerge w:val="continue"/>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p>
              </w:tc>
              <w:tc>
                <w:tcPr>
                  <w:tcW w:w="1142" w:type="dxa"/>
                  <w:vMerge w:val="continue"/>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p>
              </w:tc>
              <w:tc>
                <w:tcPr>
                  <w:tcW w:w="1594" w:type="dxa"/>
                  <w:gridSpan w:val="2"/>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供热</w:t>
                  </w:r>
                </w:p>
              </w:tc>
              <w:tc>
                <w:tcPr>
                  <w:tcW w:w="4881" w:type="dxa"/>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配置一台15t/h锅炉、12t/h锅炉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47" w:hRule="atLeast"/>
                <w:jc w:val="center"/>
              </w:trPr>
              <w:tc>
                <w:tcPr>
                  <w:tcW w:w="659" w:type="dxa"/>
                  <w:vMerge w:val="restart"/>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4</w:t>
                  </w:r>
                </w:p>
              </w:tc>
              <w:tc>
                <w:tcPr>
                  <w:tcW w:w="1142" w:type="dxa"/>
                  <w:vMerge w:val="restart"/>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环保工程</w:t>
                  </w:r>
                </w:p>
              </w:tc>
              <w:tc>
                <w:tcPr>
                  <w:tcW w:w="1594" w:type="dxa"/>
                  <w:gridSpan w:val="2"/>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污水治理</w:t>
                  </w:r>
                </w:p>
              </w:tc>
              <w:tc>
                <w:tcPr>
                  <w:tcW w:w="4881" w:type="dxa"/>
                  <w:vAlign w:val="center"/>
                </w:tcPr>
                <w:p>
                  <w:pPr>
                    <w:overflowPunct w:val="0"/>
                    <w:autoSpaceDE w:val="0"/>
                    <w:autoSpaceDN w:val="0"/>
                    <w:adjustRightInd w:val="0"/>
                    <w:snapToGrid w:val="0"/>
                    <w:jc w:val="center"/>
                    <w:rPr>
                      <w:rFonts w:ascii="Times New Roman" w:hAnsi="Times New Roman" w:eastAsia="宋体" w:cs="Times New Roman"/>
                      <w:color w:val="auto"/>
                      <w:szCs w:val="21"/>
                      <w:highlight w:val="none"/>
                    </w:rPr>
                  </w:pPr>
                  <w:r>
                    <w:rPr>
                      <w:rFonts w:hint="eastAsia" w:ascii="Times New Roman" w:hAnsi="Times New Roman" w:cs="Times New Roman"/>
                      <w:color w:val="auto"/>
                      <w:szCs w:val="21"/>
                      <w:highlight w:val="none"/>
                    </w:rPr>
                    <w:t>混凝沉淀+水解酸化+接触氧化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78" w:hRule="atLeast"/>
                <w:jc w:val="center"/>
              </w:trPr>
              <w:tc>
                <w:tcPr>
                  <w:tcW w:w="659" w:type="dxa"/>
                  <w:vMerge w:val="continue"/>
                </w:tcPr>
                <w:p>
                  <w:pPr>
                    <w:overflowPunct w:val="0"/>
                    <w:autoSpaceDE w:val="0"/>
                    <w:autoSpaceDN w:val="0"/>
                    <w:adjustRightInd w:val="0"/>
                    <w:snapToGrid w:val="0"/>
                    <w:jc w:val="center"/>
                    <w:rPr>
                      <w:rFonts w:ascii="Times New Roman" w:hAnsi="Times New Roman" w:cs="Times New Roman"/>
                      <w:color w:val="auto"/>
                      <w:szCs w:val="21"/>
                      <w:highlight w:val="none"/>
                    </w:rPr>
                  </w:pPr>
                </w:p>
              </w:tc>
              <w:tc>
                <w:tcPr>
                  <w:tcW w:w="1142" w:type="dxa"/>
                  <w:vMerge w:val="continue"/>
                </w:tcPr>
                <w:p>
                  <w:pPr>
                    <w:overflowPunct w:val="0"/>
                    <w:autoSpaceDE w:val="0"/>
                    <w:autoSpaceDN w:val="0"/>
                    <w:adjustRightInd w:val="0"/>
                    <w:snapToGrid w:val="0"/>
                    <w:jc w:val="center"/>
                    <w:rPr>
                      <w:rFonts w:ascii="Times New Roman" w:hAnsi="Times New Roman" w:cs="Times New Roman"/>
                      <w:color w:val="auto"/>
                      <w:szCs w:val="21"/>
                      <w:highlight w:val="none"/>
                    </w:rPr>
                  </w:pPr>
                </w:p>
              </w:tc>
              <w:tc>
                <w:tcPr>
                  <w:tcW w:w="1594" w:type="dxa"/>
                  <w:gridSpan w:val="2"/>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废气治理</w:t>
                  </w:r>
                </w:p>
              </w:tc>
              <w:tc>
                <w:tcPr>
                  <w:tcW w:w="4881" w:type="dxa"/>
                  <w:vAlign w:val="center"/>
                </w:tcPr>
                <w:p>
                  <w:pPr>
                    <w:overflowPunct w:val="0"/>
                    <w:autoSpaceDE w:val="0"/>
                    <w:autoSpaceDN w:val="0"/>
                    <w:adjustRightInd w:val="0"/>
                    <w:snapToGrid w:val="0"/>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锅炉废气经布袋除尘处理后经15m高的排气筒排放；纺织废气经二级除尘系统处理后排放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jc w:val="center"/>
              </w:trPr>
              <w:tc>
                <w:tcPr>
                  <w:tcW w:w="659" w:type="dxa"/>
                  <w:vMerge w:val="continue"/>
                </w:tcPr>
                <w:p>
                  <w:pPr>
                    <w:overflowPunct w:val="0"/>
                    <w:autoSpaceDE w:val="0"/>
                    <w:autoSpaceDN w:val="0"/>
                    <w:adjustRightInd w:val="0"/>
                    <w:snapToGrid w:val="0"/>
                    <w:jc w:val="center"/>
                    <w:rPr>
                      <w:rFonts w:ascii="Times New Roman" w:hAnsi="Times New Roman" w:cs="Times New Roman"/>
                      <w:color w:val="auto"/>
                      <w:szCs w:val="21"/>
                      <w:highlight w:val="none"/>
                    </w:rPr>
                  </w:pPr>
                </w:p>
              </w:tc>
              <w:tc>
                <w:tcPr>
                  <w:tcW w:w="1142" w:type="dxa"/>
                  <w:vMerge w:val="continue"/>
                </w:tcPr>
                <w:p>
                  <w:pPr>
                    <w:overflowPunct w:val="0"/>
                    <w:autoSpaceDE w:val="0"/>
                    <w:autoSpaceDN w:val="0"/>
                    <w:adjustRightInd w:val="0"/>
                    <w:snapToGrid w:val="0"/>
                    <w:jc w:val="center"/>
                    <w:rPr>
                      <w:rFonts w:ascii="Times New Roman" w:hAnsi="Times New Roman" w:cs="Times New Roman"/>
                      <w:color w:val="auto"/>
                      <w:szCs w:val="21"/>
                      <w:highlight w:val="none"/>
                    </w:rPr>
                  </w:pPr>
                </w:p>
              </w:tc>
              <w:tc>
                <w:tcPr>
                  <w:tcW w:w="1594" w:type="dxa"/>
                  <w:gridSpan w:val="2"/>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噪声治理</w:t>
                  </w:r>
                </w:p>
              </w:tc>
              <w:tc>
                <w:tcPr>
                  <w:tcW w:w="4881" w:type="dxa"/>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通过采用隔声、消声措施；合理布局、利用墙体隔声、树木吸声等措施防治噪声污染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61" w:hRule="atLeast"/>
                <w:jc w:val="center"/>
              </w:trPr>
              <w:tc>
                <w:tcPr>
                  <w:tcW w:w="659" w:type="dxa"/>
                  <w:vMerge w:val="continue"/>
                </w:tcPr>
                <w:p>
                  <w:pPr>
                    <w:overflowPunct w:val="0"/>
                    <w:autoSpaceDE w:val="0"/>
                    <w:autoSpaceDN w:val="0"/>
                    <w:adjustRightInd w:val="0"/>
                    <w:snapToGrid w:val="0"/>
                    <w:jc w:val="center"/>
                    <w:rPr>
                      <w:rFonts w:ascii="Times New Roman" w:hAnsi="Times New Roman" w:cs="Times New Roman"/>
                      <w:color w:val="auto"/>
                      <w:szCs w:val="21"/>
                      <w:highlight w:val="none"/>
                    </w:rPr>
                  </w:pPr>
                </w:p>
              </w:tc>
              <w:tc>
                <w:tcPr>
                  <w:tcW w:w="1142" w:type="dxa"/>
                  <w:vMerge w:val="continue"/>
                </w:tcPr>
                <w:p>
                  <w:pPr>
                    <w:overflowPunct w:val="0"/>
                    <w:autoSpaceDE w:val="0"/>
                    <w:autoSpaceDN w:val="0"/>
                    <w:adjustRightInd w:val="0"/>
                    <w:snapToGrid w:val="0"/>
                    <w:jc w:val="center"/>
                    <w:rPr>
                      <w:rFonts w:ascii="Times New Roman" w:hAnsi="Times New Roman" w:cs="Times New Roman"/>
                      <w:color w:val="auto"/>
                      <w:szCs w:val="21"/>
                      <w:highlight w:val="none"/>
                    </w:rPr>
                  </w:pPr>
                </w:p>
              </w:tc>
              <w:tc>
                <w:tcPr>
                  <w:tcW w:w="677" w:type="dxa"/>
                  <w:vMerge w:val="restart"/>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固废治理</w:t>
                  </w:r>
                </w:p>
              </w:tc>
              <w:tc>
                <w:tcPr>
                  <w:tcW w:w="917" w:type="dxa"/>
                  <w:vAlign w:val="center"/>
                </w:tcPr>
                <w:p>
                  <w:pPr>
                    <w:overflowPunct w:val="0"/>
                    <w:autoSpaceDE w:val="0"/>
                    <w:autoSpaceDN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生活</w:t>
                  </w:r>
                </w:p>
                <w:p>
                  <w:pPr>
                    <w:overflowPunct w:val="0"/>
                    <w:autoSpaceDE w:val="0"/>
                    <w:autoSpaceDN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垃圾</w:t>
                  </w:r>
                </w:p>
              </w:tc>
              <w:tc>
                <w:tcPr>
                  <w:tcW w:w="4881" w:type="dxa"/>
                  <w:vAlign w:val="center"/>
                </w:tcPr>
                <w:p>
                  <w:pPr>
                    <w:overflowPunct w:val="0"/>
                    <w:autoSpaceDE w:val="0"/>
                    <w:autoSpaceDN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交环卫部门清运处理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659" w:type="dxa"/>
                  <w:vMerge w:val="continue"/>
                </w:tcPr>
                <w:p>
                  <w:pPr>
                    <w:overflowPunct w:val="0"/>
                    <w:autoSpaceDE w:val="0"/>
                    <w:autoSpaceDN w:val="0"/>
                    <w:adjustRightInd w:val="0"/>
                    <w:snapToGrid w:val="0"/>
                    <w:jc w:val="center"/>
                    <w:rPr>
                      <w:rFonts w:ascii="Times New Roman" w:hAnsi="Times New Roman" w:cs="Times New Roman"/>
                      <w:color w:val="auto"/>
                      <w:szCs w:val="21"/>
                      <w:highlight w:val="none"/>
                    </w:rPr>
                  </w:pPr>
                </w:p>
              </w:tc>
              <w:tc>
                <w:tcPr>
                  <w:tcW w:w="1142" w:type="dxa"/>
                  <w:vMerge w:val="continue"/>
                </w:tcPr>
                <w:p>
                  <w:pPr>
                    <w:overflowPunct w:val="0"/>
                    <w:autoSpaceDE w:val="0"/>
                    <w:autoSpaceDN w:val="0"/>
                    <w:adjustRightInd w:val="0"/>
                    <w:snapToGrid w:val="0"/>
                    <w:jc w:val="center"/>
                    <w:rPr>
                      <w:rFonts w:ascii="Times New Roman" w:hAnsi="Times New Roman" w:cs="Times New Roman"/>
                      <w:color w:val="auto"/>
                      <w:szCs w:val="21"/>
                      <w:highlight w:val="none"/>
                    </w:rPr>
                  </w:pPr>
                </w:p>
              </w:tc>
              <w:tc>
                <w:tcPr>
                  <w:tcW w:w="677" w:type="dxa"/>
                  <w:vMerge w:val="continue"/>
                  <w:vAlign w:val="center"/>
                </w:tcPr>
                <w:p>
                  <w:pPr>
                    <w:overflowPunct w:val="0"/>
                    <w:autoSpaceDE w:val="0"/>
                    <w:autoSpaceDN w:val="0"/>
                    <w:adjustRightInd w:val="0"/>
                    <w:snapToGrid w:val="0"/>
                    <w:jc w:val="center"/>
                    <w:rPr>
                      <w:rFonts w:ascii="Times New Roman" w:hAnsi="Times New Roman" w:cs="Times New Roman"/>
                      <w:color w:val="auto"/>
                      <w:szCs w:val="21"/>
                      <w:highlight w:val="none"/>
                    </w:rPr>
                  </w:pPr>
                </w:p>
              </w:tc>
              <w:tc>
                <w:tcPr>
                  <w:tcW w:w="917" w:type="dxa"/>
                  <w:vAlign w:val="center"/>
                </w:tcPr>
                <w:p>
                  <w:pPr>
                    <w:overflowPunct w:val="0"/>
                    <w:autoSpaceDE w:val="0"/>
                    <w:autoSpaceDN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一般工业固体废物</w:t>
                  </w:r>
                </w:p>
              </w:tc>
              <w:tc>
                <w:tcPr>
                  <w:tcW w:w="4881" w:type="dxa"/>
                  <w:vAlign w:val="center"/>
                </w:tcPr>
                <w:p>
                  <w:pPr>
                    <w:overflowPunct w:val="0"/>
                    <w:autoSpaceDE w:val="0"/>
                    <w:autoSpaceDN w:val="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灰渣由水泥厂回收，包装废料、废料由一般工业固废场回收</w:t>
                  </w:r>
                </w:p>
              </w:tc>
            </w:tr>
          </w:tbl>
          <w:p>
            <w:pPr>
              <w:rPr>
                <w:color w:val="auto"/>
                <w:highlight w:val="none"/>
              </w:rPr>
            </w:pPr>
          </w:p>
          <w:p>
            <w:pPr>
              <w:pStyle w:val="2"/>
              <w:rPr>
                <w:color w:val="auto"/>
                <w:highlight w:val="none"/>
              </w:rPr>
            </w:pPr>
          </w:p>
          <w:p>
            <w:pPr>
              <w:rPr>
                <w:color w:val="auto"/>
                <w:highlight w:val="none"/>
              </w:rPr>
            </w:pPr>
          </w:p>
          <w:p>
            <w:pPr>
              <w:spacing w:line="360" w:lineRule="auto"/>
              <w:ind w:firstLine="482" w:firstLineChars="200"/>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3、项目主要原材料年耗量</w:t>
            </w:r>
          </w:p>
          <w:p>
            <w:pPr>
              <w:spacing w:line="276" w:lineRule="auto"/>
              <w:jc w:val="center"/>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表</w:t>
            </w:r>
            <w:r>
              <w:rPr>
                <w:rFonts w:hint="eastAsia" w:ascii="Times New Roman" w:hAnsi="Times New Roman" w:eastAsia="宋体" w:cs="Times New Roman"/>
                <w:b/>
                <w:bCs/>
                <w:color w:val="auto"/>
                <w:sz w:val="24"/>
                <w:highlight w:val="none"/>
              </w:rPr>
              <w:t xml:space="preserve">1-4 </w:t>
            </w:r>
            <w:r>
              <w:rPr>
                <w:rFonts w:ascii="Times New Roman" w:hAnsi="Times New Roman" w:eastAsia="宋体" w:cs="Times New Roman"/>
                <w:b/>
                <w:bCs/>
                <w:color w:val="auto"/>
                <w:sz w:val="24"/>
                <w:highlight w:val="none"/>
              </w:rPr>
              <w:t>项目主要原材料年耗量</w:t>
            </w:r>
          </w:p>
          <w:tbl>
            <w:tblPr>
              <w:tblStyle w:val="22"/>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34"/>
              <w:gridCol w:w="2511"/>
              <w:gridCol w:w="1308"/>
              <w:gridCol w:w="1308"/>
              <w:gridCol w:w="1230"/>
              <w:gridCol w:w="13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534" w:type="dxa"/>
                  <w:tcBorders>
                    <w:tl2br w:val="nil"/>
                    <w:tr2bl w:val="nil"/>
                  </w:tcBorders>
                  <w:vAlign w:val="center"/>
                </w:tcPr>
                <w:p>
                  <w:pPr>
                    <w:jc w:val="center"/>
                    <w:rPr>
                      <w:rFonts w:ascii="Times New Roman" w:hAnsi="Times New Roman" w:eastAsia="宋体" w:cs="Times New Roman"/>
                      <w:b/>
                      <w:color w:val="auto"/>
                      <w:spacing w:val="20"/>
                      <w:szCs w:val="21"/>
                      <w:highlight w:val="none"/>
                    </w:rPr>
                  </w:pPr>
                  <w:r>
                    <w:rPr>
                      <w:rFonts w:ascii="Times New Roman" w:hAnsi="Times New Roman" w:eastAsia="宋体" w:cs="Times New Roman"/>
                      <w:b/>
                      <w:color w:val="auto"/>
                      <w:spacing w:val="20"/>
                      <w:szCs w:val="21"/>
                      <w:highlight w:val="none"/>
                    </w:rPr>
                    <w:t>序号</w:t>
                  </w:r>
                </w:p>
              </w:tc>
              <w:tc>
                <w:tcPr>
                  <w:tcW w:w="2511" w:type="dxa"/>
                  <w:tcBorders>
                    <w:tl2br w:val="nil"/>
                    <w:tr2bl w:val="nil"/>
                  </w:tcBorders>
                  <w:vAlign w:val="center"/>
                </w:tcPr>
                <w:p>
                  <w:pPr>
                    <w:jc w:val="center"/>
                    <w:rPr>
                      <w:rFonts w:ascii="Times New Roman" w:hAnsi="Times New Roman" w:eastAsia="宋体" w:cs="Times New Roman"/>
                      <w:b/>
                      <w:color w:val="auto"/>
                      <w:spacing w:val="20"/>
                      <w:szCs w:val="21"/>
                      <w:highlight w:val="none"/>
                    </w:rPr>
                  </w:pPr>
                  <w:r>
                    <w:rPr>
                      <w:rFonts w:ascii="Times New Roman" w:hAnsi="Times New Roman" w:eastAsia="宋体" w:cs="Times New Roman"/>
                      <w:b/>
                      <w:color w:val="auto"/>
                      <w:spacing w:val="20"/>
                      <w:szCs w:val="21"/>
                      <w:highlight w:val="none"/>
                    </w:rPr>
                    <w:t>原材料</w:t>
                  </w:r>
                </w:p>
              </w:tc>
              <w:tc>
                <w:tcPr>
                  <w:tcW w:w="1308" w:type="dxa"/>
                  <w:tcBorders>
                    <w:tl2br w:val="nil"/>
                    <w:tr2bl w:val="nil"/>
                  </w:tcBorders>
                  <w:vAlign w:val="center"/>
                </w:tcPr>
                <w:p>
                  <w:pPr>
                    <w:jc w:val="center"/>
                    <w:rPr>
                      <w:rFonts w:ascii="Times New Roman" w:hAnsi="Times New Roman" w:eastAsia="宋体" w:cs="Times New Roman"/>
                      <w:b/>
                      <w:color w:val="auto"/>
                      <w:spacing w:val="20"/>
                      <w:szCs w:val="21"/>
                      <w:highlight w:val="none"/>
                    </w:rPr>
                  </w:pPr>
                  <w:r>
                    <w:rPr>
                      <w:rFonts w:ascii="Times New Roman" w:hAnsi="Times New Roman" w:eastAsia="宋体" w:cs="Times New Roman"/>
                      <w:b/>
                      <w:color w:val="auto"/>
                      <w:spacing w:val="20"/>
                      <w:szCs w:val="21"/>
                      <w:highlight w:val="none"/>
                    </w:rPr>
                    <w:t>年耗量</w:t>
                  </w:r>
                </w:p>
              </w:tc>
              <w:tc>
                <w:tcPr>
                  <w:tcW w:w="1308" w:type="dxa"/>
                  <w:tcBorders>
                    <w:tl2br w:val="nil"/>
                    <w:tr2bl w:val="nil"/>
                  </w:tcBorders>
                  <w:vAlign w:val="center"/>
                </w:tcPr>
                <w:p>
                  <w:pPr>
                    <w:jc w:val="center"/>
                    <w:rPr>
                      <w:rFonts w:ascii="Times New Roman" w:hAnsi="Times New Roman" w:eastAsia="宋体" w:cs="Times New Roman"/>
                      <w:b/>
                      <w:color w:val="auto"/>
                      <w:spacing w:val="20"/>
                      <w:szCs w:val="21"/>
                      <w:highlight w:val="none"/>
                    </w:rPr>
                  </w:pPr>
                  <w:r>
                    <w:rPr>
                      <w:rFonts w:hint="eastAsia" w:ascii="Times New Roman" w:hAnsi="Times New Roman" w:eastAsia="宋体" w:cs="Times New Roman"/>
                      <w:b/>
                      <w:color w:val="auto"/>
                      <w:spacing w:val="20"/>
                      <w:szCs w:val="21"/>
                      <w:highlight w:val="none"/>
                    </w:rPr>
                    <w:t>包装规格</w:t>
                  </w:r>
                </w:p>
              </w:tc>
              <w:tc>
                <w:tcPr>
                  <w:tcW w:w="1230" w:type="dxa"/>
                  <w:tcBorders>
                    <w:tl2br w:val="nil"/>
                    <w:tr2bl w:val="nil"/>
                  </w:tcBorders>
                  <w:vAlign w:val="center"/>
                </w:tcPr>
                <w:p>
                  <w:pPr>
                    <w:jc w:val="center"/>
                    <w:rPr>
                      <w:rFonts w:ascii="Times New Roman" w:hAnsi="Times New Roman" w:eastAsia="宋体" w:cs="Times New Roman"/>
                      <w:b/>
                      <w:color w:val="auto"/>
                      <w:spacing w:val="20"/>
                      <w:szCs w:val="21"/>
                      <w:highlight w:val="none"/>
                    </w:rPr>
                  </w:pPr>
                  <w:r>
                    <w:rPr>
                      <w:rFonts w:hint="eastAsia" w:ascii="Times New Roman" w:hAnsi="Times New Roman" w:eastAsia="宋体" w:cs="Times New Roman"/>
                      <w:b/>
                      <w:color w:val="auto"/>
                      <w:spacing w:val="20"/>
                      <w:szCs w:val="21"/>
                      <w:highlight w:val="none"/>
                    </w:rPr>
                    <w:t>包装方式</w:t>
                  </w:r>
                </w:p>
              </w:tc>
              <w:tc>
                <w:tcPr>
                  <w:tcW w:w="1385" w:type="dxa"/>
                  <w:tcBorders>
                    <w:tl2br w:val="nil"/>
                    <w:tr2bl w:val="nil"/>
                  </w:tcBorders>
                  <w:vAlign w:val="center"/>
                </w:tcPr>
                <w:p>
                  <w:pPr>
                    <w:jc w:val="center"/>
                    <w:rPr>
                      <w:rFonts w:ascii="Times New Roman" w:hAnsi="Times New Roman" w:eastAsia="宋体" w:cs="Times New Roman"/>
                      <w:b/>
                      <w:color w:val="auto"/>
                      <w:spacing w:val="20"/>
                      <w:szCs w:val="21"/>
                      <w:highlight w:val="none"/>
                    </w:rPr>
                  </w:pPr>
                  <w:r>
                    <w:rPr>
                      <w:rFonts w:hint="eastAsia" w:ascii="Times New Roman" w:hAnsi="Times New Roman" w:eastAsia="宋体" w:cs="Times New Roman"/>
                      <w:b/>
                      <w:color w:val="auto"/>
                      <w:spacing w:val="20"/>
                      <w:szCs w:val="21"/>
                      <w:highlight w:val="none"/>
                    </w:rPr>
                    <w:t>最大储存量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534" w:type="dxa"/>
                  <w:tcBorders>
                    <w:tl2br w:val="nil"/>
                    <w:tr2bl w:val="nil"/>
                  </w:tcBorders>
                  <w:vAlign w:val="center"/>
                </w:tcPr>
                <w:p>
                  <w:pPr>
                    <w:jc w:val="center"/>
                    <w:rPr>
                      <w:rFonts w:ascii="Times New Roman" w:hAnsi="Times New Roman" w:eastAsia="宋体" w:cs="Times New Roman"/>
                      <w:bCs/>
                      <w:color w:val="auto"/>
                      <w:spacing w:val="20"/>
                      <w:szCs w:val="21"/>
                      <w:highlight w:val="none"/>
                    </w:rPr>
                  </w:pPr>
                  <w:r>
                    <w:rPr>
                      <w:rFonts w:ascii="Times New Roman" w:hAnsi="Times New Roman" w:eastAsia="宋体" w:cs="Times New Roman"/>
                      <w:bCs/>
                      <w:color w:val="auto"/>
                      <w:spacing w:val="20"/>
                      <w:szCs w:val="21"/>
                      <w:highlight w:val="none"/>
                    </w:rPr>
                    <w:t>1</w:t>
                  </w:r>
                </w:p>
              </w:tc>
              <w:tc>
                <w:tcPr>
                  <w:tcW w:w="2511" w:type="dxa"/>
                  <w:tcBorders>
                    <w:tl2br w:val="nil"/>
                    <w:tr2bl w:val="nil"/>
                  </w:tcBorders>
                  <w:vAlign w:val="center"/>
                </w:tcPr>
                <w:p>
                  <w:pPr>
                    <w:jc w:val="center"/>
                    <w:rPr>
                      <w:rFonts w:ascii="Times New Roman" w:hAnsi="Times New Roman" w:eastAsia="宋体" w:cs="Times New Roman"/>
                      <w:bCs/>
                      <w:color w:val="auto"/>
                      <w:spacing w:val="20"/>
                      <w:szCs w:val="21"/>
                      <w:highlight w:val="none"/>
                    </w:rPr>
                  </w:pPr>
                  <w:r>
                    <w:rPr>
                      <w:rFonts w:ascii="Times New Roman" w:hAnsi="Times New Roman" w:eastAsia="宋体" w:cs="Times New Roman"/>
                      <w:bCs/>
                      <w:color w:val="auto"/>
                      <w:spacing w:val="20"/>
                      <w:szCs w:val="21"/>
                      <w:highlight w:val="none"/>
                    </w:rPr>
                    <w:t>EPS（聚苯乙烯泡沫）</w:t>
                  </w:r>
                </w:p>
              </w:tc>
              <w:tc>
                <w:tcPr>
                  <w:tcW w:w="1308" w:type="dxa"/>
                  <w:tcBorders>
                    <w:tl2br w:val="nil"/>
                    <w:tr2bl w:val="nil"/>
                  </w:tcBorders>
                  <w:vAlign w:val="center"/>
                </w:tcPr>
                <w:p>
                  <w:pPr>
                    <w:jc w:val="center"/>
                    <w:rPr>
                      <w:rFonts w:ascii="Times New Roman" w:hAnsi="Times New Roman" w:eastAsia="宋体" w:cs="Times New Roman"/>
                      <w:bCs/>
                      <w:color w:val="auto"/>
                      <w:spacing w:val="20"/>
                      <w:szCs w:val="21"/>
                      <w:highlight w:val="none"/>
                    </w:rPr>
                  </w:pPr>
                  <w:r>
                    <w:rPr>
                      <w:rFonts w:ascii="Times New Roman" w:hAnsi="Times New Roman" w:eastAsia="宋体" w:cs="Times New Roman"/>
                      <w:bCs/>
                      <w:color w:val="auto"/>
                      <w:spacing w:val="20"/>
                      <w:szCs w:val="21"/>
                      <w:highlight w:val="none"/>
                    </w:rPr>
                    <w:t>420吨</w:t>
                  </w:r>
                </w:p>
              </w:tc>
              <w:tc>
                <w:tcPr>
                  <w:tcW w:w="1308" w:type="dxa"/>
                  <w:tcBorders>
                    <w:tl2br w:val="nil"/>
                    <w:tr2bl w:val="nil"/>
                  </w:tcBorders>
                  <w:vAlign w:val="center"/>
                </w:tcPr>
                <w:p>
                  <w:pPr>
                    <w:jc w:val="center"/>
                    <w:rPr>
                      <w:rFonts w:ascii="Times New Roman" w:hAnsi="Times New Roman" w:eastAsia="宋体" w:cs="Times New Roman"/>
                      <w:bCs/>
                      <w:color w:val="auto"/>
                      <w:spacing w:val="20"/>
                      <w:szCs w:val="21"/>
                      <w:highlight w:val="none"/>
                    </w:rPr>
                  </w:pPr>
                  <w:r>
                    <w:rPr>
                      <w:rFonts w:hint="eastAsia" w:ascii="Times New Roman" w:hAnsi="Times New Roman" w:eastAsia="宋体" w:cs="Times New Roman"/>
                      <w:bCs/>
                      <w:color w:val="auto"/>
                      <w:spacing w:val="20"/>
                      <w:szCs w:val="21"/>
                      <w:highlight w:val="none"/>
                    </w:rPr>
                    <w:t>3kg/袋</w:t>
                  </w:r>
                </w:p>
              </w:tc>
              <w:tc>
                <w:tcPr>
                  <w:tcW w:w="1230" w:type="dxa"/>
                  <w:tcBorders>
                    <w:tl2br w:val="nil"/>
                    <w:tr2bl w:val="nil"/>
                  </w:tcBorders>
                  <w:vAlign w:val="center"/>
                </w:tcPr>
                <w:p>
                  <w:pPr>
                    <w:jc w:val="center"/>
                    <w:rPr>
                      <w:rFonts w:ascii="Times New Roman" w:hAnsi="Times New Roman" w:eastAsia="宋体" w:cs="Times New Roman"/>
                      <w:bCs/>
                      <w:color w:val="auto"/>
                      <w:spacing w:val="20"/>
                      <w:szCs w:val="21"/>
                      <w:highlight w:val="none"/>
                    </w:rPr>
                  </w:pPr>
                  <w:r>
                    <w:rPr>
                      <w:rFonts w:hint="eastAsia" w:ascii="Times New Roman" w:hAnsi="Times New Roman" w:eastAsia="宋体" w:cs="Times New Roman"/>
                      <w:bCs/>
                      <w:color w:val="auto"/>
                      <w:spacing w:val="20"/>
                      <w:szCs w:val="21"/>
                      <w:highlight w:val="none"/>
                    </w:rPr>
                    <w:t>袋装</w:t>
                  </w:r>
                </w:p>
              </w:tc>
              <w:tc>
                <w:tcPr>
                  <w:tcW w:w="1385" w:type="dxa"/>
                  <w:tcBorders>
                    <w:tl2br w:val="nil"/>
                    <w:tr2bl w:val="nil"/>
                  </w:tcBorders>
                  <w:vAlign w:val="center"/>
                </w:tcPr>
                <w:p>
                  <w:pPr>
                    <w:jc w:val="center"/>
                    <w:rPr>
                      <w:rFonts w:ascii="Times New Roman" w:hAnsi="Times New Roman" w:eastAsia="宋体" w:cs="Times New Roman"/>
                      <w:bCs/>
                      <w:color w:val="auto"/>
                      <w:spacing w:val="20"/>
                      <w:szCs w:val="21"/>
                      <w:highlight w:val="none"/>
                    </w:rPr>
                  </w:pPr>
                  <w:r>
                    <w:rPr>
                      <w:rFonts w:hint="eastAsia" w:ascii="Times New Roman" w:hAnsi="Times New Roman" w:eastAsia="宋体" w:cs="Times New Roman"/>
                      <w:bCs/>
                      <w:color w:val="auto"/>
                      <w:spacing w:val="20"/>
                      <w:szCs w:val="21"/>
                      <w:highlight w:val="none"/>
                    </w:rPr>
                    <w:t>10t</w:t>
                  </w:r>
                </w:p>
              </w:tc>
            </w:tr>
          </w:tbl>
          <w:p>
            <w:pPr>
              <w:spacing w:before="156" w:beforeLines="50" w:line="276" w:lineRule="auto"/>
              <w:ind w:firstLine="482" w:firstLineChars="200"/>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4、项目主要原材料理化性质</w:t>
            </w:r>
          </w:p>
          <w:p>
            <w:pPr>
              <w:widowControl/>
              <w:spacing w:line="360" w:lineRule="auto"/>
              <w:ind w:firstLine="562" w:firstLineChars="200"/>
              <w:rPr>
                <w:rFonts w:ascii="Times New Roman" w:hAnsi="Times New Roman" w:eastAsia="宋体" w:cs="Times New Roman"/>
                <w:color w:val="auto"/>
                <w:sz w:val="24"/>
                <w:highlight w:val="none"/>
              </w:rPr>
            </w:pPr>
            <w:r>
              <w:rPr>
                <w:rFonts w:ascii="Times New Roman" w:hAnsi="Times New Roman" w:eastAsia="宋体" w:cs="Times New Roman"/>
                <w:b/>
                <w:color w:val="auto"/>
                <w:spacing w:val="20"/>
                <w:sz w:val="24"/>
                <w:highlight w:val="none"/>
              </w:rPr>
              <w:t>EPS（聚苯乙烯）</w:t>
            </w:r>
            <w:r>
              <w:rPr>
                <w:rFonts w:ascii="Times New Roman" w:hAnsi="Times New Roman" w:eastAsia="宋体" w:cs="Times New Roman"/>
                <w:bCs/>
                <w:color w:val="auto"/>
                <w:spacing w:val="20"/>
                <w:sz w:val="24"/>
                <w:highlight w:val="none"/>
              </w:rPr>
              <w:t>：</w:t>
            </w:r>
            <w:r>
              <w:rPr>
                <w:rFonts w:ascii="Times New Roman" w:hAnsi="Times New Roman" w:eastAsia="宋体" w:cs="Times New Roman"/>
                <w:color w:val="auto"/>
                <w:kern w:val="0"/>
                <w:sz w:val="24"/>
                <w:highlight w:val="none"/>
              </w:rPr>
              <w:t>Expanded Polystyrene简称EPS，可发性聚苯乙烯泡沫颗粒，是一种轻型高分子聚合物。它是采用聚苯乙烯树脂加入发泡剂，同时加热进行软化，产生气体，形成一种硬质闭孔结构的泡沫塑料。外观呈白色颗粒状，粒径均匀，相对密度1.05，发泡率40-70倍，单位质量0.018g/cm，阻燃指数＞30。热导率低，耐冲击、振动、隔热、隔音、防潮。EPS具有吸水性小，保温性好，质量轻及较高的机械强度等特点。</w:t>
            </w:r>
            <w:r>
              <w:rPr>
                <w:rFonts w:ascii="Times New Roman" w:hAnsi="Times New Roman" w:eastAsia="宋体" w:cs="Times New Roman"/>
                <w:color w:val="auto"/>
                <w:sz w:val="24"/>
                <w:highlight w:val="none"/>
              </w:rPr>
              <w:t>主要用于发泡成型，用作保温、隔热、防震、包装材料及漂浮制品。通用型（R）适用于包装材料；阻燃型（F）适用于建筑、绝热材料。</w:t>
            </w:r>
          </w:p>
          <w:p>
            <w:pPr>
              <w:pStyle w:val="10"/>
              <w:spacing w:line="360" w:lineRule="auto"/>
              <w:ind w:firstLine="482" w:firstLineChars="200"/>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5、主要设备</w:t>
            </w:r>
          </w:p>
          <w:p>
            <w:pPr>
              <w:spacing w:line="276" w:lineRule="auto"/>
              <w:jc w:val="center"/>
              <w:rPr>
                <w:rFonts w:ascii="Times New Roman" w:hAnsi="Times New Roman" w:cs="Times New Roman"/>
                <w:b/>
                <w:bCs/>
                <w:color w:val="auto"/>
                <w:sz w:val="24"/>
                <w:highlight w:val="none"/>
              </w:rPr>
            </w:pPr>
            <w:r>
              <w:rPr>
                <w:rFonts w:ascii="Times New Roman" w:hAnsi="Times New Roman" w:cs="Times New Roman"/>
                <w:b/>
                <w:bCs/>
                <w:color w:val="auto"/>
                <w:sz w:val="24"/>
                <w:highlight w:val="none"/>
              </w:rPr>
              <w:t>表</w:t>
            </w:r>
            <w:r>
              <w:rPr>
                <w:rFonts w:hint="eastAsia" w:ascii="Times New Roman" w:hAnsi="Times New Roman" w:cs="Times New Roman"/>
                <w:b/>
                <w:bCs/>
                <w:color w:val="auto"/>
                <w:sz w:val="24"/>
                <w:highlight w:val="none"/>
              </w:rPr>
              <w:t xml:space="preserve">1-5 </w:t>
            </w:r>
            <w:r>
              <w:rPr>
                <w:rFonts w:ascii="Times New Roman" w:hAnsi="Times New Roman" w:cs="Times New Roman"/>
                <w:b/>
                <w:bCs/>
                <w:color w:val="auto"/>
                <w:sz w:val="24"/>
                <w:highlight w:val="none"/>
              </w:rPr>
              <w:t>项目主要设备</w:t>
            </w:r>
          </w:p>
          <w:tbl>
            <w:tblPr>
              <w:tblStyle w:val="22"/>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1897"/>
              <w:gridCol w:w="1662"/>
              <w:gridCol w:w="1663"/>
              <w:gridCol w:w="16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1399" w:type="dxa"/>
                  <w:tcBorders>
                    <w:tl2br w:val="nil"/>
                    <w:tr2bl w:val="nil"/>
                  </w:tcBorders>
                  <w:vAlign w:val="center"/>
                </w:tcPr>
                <w:p>
                  <w:pPr>
                    <w:spacing w:line="360" w:lineRule="auto"/>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序号</w:t>
                  </w:r>
                </w:p>
              </w:tc>
              <w:tc>
                <w:tcPr>
                  <w:tcW w:w="1897" w:type="dxa"/>
                  <w:tcBorders>
                    <w:tl2br w:val="nil"/>
                    <w:tr2bl w:val="nil"/>
                  </w:tcBorders>
                  <w:vAlign w:val="center"/>
                </w:tcPr>
                <w:p>
                  <w:pPr>
                    <w:spacing w:line="360" w:lineRule="auto"/>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设备</w:t>
                  </w:r>
                </w:p>
              </w:tc>
              <w:tc>
                <w:tcPr>
                  <w:tcW w:w="1662" w:type="dxa"/>
                  <w:tcBorders>
                    <w:tl2br w:val="nil"/>
                    <w:tr2bl w:val="nil"/>
                  </w:tcBorders>
                  <w:vAlign w:val="center"/>
                </w:tcPr>
                <w:p>
                  <w:pPr>
                    <w:spacing w:line="360" w:lineRule="auto"/>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型号</w:t>
                  </w:r>
                </w:p>
              </w:tc>
              <w:tc>
                <w:tcPr>
                  <w:tcW w:w="1663" w:type="dxa"/>
                  <w:tcBorders>
                    <w:tl2br w:val="nil"/>
                    <w:tr2bl w:val="nil"/>
                  </w:tcBorders>
                  <w:vAlign w:val="center"/>
                </w:tcPr>
                <w:p>
                  <w:pPr>
                    <w:spacing w:line="360" w:lineRule="auto"/>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数量</w:t>
                  </w:r>
                </w:p>
              </w:tc>
              <w:tc>
                <w:tcPr>
                  <w:tcW w:w="1655" w:type="dxa"/>
                  <w:tcBorders>
                    <w:tl2br w:val="nil"/>
                    <w:tr2bl w:val="nil"/>
                  </w:tcBorders>
                  <w:vAlign w:val="center"/>
                </w:tcPr>
                <w:p>
                  <w:pPr>
                    <w:spacing w:line="360" w:lineRule="auto"/>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jc w:val="center"/>
              </w:trPr>
              <w:tc>
                <w:tcPr>
                  <w:tcW w:w="1399" w:type="dxa"/>
                  <w:tcBorders>
                    <w:tl2br w:val="nil"/>
                    <w:tr2bl w:val="nil"/>
                  </w:tcBorders>
                  <w:vAlign w:val="center"/>
                </w:tcPr>
                <w:p>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w:t>
                  </w:r>
                </w:p>
              </w:tc>
              <w:tc>
                <w:tcPr>
                  <w:tcW w:w="1897" w:type="dxa"/>
                  <w:tcBorders>
                    <w:tl2br w:val="nil"/>
                    <w:tr2bl w:val="nil"/>
                  </w:tcBorders>
                  <w:vAlign w:val="center"/>
                </w:tcPr>
                <w:p>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发泡机</w:t>
                  </w:r>
                </w:p>
              </w:tc>
              <w:tc>
                <w:tcPr>
                  <w:tcW w:w="1662" w:type="dxa"/>
                  <w:tcBorders>
                    <w:tl2br w:val="nil"/>
                    <w:tr2bl w:val="nil"/>
                  </w:tcBorders>
                  <w:vAlign w:val="center"/>
                </w:tcPr>
                <w:p>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110</w:t>
                  </w:r>
                </w:p>
              </w:tc>
              <w:tc>
                <w:tcPr>
                  <w:tcW w:w="1663" w:type="dxa"/>
                  <w:tcBorders>
                    <w:tl2br w:val="nil"/>
                    <w:tr2bl w:val="nil"/>
                  </w:tcBorders>
                  <w:vAlign w:val="center"/>
                </w:tcPr>
                <w:p>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w:t>
                  </w:r>
                </w:p>
              </w:tc>
              <w:tc>
                <w:tcPr>
                  <w:tcW w:w="1655" w:type="dxa"/>
                  <w:tcBorders>
                    <w:tl2br w:val="nil"/>
                    <w:tr2bl w:val="nil"/>
                  </w:tcBorders>
                  <w:vAlign w:val="center"/>
                </w:tcPr>
                <w:p>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发料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jc w:val="center"/>
              </w:trPr>
              <w:tc>
                <w:tcPr>
                  <w:tcW w:w="1399" w:type="dxa"/>
                  <w:tcBorders>
                    <w:tl2br w:val="nil"/>
                    <w:tr2bl w:val="nil"/>
                  </w:tcBorders>
                  <w:vAlign w:val="center"/>
                </w:tcPr>
                <w:p>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w:t>
                  </w:r>
                </w:p>
              </w:tc>
              <w:tc>
                <w:tcPr>
                  <w:tcW w:w="1897" w:type="dxa"/>
                  <w:tcBorders>
                    <w:tl2br w:val="nil"/>
                    <w:tr2bl w:val="nil"/>
                  </w:tcBorders>
                  <w:vAlign w:val="center"/>
                </w:tcPr>
                <w:p>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成型机</w:t>
                  </w:r>
                </w:p>
              </w:tc>
              <w:tc>
                <w:tcPr>
                  <w:tcW w:w="1662" w:type="dxa"/>
                  <w:tcBorders>
                    <w:tl2br w:val="nil"/>
                    <w:tr2bl w:val="nil"/>
                  </w:tcBorders>
                  <w:vAlign w:val="center"/>
                </w:tcPr>
                <w:p>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140</w:t>
                  </w:r>
                </w:p>
              </w:tc>
              <w:tc>
                <w:tcPr>
                  <w:tcW w:w="1663" w:type="dxa"/>
                  <w:tcBorders>
                    <w:tl2br w:val="nil"/>
                    <w:tr2bl w:val="nil"/>
                  </w:tcBorders>
                  <w:vAlign w:val="center"/>
                </w:tcPr>
                <w:p>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5</w:t>
                  </w:r>
                </w:p>
              </w:tc>
              <w:tc>
                <w:tcPr>
                  <w:tcW w:w="1655" w:type="dxa"/>
                  <w:tcBorders>
                    <w:tl2br w:val="nil"/>
                    <w:tr2bl w:val="nil"/>
                  </w:tcBorders>
                  <w:vAlign w:val="center"/>
                </w:tcPr>
                <w:p>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成型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jc w:val="center"/>
              </w:trPr>
              <w:tc>
                <w:tcPr>
                  <w:tcW w:w="1399" w:type="dxa"/>
                  <w:tcBorders>
                    <w:tl2br w:val="nil"/>
                    <w:tr2bl w:val="nil"/>
                  </w:tcBorders>
                  <w:vAlign w:val="center"/>
                </w:tcPr>
                <w:p>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3</w:t>
                  </w:r>
                </w:p>
              </w:tc>
              <w:tc>
                <w:tcPr>
                  <w:tcW w:w="1897" w:type="dxa"/>
                  <w:tcBorders>
                    <w:tl2br w:val="nil"/>
                    <w:tr2bl w:val="nil"/>
                  </w:tcBorders>
                  <w:vAlign w:val="center"/>
                </w:tcPr>
                <w:p>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成型机</w:t>
                  </w:r>
                </w:p>
              </w:tc>
              <w:tc>
                <w:tcPr>
                  <w:tcW w:w="1662" w:type="dxa"/>
                  <w:tcBorders>
                    <w:tl2br w:val="nil"/>
                    <w:tr2bl w:val="nil"/>
                  </w:tcBorders>
                  <w:vAlign w:val="center"/>
                </w:tcPr>
                <w:p>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170</w:t>
                  </w:r>
                </w:p>
              </w:tc>
              <w:tc>
                <w:tcPr>
                  <w:tcW w:w="1663" w:type="dxa"/>
                  <w:tcBorders>
                    <w:tl2br w:val="nil"/>
                    <w:tr2bl w:val="nil"/>
                  </w:tcBorders>
                  <w:vAlign w:val="center"/>
                </w:tcPr>
                <w:p>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w:t>
                  </w:r>
                </w:p>
              </w:tc>
              <w:tc>
                <w:tcPr>
                  <w:tcW w:w="1655" w:type="dxa"/>
                  <w:tcBorders>
                    <w:tl2br w:val="nil"/>
                    <w:tr2bl w:val="nil"/>
                  </w:tcBorders>
                  <w:vAlign w:val="center"/>
                </w:tcPr>
                <w:p>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成型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jc w:val="center"/>
              </w:trPr>
              <w:tc>
                <w:tcPr>
                  <w:tcW w:w="1399" w:type="dxa"/>
                  <w:tcBorders>
                    <w:tl2br w:val="nil"/>
                    <w:tr2bl w:val="nil"/>
                  </w:tcBorders>
                  <w:vAlign w:val="center"/>
                </w:tcPr>
                <w:p>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w:t>
                  </w:r>
                </w:p>
              </w:tc>
              <w:tc>
                <w:tcPr>
                  <w:tcW w:w="1897" w:type="dxa"/>
                  <w:tcBorders>
                    <w:tl2br w:val="nil"/>
                    <w:tr2bl w:val="nil"/>
                  </w:tcBorders>
                </w:tcPr>
                <w:p>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空压机</w:t>
                  </w:r>
                </w:p>
              </w:tc>
              <w:tc>
                <w:tcPr>
                  <w:tcW w:w="1662" w:type="dxa"/>
                  <w:tcBorders>
                    <w:tl2br w:val="nil"/>
                    <w:tr2bl w:val="nil"/>
                  </w:tcBorders>
                  <w:vAlign w:val="center"/>
                </w:tcPr>
                <w:p>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45kw</w:t>
                  </w:r>
                </w:p>
              </w:tc>
              <w:tc>
                <w:tcPr>
                  <w:tcW w:w="1663" w:type="dxa"/>
                  <w:tcBorders>
                    <w:tl2br w:val="nil"/>
                    <w:tr2bl w:val="nil"/>
                  </w:tcBorders>
                </w:tcPr>
                <w:p>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w:t>
                  </w:r>
                </w:p>
              </w:tc>
              <w:tc>
                <w:tcPr>
                  <w:tcW w:w="1655" w:type="dxa"/>
                  <w:tcBorders>
                    <w:tl2br w:val="nil"/>
                    <w:tr2bl w:val="nil"/>
                  </w:tcBorders>
                </w:tcPr>
                <w:p>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成型机用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jc w:val="center"/>
              </w:trPr>
              <w:tc>
                <w:tcPr>
                  <w:tcW w:w="1399" w:type="dxa"/>
                  <w:tcBorders>
                    <w:tl2br w:val="nil"/>
                    <w:tr2bl w:val="nil"/>
                  </w:tcBorders>
                  <w:vAlign w:val="center"/>
                </w:tcPr>
                <w:p>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5</w:t>
                  </w:r>
                </w:p>
              </w:tc>
              <w:tc>
                <w:tcPr>
                  <w:tcW w:w="1897" w:type="dxa"/>
                  <w:tcBorders>
                    <w:tl2br w:val="nil"/>
                    <w:tr2bl w:val="nil"/>
                  </w:tcBorders>
                </w:tcPr>
                <w:p>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空压机</w:t>
                  </w:r>
                </w:p>
              </w:tc>
              <w:tc>
                <w:tcPr>
                  <w:tcW w:w="1662" w:type="dxa"/>
                  <w:tcBorders>
                    <w:tl2br w:val="nil"/>
                    <w:tr2bl w:val="nil"/>
                  </w:tcBorders>
                </w:tcPr>
                <w:p>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90kw</w:t>
                  </w:r>
                </w:p>
              </w:tc>
              <w:tc>
                <w:tcPr>
                  <w:tcW w:w="1663" w:type="dxa"/>
                  <w:tcBorders>
                    <w:tl2br w:val="nil"/>
                    <w:tr2bl w:val="nil"/>
                  </w:tcBorders>
                </w:tcPr>
                <w:p>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w:t>
                  </w:r>
                </w:p>
              </w:tc>
              <w:tc>
                <w:tcPr>
                  <w:tcW w:w="1655" w:type="dxa"/>
                  <w:tcBorders>
                    <w:tl2br w:val="nil"/>
                    <w:tr2bl w:val="nil"/>
                  </w:tcBorders>
                </w:tcPr>
                <w:p>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成型机用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jc w:val="center"/>
              </w:trPr>
              <w:tc>
                <w:tcPr>
                  <w:tcW w:w="1399" w:type="dxa"/>
                  <w:tcBorders>
                    <w:tl2br w:val="nil"/>
                    <w:tr2bl w:val="nil"/>
                  </w:tcBorders>
                  <w:vAlign w:val="center"/>
                </w:tcPr>
                <w:p>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6</w:t>
                  </w:r>
                </w:p>
              </w:tc>
              <w:tc>
                <w:tcPr>
                  <w:tcW w:w="1897" w:type="dxa"/>
                  <w:tcBorders>
                    <w:tl2br w:val="nil"/>
                    <w:tr2bl w:val="nil"/>
                  </w:tcBorders>
                </w:tcPr>
                <w:p>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冷却塔</w:t>
                  </w:r>
                </w:p>
              </w:tc>
              <w:tc>
                <w:tcPr>
                  <w:tcW w:w="1662" w:type="dxa"/>
                  <w:tcBorders>
                    <w:tl2br w:val="nil"/>
                    <w:tr2bl w:val="nil"/>
                  </w:tcBorders>
                </w:tcPr>
                <w:p>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22kw</w:t>
                  </w:r>
                </w:p>
              </w:tc>
              <w:tc>
                <w:tcPr>
                  <w:tcW w:w="1663" w:type="dxa"/>
                  <w:tcBorders>
                    <w:tl2br w:val="nil"/>
                    <w:tr2bl w:val="nil"/>
                  </w:tcBorders>
                </w:tcPr>
                <w:p>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w:t>
                  </w:r>
                </w:p>
              </w:tc>
              <w:tc>
                <w:tcPr>
                  <w:tcW w:w="1655" w:type="dxa"/>
                  <w:tcBorders>
                    <w:tl2br w:val="nil"/>
                    <w:tr2bl w:val="nil"/>
                  </w:tcBorders>
                </w:tcPr>
                <w:p>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冷却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9" w:hRule="atLeast"/>
                <w:jc w:val="center"/>
              </w:trPr>
              <w:tc>
                <w:tcPr>
                  <w:tcW w:w="1399" w:type="dxa"/>
                  <w:tcBorders>
                    <w:tl2br w:val="nil"/>
                    <w:tr2bl w:val="nil"/>
                  </w:tcBorders>
                  <w:vAlign w:val="center"/>
                </w:tcPr>
                <w:p>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7</w:t>
                  </w:r>
                </w:p>
              </w:tc>
              <w:tc>
                <w:tcPr>
                  <w:tcW w:w="1897" w:type="dxa"/>
                  <w:tcBorders>
                    <w:tl2br w:val="nil"/>
                    <w:tr2bl w:val="nil"/>
                  </w:tcBorders>
                </w:tcPr>
                <w:p>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冷却塔顶马达</w:t>
                  </w:r>
                </w:p>
              </w:tc>
              <w:tc>
                <w:tcPr>
                  <w:tcW w:w="1662" w:type="dxa"/>
                  <w:tcBorders>
                    <w:tl2br w:val="nil"/>
                    <w:tr2bl w:val="nil"/>
                  </w:tcBorders>
                </w:tcPr>
                <w:p>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5kw</w:t>
                  </w:r>
                </w:p>
              </w:tc>
              <w:tc>
                <w:tcPr>
                  <w:tcW w:w="1663" w:type="dxa"/>
                  <w:tcBorders>
                    <w:tl2br w:val="nil"/>
                    <w:tr2bl w:val="nil"/>
                  </w:tcBorders>
                </w:tcPr>
                <w:p>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w:t>
                  </w:r>
                </w:p>
              </w:tc>
              <w:tc>
                <w:tcPr>
                  <w:tcW w:w="1655" w:type="dxa"/>
                  <w:tcBorders>
                    <w:tl2br w:val="nil"/>
                    <w:tr2bl w:val="nil"/>
                  </w:tcBorders>
                </w:tcPr>
                <w:p>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辅助生产</w:t>
                  </w:r>
                </w:p>
              </w:tc>
            </w:tr>
          </w:tbl>
          <w:p>
            <w:pPr>
              <w:ind w:firstLine="436"/>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说明：项目不设备用发电机和锅炉，所有设备均使用电能。项目生产设备不属于《产业结构调整指导目录(2011 年本)》（发展改革委令2011 第9 号）及《国家发展改革委关于修改&lt;产业结构调整指导目录（2011 年本）&gt;有关条款的决定》、《广东省主体功能区产业准入负面清单（2018年本）》中的限制或禁止类别。</w:t>
            </w:r>
          </w:p>
          <w:p>
            <w:pPr>
              <w:spacing w:line="360" w:lineRule="auto"/>
              <w:ind w:firstLine="482" w:firstLineChars="200"/>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6、工作制度</w:t>
            </w:r>
          </w:p>
          <w:p>
            <w:pPr>
              <w:spacing w:line="360" w:lineRule="auto"/>
              <w:jc w:val="center"/>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表</w:t>
            </w:r>
            <w:r>
              <w:rPr>
                <w:rFonts w:hint="eastAsia" w:ascii="Times New Roman" w:hAnsi="Times New Roman" w:eastAsia="宋体" w:cs="Times New Roman"/>
                <w:b/>
                <w:color w:val="auto"/>
                <w:sz w:val="24"/>
                <w:highlight w:val="none"/>
              </w:rPr>
              <w:t>1-6</w:t>
            </w:r>
            <w:r>
              <w:rPr>
                <w:rFonts w:ascii="Times New Roman" w:hAnsi="Times New Roman" w:eastAsia="宋体" w:cs="Times New Roman"/>
                <w:b/>
                <w:color w:val="auto"/>
                <w:sz w:val="24"/>
                <w:highlight w:val="none"/>
              </w:rPr>
              <w:t>项目员工工作制度</w:t>
            </w:r>
          </w:p>
          <w:tbl>
            <w:tblPr>
              <w:tblStyle w:val="23"/>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62"/>
              <w:gridCol w:w="61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2162" w:type="dxa"/>
                  <w:tcBorders>
                    <w:tl2br w:val="nil"/>
                    <w:tr2bl w:val="nil"/>
                  </w:tcBorders>
                </w:tcPr>
                <w:p>
                  <w:pPr>
                    <w:spacing w:line="360" w:lineRule="auto"/>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劳动定员</w:t>
                  </w:r>
                </w:p>
              </w:tc>
              <w:tc>
                <w:tcPr>
                  <w:tcW w:w="6114" w:type="dxa"/>
                  <w:tcBorders>
                    <w:tl2br w:val="nil"/>
                    <w:tr2bl w:val="nil"/>
                  </w:tcBorders>
                </w:tcPr>
                <w:p>
                  <w:pPr>
                    <w:spacing w:line="360" w:lineRule="auto"/>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员工人数为20人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2162" w:type="dxa"/>
                  <w:tcBorders>
                    <w:tl2br w:val="nil"/>
                    <w:tr2bl w:val="nil"/>
                  </w:tcBorders>
                </w:tcPr>
                <w:p>
                  <w:pPr>
                    <w:spacing w:line="360" w:lineRule="auto"/>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工作制度</w:t>
                  </w:r>
                </w:p>
              </w:tc>
              <w:tc>
                <w:tcPr>
                  <w:tcW w:w="6114" w:type="dxa"/>
                  <w:tcBorders>
                    <w:tl2br w:val="nil"/>
                    <w:tr2bl w:val="nil"/>
                  </w:tcBorders>
                </w:tcPr>
                <w:p>
                  <w:pPr>
                    <w:spacing w:line="360" w:lineRule="auto"/>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年工作300日，日工作16小时，每天生产两班制</w:t>
                  </w:r>
                  <w:r>
                    <w:rPr>
                      <w:rFonts w:hint="eastAsia" w:ascii="Times New Roman" w:hAnsi="Times New Roman" w:eastAsia="宋体" w:cs="Times New Roman"/>
                      <w:bCs/>
                      <w:color w:val="auto"/>
                      <w:szCs w:val="21"/>
                      <w:highlight w:val="none"/>
                    </w:rPr>
                    <w:t>，每班8小时</w:t>
                  </w:r>
                </w:p>
              </w:tc>
            </w:tr>
          </w:tbl>
          <w:p>
            <w:pPr>
              <w:snapToGrid w:val="0"/>
              <w:spacing w:line="360" w:lineRule="auto"/>
              <w:ind w:firstLine="498"/>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7.市政公用工程</w:t>
            </w:r>
          </w:p>
          <w:p>
            <w:pPr>
              <w:snapToGrid w:val="0"/>
              <w:spacing w:line="360" w:lineRule="auto"/>
              <w:ind w:firstLine="498"/>
              <w:rPr>
                <w:rFonts w:ascii="Times New Roman" w:hAnsi="Times New Roman" w:eastAsia="宋体" w:cs="Times New Roman"/>
                <w:color w:val="auto"/>
                <w:sz w:val="24"/>
                <w:highlight w:val="none"/>
              </w:rPr>
            </w:pPr>
            <w:r>
              <w:rPr>
                <w:rFonts w:ascii="Times New Roman" w:hAnsi="Times New Roman" w:eastAsia="宋体" w:cs="Times New Roman"/>
                <w:b/>
                <w:bCs/>
                <w:color w:val="auto"/>
                <w:sz w:val="24"/>
                <w:highlight w:val="none"/>
              </w:rPr>
              <w:t>7.1原辅材料及产品的储运方式：</w:t>
            </w:r>
            <w:r>
              <w:rPr>
                <w:rFonts w:ascii="Times New Roman" w:hAnsi="Times New Roman" w:eastAsia="宋体" w:cs="Times New Roman"/>
                <w:color w:val="auto"/>
                <w:sz w:val="24"/>
                <w:highlight w:val="none"/>
              </w:rPr>
              <w:t>厂外运输委托社会运输力量承担，厂内运输采用叉车或人力。</w:t>
            </w:r>
          </w:p>
          <w:p>
            <w:pPr>
              <w:snapToGrid w:val="0"/>
              <w:spacing w:line="360" w:lineRule="auto"/>
              <w:ind w:firstLine="498"/>
              <w:rPr>
                <w:rFonts w:ascii="Times New Roman" w:hAnsi="Times New Roman" w:eastAsia="宋体" w:cs="Times New Roman"/>
                <w:color w:val="auto"/>
                <w:sz w:val="24"/>
                <w:highlight w:val="none"/>
              </w:rPr>
            </w:pPr>
            <w:r>
              <w:rPr>
                <w:rFonts w:ascii="Times New Roman" w:hAnsi="Times New Roman" w:eastAsia="宋体" w:cs="Times New Roman"/>
                <w:b/>
                <w:bCs/>
                <w:color w:val="auto"/>
                <w:sz w:val="24"/>
                <w:highlight w:val="none"/>
              </w:rPr>
              <w:t>7.2给水系统：</w:t>
            </w:r>
            <w:r>
              <w:rPr>
                <w:rFonts w:ascii="Times New Roman" w:hAnsi="Times New Roman" w:eastAsia="宋体" w:cs="Times New Roman"/>
                <w:color w:val="auto"/>
                <w:sz w:val="24"/>
                <w:highlight w:val="none"/>
              </w:rPr>
              <w:t>项目用水由市政自来水管网供水。</w:t>
            </w:r>
          </w:p>
          <w:p>
            <w:pPr>
              <w:snapToGrid w:val="0"/>
              <w:spacing w:line="360" w:lineRule="auto"/>
              <w:ind w:firstLine="498"/>
              <w:rPr>
                <w:rFonts w:ascii="Times New Roman" w:hAnsi="Times New Roman" w:eastAsia="宋体" w:cs="Times New Roman"/>
                <w:color w:val="auto"/>
                <w:sz w:val="24"/>
                <w:highlight w:val="none"/>
              </w:rPr>
            </w:pPr>
            <w:r>
              <w:rPr>
                <w:rFonts w:ascii="Times New Roman" w:hAnsi="Times New Roman" w:eastAsia="宋体" w:cs="Times New Roman"/>
                <w:b/>
                <w:bCs/>
                <w:color w:val="auto"/>
                <w:sz w:val="24"/>
                <w:highlight w:val="none"/>
              </w:rPr>
              <w:t>项目用水情况：</w:t>
            </w:r>
            <w:r>
              <w:rPr>
                <w:rFonts w:ascii="Times New Roman" w:hAnsi="Times New Roman" w:eastAsia="宋体" w:cs="Times New Roman"/>
                <w:color w:val="auto"/>
                <w:sz w:val="24"/>
                <w:highlight w:val="none"/>
              </w:rPr>
              <w:t>项目用水主要为员工生活用水和冷却塔补充用水。项目员工20人，均在项目内食宿，用水量按0.08t/人·d计，生活用水量为480t/a。根据建设方提供的资料，项目冷却塔补充用水量为69.6t/a。</w:t>
            </w:r>
          </w:p>
          <w:p>
            <w:pPr>
              <w:snapToGrid w:val="0"/>
              <w:spacing w:line="360" w:lineRule="auto"/>
              <w:ind w:firstLine="498"/>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7.3排水系统：</w:t>
            </w:r>
          </w:p>
          <w:p>
            <w:pPr>
              <w:snapToGrid w:val="0"/>
              <w:spacing w:line="360" w:lineRule="auto"/>
              <w:ind w:firstLine="496"/>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mc:AlternateContent>
                <mc:Choice Requires="wps">
                  <w:drawing>
                    <wp:anchor distT="0" distB="0" distL="114300" distR="114300" simplePos="0" relativeHeight="251563008" behindDoc="0" locked="0" layoutInCell="1" allowOverlap="1">
                      <wp:simplePos x="0" y="0"/>
                      <wp:positionH relativeFrom="column">
                        <wp:posOffset>1316355</wp:posOffset>
                      </wp:positionH>
                      <wp:positionV relativeFrom="paragraph">
                        <wp:posOffset>1410970</wp:posOffset>
                      </wp:positionV>
                      <wp:extent cx="857250" cy="504190"/>
                      <wp:effectExtent l="0" t="0" r="0" b="0"/>
                      <wp:wrapNone/>
                      <wp:docPr id="110" name="文本框 118"/>
                      <wp:cNvGraphicFramePr/>
                      <a:graphic xmlns:a="http://schemas.openxmlformats.org/drawingml/2006/main">
                        <a:graphicData uri="http://schemas.microsoft.com/office/word/2010/wordprocessingShape">
                          <wps:wsp>
                            <wps:cNvSpPr txBox="1"/>
                            <wps:spPr>
                              <a:xfrm>
                                <a:off x="0" y="0"/>
                                <a:ext cx="857250" cy="504190"/>
                              </a:xfrm>
                              <a:prstGeom prst="rect">
                                <a:avLst/>
                              </a:prstGeom>
                              <a:noFill/>
                              <a:ln>
                                <a:noFill/>
                              </a:ln>
                            </wps:spPr>
                            <wps:txbx>
                              <w:txbxContent>
                                <w:p>
                                  <w:pPr>
                                    <w:jc w:val="center"/>
                                    <w:rPr>
                                      <w:rFonts w:eastAsia="宋体"/>
                                      <w:szCs w:val="21"/>
                                    </w:rPr>
                                  </w:pPr>
                                  <w:r>
                                    <w:rPr>
                                      <w:rFonts w:hint="eastAsia" w:eastAsia="宋体"/>
                                      <w:szCs w:val="21"/>
                                    </w:rPr>
                                    <w:t>循环使用</w:t>
                                  </w:r>
                                </w:p>
                                <w:p>
                                  <w:pPr>
                                    <w:pStyle w:val="24"/>
                                    <w:jc w:val="center"/>
                                    <w:rPr>
                                      <w:sz w:val="21"/>
                                      <w:szCs w:val="21"/>
                                    </w:rPr>
                                  </w:pPr>
                                  <w:r>
                                    <w:rPr>
                                      <w:rFonts w:hint="eastAsia"/>
                                      <w:sz w:val="21"/>
                                      <w:szCs w:val="21"/>
                                    </w:rPr>
                                    <w:t>1m</w:t>
                                  </w:r>
                                  <w:r>
                                    <w:rPr>
                                      <w:rFonts w:hint="eastAsia"/>
                                      <w:sz w:val="21"/>
                                      <w:szCs w:val="21"/>
                                      <w:vertAlign w:val="superscript"/>
                                    </w:rPr>
                                    <w:t>3</w:t>
                                  </w:r>
                                  <w:r>
                                    <w:rPr>
                                      <w:rFonts w:hint="eastAsia"/>
                                      <w:sz w:val="21"/>
                                      <w:szCs w:val="21"/>
                                    </w:rPr>
                                    <w:t>/h</w:t>
                                  </w:r>
                                </w:p>
                              </w:txbxContent>
                            </wps:txbx>
                            <wps:bodyPr upright="1"/>
                          </wps:wsp>
                        </a:graphicData>
                      </a:graphic>
                    </wp:anchor>
                  </w:drawing>
                </mc:Choice>
                <mc:Fallback>
                  <w:pict>
                    <v:shape id="文本框 118" o:spid="_x0000_s1026" o:spt="202" type="#_x0000_t202" style="position:absolute;left:0pt;margin-left:103.65pt;margin-top:111.1pt;height:39.7pt;width:67.5pt;z-index:251563008;mso-width-relative:page;mso-height-relative:page;" filled="f" stroked="f" coordsize="21600,21600" o:gfxdata="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QY4BS1gAAAAsBAAAPAAAAAAAAAAEAIAAAACIAAABkcnMv&#10;ZG93bnJldi54bWxQSwECFAAUAAAACACHTuJA8WxW05MBAAADAwAADgAAAAAAAAABACAAAAAlAQAA&#10;ZHJzL2Uyb0RvYy54bWxQSwUGAAAAAAYABgBZAQAAKgUAAAAA&#10;">
                      <v:fill on="f" focussize="0,0"/>
                      <v:stroke on="f"/>
                      <v:imagedata o:title=""/>
                      <o:lock v:ext="edit" aspectratio="f"/>
                      <v:textbox>
                        <w:txbxContent>
                          <w:p>
                            <w:pPr>
                              <w:jc w:val="center"/>
                              <w:rPr>
                                <w:rFonts w:eastAsia="宋体"/>
                                <w:szCs w:val="21"/>
                              </w:rPr>
                            </w:pPr>
                            <w:r>
                              <w:rPr>
                                <w:rFonts w:hint="eastAsia" w:eastAsia="宋体"/>
                                <w:szCs w:val="21"/>
                              </w:rPr>
                              <w:t>循环使用</w:t>
                            </w:r>
                          </w:p>
                          <w:p>
                            <w:pPr>
                              <w:pStyle w:val="24"/>
                              <w:jc w:val="center"/>
                              <w:rPr>
                                <w:sz w:val="21"/>
                                <w:szCs w:val="21"/>
                              </w:rPr>
                            </w:pPr>
                            <w:r>
                              <w:rPr>
                                <w:rFonts w:hint="eastAsia"/>
                                <w:sz w:val="21"/>
                                <w:szCs w:val="21"/>
                              </w:rPr>
                              <w:t>1m</w:t>
                            </w:r>
                            <w:r>
                              <w:rPr>
                                <w:rFonts w:hint="eastAsia"/>
                                <w:sz w:val="21"/>
                                <w:szCs w:val="21"/>
                                <w:vertAlign w:val="superscript"/>
                              </w:rPr>
                              <w:t>3</w:t>
                            </w:r>
                            <w:r>
                              <w:rPr>
                                <w:rFonts w:hint="eastAsia"/>
                                <w:sz w:val="21"/>
                                <w:szCs w:val="21"/>
                              </w:rPr>
                              <w:t>/h</w:t>
                            </w:r>
                          </w:p>
                        </w:txbxContent>
                      </v:textbox>
                    </v:shape>
                  </w:pict>
                </mc:Fallback>
              </mc:AlternateContent>
            </w:r>
            <w:r>
              <w:rPr>
                <w:rFonts w:ascii="Times New Roman" w:hAnsi="Times New Roman" w:eastAsia="宋体" w:cs="Times New Roman"/>
                <w:b/>
                <w:bCs/>
                <w:color w:val="auto"/>
                <w:sz w:val="24"/>
                <w:highlight w:val="none"/>
              </w:rPr>
              <w:t>项目排水情况：</w:t>
            </w:r>
            <w:r>
              <w:rPr>
                <w:rFonts w:ascii="Times New Roman" w:hAnsi="Times New Roman" w:eastAsia="宋体" w:cs="Times New Roman"/>
                <w:color w:val="auto"/>
                <w:sz w:val="24"/>
                <w:highlight w:val="none"/>
              </w:rPr>
              <w:t>本项目在生产过程中产生的冷却塔用水循环使用，仅需补充损耗水量，冷却塔定期排污，年产废水约2吨，该部分排污废水只是含盐度高，可作清净下水直接</w:t>
            </w:r>
            <w:r>
              <w:rPr>
                <w:rFonts w:hint="eastAsia" w:ascii="Times New Roman" w:hAnsi="Times New Roman" w:eastAsia="宋体" w:cs="Times New Roman"/>
                <w:color w:val="auto"/>
                <w:sz w:val="24"/>
                <w:highlight w:val="none"/>
              </w:rPr>
              <w:t>和生活污水一同处理</w:t>
            </w:r>
            <w:r>
              <w:rPr>
                <w:rFonts w:ascii="Times New Roman" w:hAnsi="Times New Roman" w:eastAsia="宋体" w:cs="Times New Roman"/>
                <w:color w:val="auto"/>
                <w:sz w:val="24"/>
                <w:highlight w:val="none"/>
              </w:rPr>
              <w:t>。项目外排污水为员工生活污水。</w:t>
            </w:r>
            <w:r>
              <w:rPr>
                <w:rFonts w:ascii="Times New Roman" w:hAnsi="Times New Roman" w:cs="Times New Roman"/>
                <w:color w:val="auto"/>
                <w:sz w:val="24"/>
                <w:highlight w:val="none"/>
              </w:rPr>
              <w:t>生活用水量为480</w:t>
            </w:r>
            <w:r>
              <w:rPr>
                <w:rFonts w:ascii="Times New Roman" w:hAnsi="Times New Roman" w:eastAsia="宋体" w:cs="Times New Roman"/>
                <w:color w:val="auto"/>
                <w:sz w:val="24"/>
                <w:highlight w:val="none"/>
              </w:rPr>
              <w:t>t/a</w:t>
            </w:r>
            <w:r>
              <w:rPr>
                <w:rFonts w:ascii="Times New Roman" w:hAnsi="Times New Roman" w:cs="Times New Roman"/>
                <w:color w:val="auto"/>
                <w:sz w:val="24"/>
                <w:highlight w:val="none"/>
              </w:rPr>
              <w:t>，排污系数按0.9计算，则生活污水排放量为432</w:t>
            </w:r>
            <w:r>
              <w:rPr>
                <w:rFonts w:ascii="Times New Roman" w:hAnsi="Times New Roman" w:eastAsia="宋体" w:cs="Times New Roman"/>
                <w:color w:val="auto"/>
                <w:sz w:val="24"/>
                <w:highlight w:val="none"/>
              </w:rPr>
              <w:t>t/a</w:t>
            </w:r>
            <w:r>
              <w:rPr>
                <w:rFonts w:ascii="Times New Roman" w:hAnsi="Times New Roman" w:cs="Times New Roman"/>
                <w:color w:val="auto"/>
                <w:sz w:val="24"/>
                <w:highlight w:val="none"/>
              </w:rPr>
              <w:t>。项目生活污水依托开平裕进纺织厂有限公司的厂区污水站处理</w:t>
            </w:r>
            <w:r>
              <w:rPr>
                <w:rFonts w:hint="eastAsia" w:ascii="Times New Roman" w:hAnsi="Times New Roman" w:cs="Times New Roman"/>
                <w:color w:val="auto"/>
                <w:sz w:val="24"/>
                <w:highlight w:val="none"/>
              </w:rPr>
              <w:t>。</w:t>
            </w:r>
            <w:r>
              <w:rPr>
                <w:rFonts w:ascii="Times New Roman" w:hAnsi="Times New Roman" w:eastAsia="宋体" w:cs="Times New Roman"/>
                <w:color w:val="auto"/>
                <w:sz w:val="24"/>
                <w:highlight w:val="none"/>
              </w:rPr>
              <w:t>项目水平衡图见下图1。</w:t>
            </w:r>
          </w:p>
          <w:p>
            <w:pPr>
              <w:pStyle w:val="24"/>
              <w:jc w:val="center"/>
              <w:rPr>
                <w:rFonts w:ascii="Times New Roman" w:hAnsi="Times New Roman" w:cs="Times New Roman"/>
                <w:color w:val="auto"/>
                <w:highlight w:val="none"/>
              </w:rPr>
            </w:pPr>
            <w:r>
              <w:rPr>
                <w:rFonts w:ascii="Times New Roman" w:hAnsi="Times New Roman" w:cs="Times New Roman"/>
                <w:color w:val="auto"/>
                <w:highlight w:val="none"/>
              </w:rPr>
              <mc:AlternateContent>
                <mc:Choice Requires="wps">
                  <w:drawing>
                    <wp:anchor distT="0" distB="0" distL="114300" distR="114300" simplePos="0" relativeHeight="251497472" behindDoc="0" locked="0" layoutInCell="1" allowOverlap="1">
                      <wp:simplePos x="0" y="0"/>
                      <wp:positionH relativeFrom="column">
                        <wp:posOffset>1221105</wp:posOffset>
                      </wp:positionH>
                      <wp:positionV relativeFrom="paragraph">
                        <wp:posOffset>10160</wp:posOffset>
                      </wp:positionV>
                      <wp:extent cx="635" cy="504825"/>
                      <wp:effectExtent l="4445" t="0" r="13970" b="9525"/>
                      <wp:wrapNone/>
                      <wp:docPr id="101" name="直线 119"/>
                      <wp:cNvGraphicFramePr/>
                      <a:graphic xmlns:a="http://schemas.openxmlformats.org/drawingml/2006/main">
                        <a:graphicData uri="http://schemas.microsoft.com/office/word/2010/wordprocessingShape">
                          <wps:wsp>
                            <wps:cNvCnPr/>
                            <wps:spPr>
                              <a:xfrm flipV="1">
                                <a:off x="0" y="0"/>
                                <a:ext cx="635" cy="504825"/>
                              </a:xfrm>
                              <a:prstGeom prst="line">
                                <a:avLst/>
                              </a:prstGeom>
                              <a:ln w="9525" cap="flat" cmpd="sng">
                                <a:solidFill>
                                  <a:srgbClr val="000000"/>
                                </a:solidFill>
                                <a:prstDash val="dash"/>
                                <a:headEnd type="none" w="med" len="med"/>
                                <a:tailEnd type="none" w="med" len="med"/>
                              </a:ln>
                            </wps:spPr>
                            <wps:bodyPr/>
                          </wps:wsp>
                        </a:graphicData>
                      </a:graphic>
                    </wp:anchor>
                  </w:drawing>
                </mc:Choice>
                <mc:Fallback>
                  <w:pict>
                    <v:line id="直线 119" o:spid="_x0000_s1026" o:spt="20" style="position:absolute;left:0pt;flip:y;margin-left:96.15pt;margin-top:0.8pt;height:39.75pt;width:0.05pt;z-index:251497472;mso-width-relative:page;mso-height-relative:page;" filled="f" stroked="t" coordsize="21600,21600" o:gfxdata="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gNALjTAAAACAEAAA8AAAAAAAAAAQAgAAAAIgAAAGRycy9k&#10;b3ducmV2LnhtbFBLAQIUABQAAAAIAIdO4kB5pVFuzgEAAI8DAAAOAAAAAAAAAAEAIAAAACIBAABk&#10;cnMvZTJvRG9jLnhtbFBLBQYAAAAABgAGAFkBAABiBQAAAAA=&#10;">
                      <v:fill on="f" focussize="0,0"/>
                      <v:stroke color="#000000" joinstyle="round" dashstyle="dash"/>
                      <v:imagedata o:title=""/>
                      <o:lock v:ext="edit" aspectratio="f"/>
                    </v:line>
                  </w:pict>
                </mc:Fallback>
              </mc:AlternateContent>
            </w:r>
            <w:r>
              <w:rPr>
                <w:rFonts w:ascii="Times New Roman" w:hAnsi="Times New Roman" w:cs="Times New Roman"/>
                <w:color w:val="auto"/>
                <w:highlight w:val="none"/>
              </w:rPr>
              <mc:AlternateContent>
                <mc:Choice Requires="wps">
                  <w:drawing>
                    <wp:anchor distT="0" distB="0" distL="114300" distR="114300" simplePos="0" relativeHeight="251279360" behindDoc="0" locked="0" layoutInCell="1" allowOverlap="1">
                      <wp:simplePos x="0" y="0"/>
                      <wp:positionH relativeFrom="column">
                        <wp:posOffset>2463165</wp:posOffset>
                      </wp:positionH>
                      <wp:positionV relativeFrom="paragraph">
                        <wp:posOffset>362585</wp:posOffset>
                      </wp:positionV>
                      <wp:extent cx="294005" cy="133985"/>
                      <wp:effectExtent l="0" t="0" r="10795" b="18415"/>
                      <wp:wrapNone/>
                      <wp:docPr id="78" name="矩形 120"/>
                      <wp:cNvGraphicFramePr/>
                      <a:graphic xmlns:a="http://schemas.openxmlformats.org/drawingml/2006/main">
                        <a:graphicData uri="http://schemas.microsoft.com/office/word/2010/wordprocessingShape">
                          <wps:wsp>
                            <wps:cNvSpPr/>
                            <wps:spPr>
                              <a:xfrm>
                                <a:off x="0" y="0"/>
                                <a:ext cx="294005" cy="133985"/>
                              </a:xfrm>
                              <a:prstGeom prst="rect">
                                <a:avLst/>
                              </a:prstGeom>
                              <a:solidFill>
                                <a:srgbClr val="FFFFFF"/>
                              </a:solidFill>
                              <a:ln>
                                <a:noFill/>
                              </a:ln>
                            </wps:spPr>
                            <wps:bodyPr upright="1"/>
                          </wps:wsp>
                        </a:graphicData>
                      </a:graphic>
                    </wp:anchor>
                  </w:drawing>
                </mc:Choice>
                <mc:Fallback>
                  <w:pict>
                    <v:rect id="矩形 120" o:spid="_x0000_s1026" o:spt="1" style="position:absolute;left:0pt;margin-left:193.95pt;margin-top:28.55pt;height:10.55pt;width:23.15pt;z-index:251279360;mso-width-relative:page;mso-height-relative:page;" fillcolor="#FFFFFF" filled="t" stroked="f" coordsize="21600,21600" o:gfxdata="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pTbac2QAAAAkBAAAPAAAAAAAAAAEAIAAAACIA&#10;AABkcnMvZG93bnJldi54bWxQSwECFAAUAAAACACHTuJAxhaWJZYBAAATAwAADgAAAAAAAAABACAA&#10;AAAoAQAAZHJzL2Uyb0RvYy54bWxQSwUGAAAAAAYABgBZAQAAMAUAAAAA&#10;">
                      <v:fill on="t" focussize="0,0"/>
                      <v:stroke on="f"/>
                      <v:imagedata o:title=""/>
                      <o:lock v:ext="edit" aspectratio="f"/>
                    </v:rect>
                  </w:pict>
                </mc:Fallback>
              </mc:AlternateContent>
            </w:r>
            <w:r>
              <w:rPr>
                <w:rFonts w:ascii="Times New Roman" w:hAnsi="Times New Roman" w:cs="Times New Roman"/>
                <w:color w:val="auto"/>
                <w:highlight w:val="none"/>
              </w:rPr>
              <mc:AlternateContent>
                <mc:Choice Requires="wps">
                  <w:drawing>
                    <wp:anchor distT="0" distB="0" distL="114300" distR="114300" simplePos="0" relativeHeight="251581440" behindDoc="0" locked="0" layoutInCell="1" allowOverlap="1">
                      <wp:simplePos x="0" y="0"/>
                      <wp:positionH relativeFrom="column">
                        <wp:posOffset>2237105</wp:posOffset>
                      </wp:positionH>
                      <wp:positionV relativeFrom="paragraph">
                        <wp:posOffset>5715</wp:posOffset>
                      </wp:positionV>
                      <wp:extent cx="635" cy="504825"/>
                      <wp:effectExtent l="48895" t="0" r="64770" b="9525"/>
                      <wp:wrapNone/>
                      <wp:docPr id="119" name="直线 121"/>
                      <wp:cNvGraphicFramePr/>
                      <a:graphic xmlns:a="http://schemas.openxmlformats.org/drawingml/2006/main">
                        <a:graphicData uri="http://schemas.microsoft.com/office/word/2010/wordprocessingShape">
                          <wps:wsp>
                            <wps:cNvCnPr/>
                            <wps:spPr>
                              <a:xfrm>
                                <a:off x="0" y="0"/>
                                <a:ext cx="635" cy="504825"/>
                              </a:xfrm>
                              <a:prstGeom prst="line">
                                <a:avLst/>
                              </a:prstGeom>
                              <a:ln w="6350" cap="flat" cmpd="sng">
                                <a:solidFill>
                                  <a:srgbClr val="000000"/>
                                </a:solidFill>
                                <a:prstDash val="dash"/>
                                <a:headEnd type="none" w="med" len="med"/>
                                <a:tailEnd type="arrow" w="med" len="med"/>
                              </a:ln>
                            </wps:spPr>
                            <wps:bodyPr/>
                          </wps:wsp>
                        </a:graphicData>
                      </a:graphic>
                    </wp:anchor>
                  </w:drawing>
                </mc:Choice>
                <mc:Fallback>
                  <w:pict>
                    <v:line id="直线 121" o:spid="_x0000_s1026" o:spt="20" style="position:absolute;left:0pt;margin-left:176.15pt;margin-top:0.45pt;height:39.75pt;width:0.05pt;z-index:251581440;mso-width-relative:page;mso-height-relative:page;" filled="f" stroked="t" coordsize="21600,21600" o:gfxdata="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nzztiNYAAAAHAQAADwAAAAAAAAABACAAAAAiAAAAZHJzL2Rv&#10;d25yZXYueG1sUEsBAhQAFAAAAAgAh07iQFvE54rKAQAAhgMAAA4AAAAAAAAAAQAgAAAAJQEAAGRy&#10;cy9lMm9Eb2MueG1sUEsFBgAAAAAGAAYAWQEAAGEFAAAAAA==&#10;">
                      <v:fill on="f" focussize="0,0"/>
                      <v:stroke weight="0.5pt" color="#000000" joinstyle="round" dashstyle="dash" endarrow="open"/>
                      <v:imagedata o:title=""/>
                      <o:lock v:ext="edit" aspectratio="f"/>
                    </v:line>
                  </w:pict>
                </mc:Fallback>
              </mc:AlternateContent>
            </w:r>
            <w:r>
              <w:rPr>
                <w:rFonts w:ascii="Times New Roman" w:hAnsi="Times New Roman" w:cs="Times New Roman"/>
                <w:color w:val="auto"/>
                <w:highlight w:val="none"/>
              </w:rPr>
              <mc:AlternateContent>
                <mc:Choice Requires="wps">
                  <w:drawing>
                    <wp:anchor distT="0" distB="0" distL="114300" distR="114300" simplePos="0" relativeHeight="251537408" behindDoc="0" locked="0" layoutInCell="1" allowOverlap="1">
                      <wp:simplePos x="0" y="0"/>
                      <wp:positionH relativeFrom="column">
                        <wp:posOffset>1230630</wp:posOffset>
                      </wp:positionH>
                      <wp:positionV relativeFrom="paragraph">
                        <wp:posOffset>2540</wp:posOffset>
                      </wp:positionV>
                      <wp:extent cx="1000125" cy="635"/>
                      <wp:effectExtent l="0" t="0" r="0" b="0"/>
                      <wp:wrapNone/>
                      <wp:docPr id="102" name="直线 122"/>
                      <wp:cNvGraphicFramePr/>
                      <a:graphic xmlns:a="http://schemas.openxmlformats.org/drawingml/2006/main">
                        <a:graphicData uri="http://schemas.microsoft.com/office/word/2010/wordprocessingShape">
                          <wps:wsp>
                            <wps:cNvCnPr/>
                            <wps:spPr>
                              <a:xfrm>
                                <a:off x="0" y="0"/>
                                <a:ext cx="1000125" cy="635"/>
                              </a:xfrm>
                              <a:prstGeom prst="line">
                                <a:avLst/>
                              </a:prstGeom>
                              <a:ln w="9525" cap="flat" cmpd="sng">
                                <a:solidFill>
                                  <a:srgbClr val="000000"/>
                                </a:solidFill>
                                <a:prstDash val="dash"/>
                                <a:headEnd type="none" w="med" len="med"/>
                                <a:tailEnd type="none" w="med" len="med"/>
                              </a:ln>
                            </wps:spPr>
                            <wps:bodyPr/>
                          </wps:wsp>
                        </a:graphicData>
                      </a:graphic>
                    </wp:anchor>
                  </w:drawing>
                </mc:Choice>
                <mc:Fallback>
                  <w:pict>
                    <v:line id="直线 122" o:spid="_x0000_s1026" o:spt="20" style="position:absolute;left:0pt;margin-left:96.9pt;margin-top:0.2pt;height:0.05pt;width:78.75pt;z-index:251537408;mso-width-relative:page;mso-height-relative:page;" filled="f" stroked="t" coordsize="21600,21600" o:gfxdata="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1bPSrVAAAABQEAAA8AAAAAAAAAAQAgAAAAIgAAAGRycy9kb3ducmV2&#10;LnhtbFBLAQIUABQAAAAIAIdO4kCqKO1BxgEAAIYDAAAOAAAAAAAAAAEAIAAAACQBAABkcnMvZTJv&#10;RG9jLnhtbFBLBQYAAAAABgAGAFkBAABcBQAAAAA=&#10;">
                      <v:fill on="f" focussize="0,0"/>
                      <v:stroke color="#000000" joinstyle="round" dashstyle="dash"/>
                      <v:imagedata o:title=""/>
                      <o:lock v:ext="edit" aspectratio="f"/>
                    </v:line>
                  </w:pict>
                </mc:Fallback>
              </mc:AlternateContent>
            </w:r>
          </w:p>
          <w:p>
            <w:pPr>
              <w:pStyle w:val="24"/>
              <w:jc w:val="center"/>
              <w:rPr>
                <w:rFonts w:ascii="Times New Roman" w:hAnsi="Times New Roman" w:cs="Times New Roman"/>
                <w:color w:val="auto"/>
                <w:highlight w:val="none"/>
              </w:rPr>
            </w:pPr>
            <w:r>
              <w:rPr>
                <w:rFonts w:ascii="Times New Roman" w:hAnsi="Times New Roman" w:cs="Times New Roman"/>
                <w:color w:val="auto"/>
                <w:highlight w:val="none"/>
              </w:rPr>
              <mc:AlternateContent>
                <mc:Choice Requires="wps">
                  <w:drawing>
                    <wp:anchor distT="0" distB="0" distL="114300" distR="114300" simplePos="0" relativeHeight="251220992" behindDoc="1" locked="0" layoutInCell="1" allowOverlap="1">
                      <wp:simplePos x="0" y="0"/>
                      <wp:positionH relativeFrom="column">
                        <wp:posOffset>2569845</wp:posOffset>
                      </wp:positionH>
                      <wp:positionV relativeFrom="paragraph">
                        <wp:posOffset>7620</wp:posOffset>
                      </wp:positionV>
                      <wp:extent cx="1322705" cy="713740"/>
                      <wp:effectExtent l="0" t="0" r="0" b="0"/>
                      <wp:wrapNone/>
                      <wp:docPr id="50" name="文本框 249"/>
                      <wp:cNvGraphicFramePr/>
                      <a:graphic xmlns:a="http://schemas.openxmlformats.org/drawingml/2006/main">
                        <a:graphicData uri="http://schemas.microsoft.com/office/word/2010/wordprocessingShape">
                          <wps:wsp>
                            <wps:cNvSpPr txBox="1"/>
                            <wps:spPr>
                              <a:xfrm>
                                <a:off x="0" y="0"/>
                                <a:ext cx="1322705" cy="713740"/>
                              </a:xfrm>
                              <a:prstGeom prst="rect">
                                <a:avLst/>
                              </a:prstGeom>
                              <a:noFill/>
                              <a:ln>
                                <a:noFill/>
                              </a:ln>
                            </wps:spPr>
                            <wps:txbx>
                              <w:txbxContent>
                                <w:p>
                                  <w:pPr>
                                    <w:jc w:val="center"/>
                                    <w:rPr>
                                      <w:rFonts w:eastAsia="宋体"/>
                                      <w:b/>
                                      <w:bCs/>
                                      <w:sz w:val="22"/>
                                      <w:szCs w:val="18"/>
                                    </w:rPr>
                                  </w:pPr>
                                  <w:r>
                                    <w:rPr>
                                      <w:rFonts w:hint="eastAsia" w:eastAsia="宋体"/>
                                      <w:b/>
                                      <w:bCs/>
                                      <w:sz w:val="22"/>
                                      <w:szCs w:val="18"/>
                                    </w:rPr>
                                    <w:t>2t/a</w:t>
                                  </w:r>
                                </w:p>
                              </w:txbxContent>
                            </wps:txbx>
                            <wps:bodyPr upright="1"/>
                          </wps:wsp>
                        </a:graphicData>
                      </a:graphic>
                    </wp:anchor>
                  </w:drawing>
                </mc:Choice>
                <mc:Fallback>
                  <w:pict>
                    <v:shape id="文本框 249" o:spid="_x0000_s1026" o:spt="202" type="#_x0000_t202" style="position:absolute;left:0pt;margin-left:202.35pt;margin-top:0.6pt;height:56.2pt;width:104.15pt;z-index:-252095488;mso-width-relative:page;mso-height-relative:page;" filled="f" stroked="f" coordsize="21600,21600" o:gfxdata="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FXUxo1QAAAAkBAAAPAAAAAAAAAAEAIAAAACIAAABkcnMv&#10;ZG93bnJldi54bWxQSwECFAAUAAAACACHTuJAd7kwz5QBAAADAwAADgAAAAAAAAABACAAAAAkAQAA&#10;ZHJzL2Uyb0RvYy54bWxQSwUGAAAAAAYABgBZAQAAKgUAAAAA&#10;">
                      <v:fill on="f" focussize="0,0"/>
                      <v:stroke on="f"/>
                      <v:imagedata o:title=""/>
                      <o:lock v:ext="edit" aspectratio="f"/>
                      <v:textbox>
                        <w:txbxContent>
                          <w:p>
                            <w:pPr>
                              <w:jc w:val="center"/>
                              <w:rPr>
                                <w:rFonts w:eastAsia="宋体"/>
                                <w:b/>
                                <w:bCs/>
                                <w:sz w:val="22"/>
                                <w:szCs w:val="18"/>
                              </w:rPr>
                            </w:pPr>
                            <w:r>
                              <w:rPr>
                                <w:rFonts w:hint="eastAsia" w:eastAsia="宋体"/>
                                <w:b/>
                                <w:bCs/>
                                <w:sz w:val="22"/>
                                <w:szCs w:val="18"/>
                              </w:rPr>
                              <w:t>2t/a</w:t>
                            </w:r>
                          </w:p>
                        </w:txbxContent>
                      </v:textbox>
                    </v:shape>
                  </w:pict>
                </mc:Fallback>
              </mc:AlternateContent>
            </w:r>
            <w:r>
              <w:rPr>
                <w:rFonts w:ascii="Times New Roman" w:hAnsi="Times New Roman" w:cs="Times New Roman"/>
                <w:color w:val="auto"/>
                <w:highlight w:val="none"/>
              </w:rPr>
              <mc:AlternateContent>
                <mc:Choice Requires="wps">
                  <w:drawing>
                    <wp:anchor distT="0" distB="0" distL="114300" distR="114300" simplePos="0" relativeHeight="251310080" behindDoc="0" locked="0" layoutInCell="1" allowOverlap="1">
                      <wp:simplePos x="0" y="0"/>
                      <wp:positionH relativeFrom="column">
                        <wp:posOffset>-45720</wp:posOffset>
                      </wp:positionH>
                      <wp:positionV relativeFrom="paragraph">
                        <wp:posOffset>120650</wp:posOffset>
                      </wp:positionV>
                      <wp:extent cx="1085850" cy="324485"/>
                      <wp:effectExtent l="0" t="0" r="0" b="0"/>
                      <wp:wrapNone/>
                      <wp:docPr id="80" name="文本框 123"/>
                      <wp:cNvGraphicFramePr/>
                      <a:graphic xmlns:a="http://schemas.openxmlformats.org/drawingml/2006/main">
                        <a:graphicData uri="http://schemas.microsoft.com/office/word/2010/wordprocessingShape">
                          <wps:wsp>
                            <wps:cNvSpPr txBox="1"/>
                            <wps:spPr>
                              <a:xfrm>
                                <a:off x="0" y="0"/>
                                <a:ext cx="1085850" cy="324485"/>
                              </a:xfrm>
                              <a:prstGeom prst="rect">
                                <a:avLst/>
                              </a:prstGeom>
                              <a:noFill/>
                              <a:ln>
                                <a:noFill/>
                              </a:ln>
                            </wps:spPr>
                            <wps:txbx>
                              <w:txbxContent>
                                <w:p>
                                  <w:pPr>
                                    <w:jc w:val="center"/>
                                    <w:rPr>
                                      <w:rFonts w:eastAsia="宋体"/>
                                    </w:rPr>
                                  </w:pPr>
                                  <w:r>
                                    <w:rPr>
                                      <w:rFonts w:hint="eastAsia" w:eastAsia="宋体"/>
                                    </w:rPr>
                                    <w:t>市政管网供水</w:t>
                                  </w:r>
                                </w:p>
                              </w:txbxContent>
                            </wps:txbx>
                            <wps:bodyPr upright="1"/>
                          </wps:wsp>
                        </a:graphicData>
                      </a:graphic>
                    </wp:anchor>
                  </w:drawing>
                </mc:Choice>
                <mc:Fallback>
                  <w:pict>
                    <v:shape id="文本框 123" o:spid="_x0000_s1026" o:spt="202" type="#_x0000_t202" style="position:absolute;left:0pt;margin-left:-3.6pt;margin-top:9.5pt;height:25.55pt;width:85.5pt;z-index:251310080;mso-width-relative:page;mso-height-relative:page;" filled="f" stroked="f" coordsize="21600,21600" o:gfxdata="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XaNodUAAAAIAQAADwAAAAAAAAABACAAAAAiAAAAZHJzL2Rv&#10;d25yZXYueG1sUEsBAhQAFAAAAAgAh07iQCQ+anKSAQAAAwMAAA4AAAAAAAAAAQAgAAAAJAEAAGRy&#10;cy9lMm9Eb2MueG1sUEsFBgAAAAAGAAYAWQEAACgFAAAAAA==&#10;">
                      <v:fill on="f" focussize="0,0"/>
                      <v:stroke on="f"/>
                      <v:imagedata o:title=""/>
                      <o:lock v:ext="edit" aspectratio="f"/>
                      <v:textbox>
                        <w:txbxContent>
                          <w:p>
                            <w:pPr>
                              <w:jc w:val="center"/>
                              <w:rPr>
                                <w:rFonts w:eastAsia="宋体"/>
                              </w:rPr>
                            </w:pPr>
                            <w:r>
                              <w:rPr>
                                <w:rFonts w:hint="eastAsia" w:eastAsia="宋体"/>
                              </w:rPr>
                              <w:t>市政管网供水</w:t>
                            </w:r>
                          </w:p>
                        </w:txbxContent>
                      </v:textbox>
                    </v:shape>
                  </w:pict>
                </mc:Fallback>
              </mc:AlternateContent>
            </w:r>
            <w:r>
              <w:rPr>
                <w:rFonts w:ascii="Times New Roman" w:hAnsi="Times New Roman" w:cs="Times New Roman"/>
                <w:color w:val="auto"/>
                <w:highlight w:val="none"/>
              </w:rPr>
              <mc:AlternateContent>
                <mc:Choice Requires="wpg">
                  <w:drawing>
                    <wp:anchor distT="0" distB="0" distL="114300" distR="114300" simplePos="0" relativeHeight="251432960" behindDoc="0" locked="0" layoutInCell="1" allowOverlap="1">
                      <wp:simplePos x="0" y="0"/>
                      <wp:positionH relativeFrom="column">
                        <wp:posOffset>2421255</wp:posOffset>
                      </wp:positionH>
                      <wp:positionV relativeFrom="paragraph">
                        <wp:posOffset>127000</wp:posOffset>
                      </wp:positionV>
                      <wp:extent cx="857250" cy="457200"/>
                      <wp:effectExtent l="4445" t="4445" r="0" b="14605"/>
                      <wp:wrapNone/>
                      <wp:docPr id="94" name="组合 124"/>
                      <wp:cNvGraphicFramePr/>
                      <a:graphic xmlns:a="http://schemas.openxmlformats.org/drawingml/2006/main">
                        <a:graphicData uri="http://schemas.microsoft.com/office/word/2010/wordprocessingGroup">
                          <wpg:wgp>
                            <wpg:cNvGrpSpPr/>
                            <wpg:grpSpPr>
                              <a:xfrm>
                                <a:off x="0" y="0"/>
                                <a:ext cx="857250" cy="457200"/>
                                <a:chOff x="5731" y="141477"/>
                                <a:chExt cx="1350" cy="720"/>
                              </a:xfrm>
                            </wpg:grpSpPr>
                            <wps:wsp>
                              <wps:cNvPr id="92" name="矩形 125"/>
                              <wps:cNvSpPr/>
                              <wps:spPr>
                                <a:xfrm>
                                  <a:off x="5731" y="141477"/>
                                  <a:ext cx="990" cy="720"/>
                                </a:xfrm>
                                <a:prstGeom prst="rect">
                                  <a:avLst/>
                                </a:prstGeom>
                                <a:noFill/>
                                <a:ln w="9525" cap="flat" cmpd="sng">
                                  <a:solidFill>
                                    <a:srgbClr val="000000"/>
                                  </a:solidFill>
                                  <a:prstDash val="solid"/>
                                  <a:miter/>
                                  <a:headEnd type="none" w="med" len="med"/>
                                  <a:tailEnd type="none" w="med" len="med"/>
                                </a:ln>
                              </wps:spPr>
                              <wps:bodyPr upright="1"/>
                            </wps:wsp>
                            <wps:wsp>
                              <wps:cNvPr id="93" name="文本框 126"/>
                              <wps:cNvSpPr txBox="1"/>
                              <wps:spPr>
                                <a:xfrm>
                                  <a:off x="5731" y="141537"/>
                                  <a:ext cx="1350" cy="660"/>
                                </a:xfrm>
                                <a:prstGeom prst="rect">
                                  <a:avLst/>
                                </a:prstGeom>
                                <a:noFill/>
                                <a:ln>
                                  <a:noFill/>
                                </a:ln>
                              </wps:spPr>
                              <wps:txbx>
                                <w:txbxContent>
                                  <w:p>
                                    <w:pPr>
                                      <w:rPr>
                                        <w:rFonts w:eastAsia="宋体"/>
                                      </w:rPr>
                                    </w:pPr>
                                    <w:r>
                                      <w:rPr>
                                        <w:rFonts w:hint="eastAsia" w:eastAsia="宋体"/>
                                      </w:rPr>
                                      <w:t>成型机</w:t>
                                    </w:r>
                                  </w:p>
                                </w:txbxContent>
                              </wps:txbx>
                              <wps:bodyPr upright="1"/>
                            </wps:wsp>
                          </wpg:wgp>
                        </a:graphicData>
                      </a:graphic>
                    </wp:anchor>
                  </w:drawing>
                </mc:Choice>
                <mc:Fallback>
                  <w:pict>
                    <v:group id="组合 124" o:spid="_x0000_s1026" o:spt="203" style="position:absolute;left:0pt;margin-left:190.65pt;margin-top:10pt;height:36pt;width:67.5pt;z-index:251432960;mso-width-relative:page;mso-height-relative:page;" coordorigin="5731,141477" coordsize="1350,720" o:gfxdata="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lQok&#10;qdgAAAAJAQAADwAAAAAAAAABACAAAAAiAAAAZHJzL2Rvd25yZXYueG1sUEsBAhQAFAAAAAgAh07i&#10;QM1TFw2UAgAAUwYAAA4AAAAAAAAAAQAgAAAAJwEAAGRycy9lMm9Eb2MueG1sUEsFBgAAAAAGAAYA&#10;WQEAAC0GAAAAAA==&#10;">
                      <o:lock v:ext="edit" aspectratio="f"/>
                      <v:rect id="矩形 125" o:spid="_x0000_s1026" o:spt="1" style="position:absolute;left:5731;top:141477;height:720;width:990;" filled="f" stroked="t" coordsize="21600,21600" o:gfxdata="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oxLp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rect>
                      <v:shape id="文本框 126" o:spid="_x0000_s1026" o:spt="202" type="#_x0000_t202" style="position:absolute;left:5731;top:141537;height:660;width:1350;" filled="f" stroked="f" coordsize="21600,21600" o:gfxdata="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shvb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eastAsia="宋体"/>
                                </w:rPr>
                              </w:pPr>
                              <w:r>
                                <w:rPr>
                                  <w:rFonts w:hint="eastAsia" w:eastAsia="宋体"/>
                                </w:rPr>
                                <w:t>成型机</w:t>
                              </w:r>
                            </w:p>
                          </w:txbxContent>
                        </v:textbox>
                      </v:shape>
                    </v:group>
                  </w:pict>
                </mc:Fallback>
              </mc:AlternateContent>
            </w:r>
            <w:r>
              <w:rPr>
                <w:rFonts w:ascii="Times New Roman" w:hAnsi="Times New Roman" w:cs="Times New Roman"/>
                <w:color w:val="auto"/>
                <w:highlight w:val="none"/>
              </w:rPr>
              <mc:AlternateContent>
                <mc:Choice Requires="wpg">
                  <w:drawing>
                    <wp:anchor distT="0" distB="0" distL="114300" distR="114300" simplePos="0" relativeHeight="251402240" behindDoc="0" locked="0" layoutInCell="1" allowOverlap="1">
                      <wp:simplePos x="0" y="0"/>
                      <wp:positionH relativeFrom="column">
                        <wp:posOffset>1449705</wp:posOffset>
                      </wp:positionH>
                      <wp:positionV relativeFrom="paragraph">
                        <wp:posOffset>127000</wp:posOffset>
                      </wp:positionV>
                      <wp:extent cx="857250" cy="457200"/>
                      <wp:effectExtent l="4445" t="4445" r="0" b="14605"/>
                      <wp:wrapNone/>
                      <wp:docPr id="90" name="组合 127"/>
                      <wp:cNvGraphicFramePr/>
                      <a:graphic xmlns:a="http://schemas.openxmlformats.org/drawingml/2006/main">
                        <a:graphicData uri="http://schemas.microsoft.com/office/word/2010/wordprocessingGroup">
                          <wpg:wgp>
                            <wpg:cNvGrpSpPr/>
                            <wpg:grpSpPr>
                              <a:xfrm>
                                <a:off x="0" y="0"/>
                                <a:ext cx="857250" cy="457200"/>
                                <a:chOff x="5731" y="141477"/>
                                <a:chExt cx="1350" cy="720"/>
                              </a:xfrm>
                            </wpg:grpSpPr>
                            <wps:wsp>
                              <wps:cNvPr id="88" name="矩形 128"/>
                              <wps:cNvSpPr/>
                              <wps:spPr>
                                <a:xfrm>
                                  <a:off x="5731" y="141477"/>
                                  <a:ext cx="990" cy="720"/>
                                </a:xfrm>
                                <a:prstGeom prst="rect">
                                  <a:avLst/>
                                </a:prstGeom>
                                <a:noFill/>
                                <a:ln w="9525" cap="flat" cmpd="sng">
                                  <a:solidFill>
                                    <a:srgbClr val="000000"/>
                                  </a:solidFill>
                                  <a:prstDash val="solid"/>
                                  <a:miter/>
                                  <a:headEnd type="none" w="med" len="med"/>
                                  <a:tailEnd type="none" w="med" len="med"/>
                                </a:ln>
                              </wps:spPr>
                              <wps:bodyPr upright="1"/>
                            </wps:wsp>
                            <wps:wsp>
                              <wps:cNvPr id="89" name="文本框 129"/>
                              <wps:cNvSpPr txBox="1"/>
                              <wps:spPr>
                                <a:xfrm>
                                  <a:off x="5731" y="141537"/>
                                  <a:ext cx="1350" cy="660"/>
                                </a:xfrm>
                                <a:prstGeom prst="rect">
                                  <a:avLst/>
                                </a:prstGeom>
                                <a:noFill/>
                                <a:ln>
                                  <a:noFill/>
                                </a:ln>
                              </wps:spPr>
                              <wps:txbx>
                                <w:txbxContent>
                                  <w:p>
                                    <w:pPr>
                                      <w:rPr>
                                        <w:rFonts w:eastAsia="宋体"/>
                                      </w:rPr>
                                    </w:pPr>
                                    <w:r>
                                      <w:rPr>
                                        <w:rFonts w:hint="eastAsia" w:eastAsia="宋体"/>
                                      </w:rPr>
                                      <w:t>冷却塔</w:t>
                                    </w:r>
                                  </w:p>
                                </w:txbxContent>
                              </wps:txbx>
                              <wps:bodyPr upright="1"/>
                            </wps:wsp>
                          </wpg:wgp>
                        </a:graphicData>
                      </a:graphic>
                    </wp:anchor>
                  </w:drawing>
                </mc:Choice>
                <mc:Fallback>
                  <w:pict>
                    <v:group id="组合 127" o:spid="_x0000_s1026" o:spt="203" style="position:absolute;left:0pt;margin-left:114.15pt;margin-top:10pt;height:36pt;width:67.5pt;z-index:251402240;mso-width-relative:page;mso-height-relative:page;" coordorigin="5731,141477" coordsize="1350,720" o:gfxdata="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D1Va02QAAAAkBAAAPAAAAAAAAAAEAIAAAACIAAABkcnMvZG93bnJldi54bWxQSwECFAAUAAAA&#10;CACHTuJAf14ZBpgCAABTBgAADgAAAAAAAAABACAAAAAoAQAAZHJzL2Uyb0RvYy54bWxQSwUGAAAA&#10;AAYABgBZAQAAMgYAAAAA&#10;">
                      <o:lock v:ext="edit" aspectratio="f"/>
                      <v:rect id="矩形 128" o:spid="_x0000_s1026" o:spt="1" style="position:absolute;left:5731;top:141477;height:720;width:990;" filled="f" stroked="t" coordsize="21600,21600" o:gfxdata="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mSs965AAAA2wAA&#10;AA8AAAAAAAAAAQAgAAAAIgAAAGRycy9kb3ducmV2LnhtbFBLAQIUABQAAAAIAIdO4kAzLwWeOwAA&#10;ADkAAAAQAAAAAAAAAAEAIAAAAAgBAABkcnMvc2hhcGV4bWwueG1sUEsFBgAAAAAGAAYAWwEAALID&#10;AAAAAA==&#10;">
                        <v:fill on="f" focussize="0,0"/>
                        <v:stroke color="#000000" joinstyle="miter"/>
                        <v:imagedata o:title=""/>
                        <o:lock v:ext="edit" aspectratio="f"/>
                      </v:rect>
                      <v:shape id="文本框 129" o:spid="_x0000_s1026" o:spt="202" type="#_x0000_t202" style="position:absolute;left:5731;top:141537;height:660;width:1350;"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eastAsia="宋体"/>
                                </w:rPr>
                              </w:pPr>
                              <w:r>
                                <w:rPr>
                                  <w:rFonts w:hint="eastAsia" w:eastAsia="宋体"/>
                                </w:rPr>
                                <w:t>冷却塔</w:t>
                              </w:r>
                            </w:p>
                          </w:txbxContent>
                        </v:textbox>
                      </v:shape>
                    </v:group>
                  </w:pict>
                </mc:Fallback>
              </mc:AlternateContent>
            </w:r>
          </w:p>
          <w:p>
            <w:pPr>
              <w:pStyle w:val="24"/>
              <w:jc w:val="center"/>
              <w:rPr>
                <w:rFonts w:ascii="Times New Roman" w:hAnsi="Times New Roman" w:cs="Times New Roman"/>
                <w:color w:val="auto"/>
                <w:highlight w:val="none"/>
              </w:rPr>
            </w:pPr>
            <w:r>
              <w:rPr>
                <w:rFonts w:ascii="Times New Roman" w:hAnsi="Times New Roman" w:cs="Times New Roman"/>
                <w:color w:val="auto"/>
                <w:highlight w:val="none"/>
              </w:rPr>
              <mc:AlternateContent>
                <mc:Choice Requires="wps">
                  <w:drawing>
                    <wp:anchor distT="0" distB="0" distL="114300" distR="114300" simplePos="0" relativeHeight="251538432" behindDoc="0" locked="0" layoutInCell="1" allowOverlap="1">
                      <wp:simplePos x="0" y="0"/>
                      <wp:positionH relativeFrom="column">
                        <wp:posOffset>3376295</wp:posOffset>
                      </wp:positionH>
                      <wp:positionV relativeFrom="paragraph">
                        <wp:posOffset>53340</wp:posOffset>
                      </wp:positionV>
                      <wp:extent cx="1186180" cy="1111250"/>
                      <wp:effectExtent l="0" t="0" r="13970" b="12700"/>
                      <wp:wrapNone/>
                      <wp:docPr id="103" name="矩形 149"/>
                      <wp:cNvGraphicFramePr/>
                      <a:graphic xmlns:a="http://schemas.openxmlformats.org/drawingml/2006/main">
                        <a:graphicData uri="http://schemas.microsoft.com/office/word/2010/wordprocessingShape">
                          <wps:wsp>
                            <wps:cNvSpPr/>
                            <wps:spPr>
                              <a:xfrm>
                                <a:off x="0" y="0"/>
                                <a:ext cx="1186180" cy="111125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149" o:spid="_x0000_s1026" o:spt="1" style="position:absolute;left:0pt;margin-left:265.85pt;margin-top:4.2pt;height:87.5pt;width:93.4pt;z-index:251538432;mso-width-relative:page;mso-height-relative:page;" filled="f" stroked="t" coordsize="21600,21600" o:gfxdata="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KI1vCHXAAAACQEAAA8A&#10;AAAAAAAAAQAgAAAAIgAAAGRycy9kb3ducmV2LnhtbFBLAQIUABQAAAAIAIdO4kDkqqZf3wEAAKwD&#10;AAAOAAAAAAAAAAEAIAAAACYBAABkcnMvZTJvRG9jLnhtbFBLBQYAAAAABgAGAFkBAAB3BQAAAAA=&#10;">
                      <v:fill on="f" focussize="0,0"/>
                      <v:stroke color="#000000" joinstyle="miter"/>
                      <v:imagedata o:title=""/>
                      <o:lock v:ext="edit" aspectratio="f"/>
                    </v:rect>
                  </w:pict>
                </mc:Fallback>
              </mc:AlternateContent>
            </w:r>
            <w:r>
              <w:rPr>
                <w:rFonts w:ascii="Times New Roman" w:hAnsi="Times New Roman" w:cs="Times New Roman"/>
                <w:color w:val="auto"/>
                <w:highlight w:val="none"/>
              </w:rPr>
              <mc:AlternateContent>
                <mc:Choice Requires="wps">
                  <w:drawing>
                    <wp:anchor distT="0" distB="0" distL="114300" distR="114300" simplePos="0" relativeHeight="251539456" behindDoc="0" locked="0" layoutInCell="1" allowOverlap="1">
                      <wp:simplePos x="0" y="0"/>
                      <wp:positionH relativeFrom="column">
                        <wp:posOffset>3294380</wp:posOffset>
                      </wp:positionH>
                      <wp:positionV relativeFrom="paragraph">
                        <wp:posOffset>97790</wp:posOffset>
                      </wp:positionV>
                      <wp:extent cx="1386840" cy="1038860"/>
                      <wp:effectExtent l="0" t="0" r="0" b="0"/>
                      <wp:wrapNone/>
                      <wp:docPr id="104" name="文本框 150"/>
                      <wp:cNvGraphicFramePr/>
                      <a:graphic xmlns:a="http://schemas.openxmlformats.org/drawingml/2006/main">
                        <a:graphicData uri="http://schemas.microsoft.com/office/word/2010/wordprocessingShape">
                          <wps:wsp>
                            <wps:cNvSpPr txBox="1"/>
                            <wps:spPr>
                              <a:xfrm>
                                <a:off x="0" y="0"/>
                                <a:ext cx="1386840" cy="1038860"/>
                              </a:xfrm>
                              <a:prstGeom prst="rect">
                                <a:avLst/>
                              </a:prstGeom>
                              <a:noFill/>
                              <a:ln>
                                <a:noFill/>
                              </a:ln>
                            </wps:spPr>
                            <wps:txbx>
                              <w:txbxContent>
                                <w:p>
                                  <w:pPr>
                                    <w:jc w:val="center"/>
                                    <w:rPr>
                                      <w:rFonts w:eastAsia="宋体"/>
                                    </w:rPr>
                                  </w:pPr>
                                  <w:r>
                                    <w:rPr>
                                      <w:rFonts w:hint="eastAsia" w:eastAsia="宋体"/>
                                    </w:rPr>
                                    <w:t>依托开平裕进纺织厂有限公司的污水站（混凝沉淀+水解酸化+接触氧化）达标处理</w:t>
                                  </w:r>
                                </w:p>
                              </w:txbxContent>
                            </wps:txbx>
                            <wps:bodyPr upright="1"/>
                          </wps:wsp>
                        </a:graphicData>
                      </a:graphic>
                    </wp:anchor>
                  </w:drawing>
                </mc:Choice>
                <mc:Fallback>
                  <w:pict>
                    <v:shape id="文本框 150" o:spid="_x0000_s1026" o:spt="202" type="#_x0000_t202" style="position:absolute;left:0pt;margin-left:259.4pt;margin-top:7.7pt;height:81.8pt;width:109.2pt;z-index:251539456;mso-width-relative:page;mso-height-relative:page;" filled="f" stroked="f" coordsize="21600,21600" o:gfxdata="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B7f7F3YAAAACgEAAA8AAAAAAAAAAQAgAAAAIgAAAGRy&#10;cy9kb3ducmV2LnhtbFBLAQIUABQAAAAIAIdO4kDpwmp1kwEAAAUDAAAOAAAAAAAAAAEAIAAAACcB&#10;AABkcnMvZTJvRG9jLnhtbFBLBQYAAAAABgAGAFkBAAAsBQAAAAA=&#10;">
                      <v:fill on="f" focussize="0,0"/>
                      <v:stroke on="f"/>
                      <v:imagedata o:title=""/>
                      <o:lock v:ext="edit" aspectratio="f"/>
                      <v:textbox>
                        <w:txbxContent>
                          <w:p>
                            <w:pPr>
                              <w:jc w:val="center"/>
                              <w:rPr>
                                <w:rFonts w:eastAsia="宋体"/>
                              </w:rPr>
                            </w:pPr>
                            <w:r>
                              <w:rPr>
                                <w:rFonts w:hint="eastAsia" w:eastAsia="宋体"/>
                              </w:rPr>
                              <w:t>依托开平裕进纺织厂有限公司的污水站（混凝沉淀+水解酸化+接触氧化）达标处理</w:t>
                            </w:r>
                          </w:p>
                        </w:txbxContent>
                      </v:textbox>
                    </v:shape>
                  </w:pict>
                </mc:Fallback>
              </mc:AlternateContent>
            </w:r>
            <w:r>
              <w:rPr>
                <w:rFonts w:ascii="Times New Roman" w:hAnsi="Times New Roman" w:cs="Times New Roman"/>
                <w:color w:val="auto"/>
                <w:highlight w:val="none"/>
              </w:rPr>
              <mc:AlternateContent>
                <mc:Choice Requires="wps">
                  <w:drawing>
                    <wp:anchor distT="0" distB="0" distL="114300" distR="114300" simplePos="0" relativeHeight="251226112" behindDoc="1" locked="0" layoutInCell="1" allowOverlap="1">
                      <wp:simplePos x="0" y="0"/>
                      <wp:positionH relativeFrom="column">
                        <wp:posOffset>3059430</wp:posOffset>
                      </wp:positionH>
                      <wp:positionV relativeFrom="paragraph">
                        <wp:posOffset>123825</wp:posOffset>
                      </wp:positionV>
                      <wp:extent cx="314325" cy="635"/>
                      <wp:effectExtent l="0" t="48895" r="9525" b="64770"/>
                      <wp:wrapNone/>
                      <wp:docPr id="54" name="直线 247"/>
                      <wp:cNvGraphicFramePr/>
                      <a:graphic xmlns:a="http://schemas.openxmlformats.org/drawingml/2006/main">
                        <a:graphicData uri="http://schemas.microsoft.com/office/word/2010/wordprocessingShape">
                          <wps:wsp>
                            <wps:cNvCnPr/>
                            <wps:spPr>
                              <a:xfrm>
                                <a:off x="0" y="0"/>
                                <a:ext cx="31432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直线 247" o:spid="_x0000_s1026" o:spt="20" style="position:absolute;left:0pt;margin-left:240.9pt;margin-top:9.75pt;height:0.05pt;width:24.75pt;z-index:-252090368;mso-width-relative:page;mso-height-relative:page;" filled="f" stroked="t" coordsize="21600,21600" o:gfxdata="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4wKdkAAAAJAQAADwAAAAAAAAABACAAAAAiAAAAZHJz&#10;L2Rvd25yZXYueG1sUEsBAhQAFAAAAAgAh07iQGvsbHnKAQAAhgMAAA4AAAAAAAAAAQAgAAAAKAEA&#10;AGRycy9lMm9Eb2MueG1sUEsFBgAAAAAGAAYAWQEAAGQFAAAAAA==&#10;">
                      <v:fill on="f" focussize="0,0"/>
                      <v:stroke color="#000000" joinstyle="round" endarrow="open"/>
                      <v:imagedata o:title=""/>
                      <o:lock v:ext="edit" aspectratio="f"/>
                    </v:line>
                  </w:pict>
                </mc:Fallback>
              </mc:AlternateContent>
            </w:r>
            <w:r>
              <w:rPr>
                <w:rFonts w:ascii="Times New Roman" w:hAnsi="Times New Roman" w:cs="Times New Roman"/>
                <w:color w:val="auto"/>
                <w:highlight w:val="none"/>
              </w:rPr>
              <mc:AlternateContent>
                <mc:Choice Requires="wps">
                  <w:drawing>
                    <wp:anchor distT="0" distB="0" distL="114300" distR="114300" simplePos="0" relativeHeight="251417600" behindDoc="0" locked="0" layoutInCell="1" allowOverlap="1">
                      <wp:simplePos x="0" y="0"/>
                      <wp:positionH relativeFrom="column">
                        <wp:posOffset>2097405</wp:posOffset>
                      </wp:positionH>
                      <wp:positionV relativeFrom="paragraph">
                        <wp:posOffset>123825</wp:posOffset>
                      </wp:positionV>
                      <wp:extent cx="314325" cy="635"/>
                      <wp:effectExtent l="0" t="48895" r="9525" b="64770"/>
                      <wp:wrapNone/>
                      <wp:docPr id="91" name="直线 130"/>
                      <wp:cNvGraphicFramePr/>
                      <a:graphic xmlns:a="http://schemas.openxmlformats.org/drawingml/2006/main">
                        <a:graphicData uri="http://schemas.microsoft.com/office/word/2010/wordprocessingShape">
                          <wps:wsp>
                            <wps:cNvCnPr/>
                            <wps:spPr>
                              <a:xfrm>
                                <a:off x="0" y="0"/>
                                <a:ext cx="31432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直线 130" o:spid="_x0000_s1026" o:spt="20" style="position:absolute;left:0pt;margin-left:165.15pt;margin-top:9.75pt;height:0.05pt;width:24.75pt;z-index:251417600;mso-width-relative:page;mso-height-relative:page;" filled="f" stroked="t" coordsize="21600,21600" o:gfxdata="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hTqR0dgAAAAJAQAADwAAAAAAAAABACAAAAAiAAAAZHJzL2Rv&#10;d25yZXYueG1sUEsBAhQAFAAAAAgAh07iQG+plYHIAQAAhgMAAA4AAAAAAAAAAQAgAAAAJwEAAGRy&#10;cy9lMm9Eb2MueG1sUEsFBgAAAAAGAAYAWQEAAGEFAAAAAA==&#10;">
                      <v:fill on="f" focussize="0,0"/>
                      <v:stroke color="#000000" joinstyle="round" endarrow="open"/>
                      <v:imagedata o:title=""/>
                      <o:lock v:ext="edit" aspectratio="f"/>
                    </v:line>
                  </w:pict>
                </mc:Fallback>
              </mc:AlternateContent>
            </w:r>
            <w:r>
              <w:rPr>
                <w:rFonts w:ascii="Times New Roman" w:hAnsi="Times New Roman" w:cs="Times New Roman"/>
                <w:color w:val="auto"/>
                <w:highlight w:val="none"/>
              </w:rPr>
              <mc:AlternateContent>
                <mc:Choice Requires="wps">
                  <w:drawing>
                    <wp:anchor distT="0" distB="0" distL="114300" distR="114300" simplePos="0" relativeHeight="251371520" behindDoc="0" locked="0" layoutInCell="1" allowOverlap="1">
                      <wp:simplePos x="0" y="0"/>
                      <wp:positionH relativeFrom="column">
                        <wp:posOffset>1125855</wp:posOffset>
                      </wp:positionH>
                      <wp:positionV relativeFrom="paragraph">
                        <wp:posOffset>142875</wp:posOffset>
                      </wp:positionV>
                      <wp:extent cx="314325" cy="635"/>
                      <wp:effectExtent l="0" t="48895" r="9525" b="64770"/>
                      <wp:wrapNone/>
                      <wp:docPr id="86" name="直线 131"/>
                      <wp:cNvGraphicFramePr/>
                      <a:graphic xmlns:a="http://schemas.openxmlformats.org/drawingml/2006/main">
                        <a:graphicData uri="http://schemas.microsoft.com/office/word/2010/wordprocessingShape">
                          <wps:wsp>
                            <wps:cNvCnPr/>
                            <wps:spPr>
                              <a:xfrm>
                                <a:off x="0" y="0"/>
                                <a:ext cx="31432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直线 131" o:spid="_x0000_s1026" o:spt="20" style="position:absolute;left:0pt;margin-left:88.65pt;margin-top:11.25pt;height:0.05pt;width:24.75pt;z-index:251371520;mso-width-relative:page;mso-height-relative:page;" filled="f" stroked="t" coordsize="21600,21600" o:gfxdata="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gFnYeNgAAAAJAQAADwAAAAAAAAABACAAAAAiAAAAZHJz&#10;L2Rvd25yZXYueG1sUEsBAhQAFAAAAAgAh07iQB2nUenLAQAAhgMAAA4AAAAAAAAAAQAgAAAAJwEA&#10;AGRycy9lMm9Eb2MueG1sUEsFBgAAAAAGAAYAWQEAAGQFAAAAAA==&#10;">
                      <v:fill on="f" focussize="0,0"/>
                      <v:stroke color="#000000" joinstyle="round" endarrow="open"/>
                      <v:imagedata o:title=""/>
                      <o:lock v:ext="edit" aspectratio="f"/>
                    </v:line>
                  </w:pict>
                </mc:Fallback>
              </mc:AlternateContent>
            </w:r>
            <w:r>
              <w:rPr>
                <w:rFonts w:ascii="Times New Roman" w:hAnsi="Times New Roman" w:cs="Times New Roman"/>
                <w:color w:val="auto"/>
                <w:highlight w:val="none"/>
              </w:rPr>
              <mc:AlternateContent>
                <mc:Choice Requires="wps">
                  <w:drawing>
                    <wp:anchor distT="0" distB="0" distL="114300" distR="114300" simplePos="0" relativeHeight="251340800" behindDoc="0" locked="0" layoutInCell="1" allowOverlap="1">
                      <wp:simplePos x="0" y="0"/>
                      <wp:positionH relativeFrom="column">
                        <wp:posOffset>1125855</wp:posOffset>
                      </wp:positionH>
                      <wp:positionV relativeFrom="paragraph">
                        <wp:posOffset>133350</wp:posOffset>
                      </wp:positionV>
                      <wp:extent cx="635" cy="975360"/>
                      <wp:effectExtent l="4445" t="0" r="13970" b="15240"/>
                      <wp:wrapNone/>
                      <wp:docPr id="84" name="直线 132"/>
                      <wp:cNvGraphicFramePr/>
                      <a:graphic xmlns:a="http://schemas.openxmlformats.org/drawingml/2006/main">
                        <a:graphicData uri="http://schemas.microsoft.com/office/word/2010/wordprocessingShape">
                          <wps:wsp>
                            <wps:cNvCnPr/>
                            <wps:spPr>
                              <a:xfrm>
                                <a:off x="0" y="0"/>
                                <a:ext cx="635" cy="97536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132" o:spid="_x0000_s1026" o:spt="20" style="position:absolute;left:0pt;margin-left:88.65pt;margin-top:10.5pt;height:76.8pt;width:0.05pt;z-index:251340800;mso-width-relative:page;mso-height-relative:page;" filled="f" stroked="t" coordsize="21600,21600" o:gfxdata="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FvJYEDWAAAACgEAAA8AAAAAAAAAAQAgAAAAIgAAAGRycy9kb3du&#10;cmV2LnhtbFBLAQIUABQAAAAIAIdO4kDIWmsTyAEAAIUDAAAOAAAAAAAAAAEAIAAAACUBAABkcnMv&#10;ZTJvRG9jLnhtbFBLBQYAAAAABgAGAFkBAABfBQAAAAA=&#10;">
                      <v:fill on="f" focussize="0,0"/>
                      <v:stroke color="#000000" joinstyle="round"/>
                      <v:imagedata o:title=""/>
                      <o:lock v:ext="edit" aspectratio="f"/>
                    </v:line>
                  </w:pict>
                </mc:Fallback>
              </mc:AlternateContent>
            </w:r>
            <w:r>
              <w:rPr>
                <w:rFonts w:ascii="Times New Roman" w:hAnsi="Times New Roman" w:cs="Times New Roman"/>
                <w:color w:val="auto"/>
                <w:highlight w:val="none"/>
              </w:rPr>
              <mc:AlternateContent>
                <mc:Choice Requires="wps">
                  <w:drawing>
                    <wp:anchor distT="0" distB="0" distL="114300" distR="114300" simplePos="0" relativeHeight="251294720" behindDoc="0" locked="0" layoutInCell="1" allowOverlap="1">
                      <wp:simplePos x="0" y="0"/>
                      <wp:positionH relativeFrom="column">
                        <wp:posOffset>535305</wp:posOffset>
                      </wp:positionH>
                      <wp:positionV relativeFrom="paragraph">
                        <wp:posOffset>172720</wp:posOffset>
                      </wp:positionV>
                      <wp:extent cx="10160" cy="524510"/>
                      <wp:effectExtent l="40640" t="0" r="63500" b="8890"/>
                      <wp:wrapNone/>
                      <wp:docPr id="79" name="直线 133"/>
                      <wp:cNvGraphicFramePr/>
                      <a:graphic xmlns:a="http://schemas.openxmlformats.org/drawingml/2006/main">
                        <a:graphicData uri="http://schemas.microsoft.com/office/word/2010/wordprocessingShape">
                          <wps:wsp>
                            <wps:cNvCnPr/>
                            <wps:spPr>
                              <a:xfrm>
                                <a:off x="0" y="0"/>
                                <a:ext cx="10160" cy="52451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直线 133" o:spid="_x0000_s1026" o:spt="20" style="position:absolute;left:0pt;margin-left:42.15pt;margin-top:13.6pt;height:41.3pt;width:0.8pt;z-index:251294720;mso-width-relative:page;mso-height-relative:page;" filled="f" stroked="t" coordsize="21600,21600" o:gfxdata="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Pw0e7tkAAAAIAQAADwAAAAAAAAABACAAAAAi&#10;AAAAZHJzL2Rvd25yZXYueG1sUEsBAhQAFAAAAAgAh07iQPC9iqbQAQAAiAMAAA4AAAAAAAAAAQAg&#10;AAAAKAEAAGRycy9lMm9Eb2MueG1sUEsFBgAAAAAGAAYAWQEAAGoFAAAAAA==&#10;">
                      <v:fill on="f" focussize="0,0"/>
                      <v:stroke color="#000000" joinstyle="round" endarrow="open"/>
                      <v:imagedata o:title=""/>
                      <o:lock v:ext="edit" aspectratio="f"/>
                    </v:line>
                  </w:pict>
                </mc:Fallback>
              </mc:AlternateContent>
            </w:r>
          </w:p>
          <w:p>
            <w:pPr>
              <w:pStyle w:val="24"/>
              <w:jc w:val="center"/>
              <w:rPr>
                <w:rFonts w:ascii="Times New Roman" w:hAnsi="Times New Roman" w:cs="Times New Roman"/>
                <w:color w:val="auto"/>
                <w:highlight w:val="none"/>
              </w:rPr>
            </w:pPr>
            <w:r>
              <w:rPr>
                <w:rFonts w:ascii="Times New Roman" w:hAnsi="Times New Roman" w:cs="Times New Roman"/>
                <w:color w:val="auto"/>
                <w:highlight w:val="none"/>
              </w:rPr>
              <mc:AlternateContent>
                <mc:Choice Requires="wps">
                  <w:drawing>
                    <wp:anchor distT="0" distB="0" distL="114300" distR="114300" simplePos="0" relativeHeight="251557888" behindDoc="0" locked="0" layoutInCell="1" allowOverlap="1">
                      <wp:simplePos x="0" y="0"/>
                      <wp:positionH relativeFrom="column">
                        <wp:posOffset>4762500</wp:posOffset>
                      </wp:positionH>
                      <wp:positionV relativeFrom="paragraph">
                        <wp:posOffset>165100</wp:posOffset>
                      </wp:positionV>
                      <wp:extent cx="857250" cy="762000"/>
                      <wp:effectExtent l="0" t="0" r="0" b="0"/>
                      <wp:wrapNone/>
                      <wp:docPr id="107" name="文本框 160"/>
                      <wp:cNvGraphicFramePr/>
                      <a:graphic xmlns:a="http://schemas.openxmlformats.org/drawingml/2006/main">
                        <a:graphicData uri="http://schemas.microsoft.com/office/word/2010/wordprocessingShape">
                          <wps:wsp>
                            <wps:cNvSpPr txBox="1"/>
                            <wps:spPr>
                              <a:xfrm>
                                <a:off x="0" y="0"/>
                                <a:ext cx="857250" cy="762000"/>
                              </a:xfrm>
                              <a:prstGeom prst="rect">
                                <a:avLst/>
                              </a:prstGeom>
                              <a:noFill/>
                              <a:ln>
                                <a:noFill/>
                              </a:ln>
                            </wps:spPr>
                            <wps:txbx>
                              <w:txbxContent>
                                <w:p>
                                  <w:pPr>
                                    <w:jc w:val="center"/>
                                    <w:rPr>
                                      <w:rFonts w:eastAsia="宋体"/>
                                      <w:b/>
                                      <w:bCs/>
                                      <w:sz w:val="22"/>
                                      <w:szCs w:val="18"/>
                                    </w:rPr>
                                  </w:pPr>
                                  <w:r>
                                    <w:rPr>
                                      <w:rFonts w:hint="eastAsia" w:eastAsia="宋体"/>
                                      <w:b/>
                                      <w:bCs/>
                                      <w:sz w:val="22"/>
                                      <w:szCs w:val="18"/>
                                    </w:rPr>
                                    <w:t>镇</w:t>
                                  </w:r>
                                </w:p>
                                <w:p>
                                  <w:pPr>
                                    <w:jc w:val="center"/>
                                    <w:rPr>
                                      <w:rFonts w:eastAsia="宋体"/>
                                      <w:b/>
                                      <w:bCs/>
                                      <w:sz w:val="22"/>
                                      <w:szCs w:val="18"/>
                                    </w:rPr>
                                  </w:pPr>
                                  <w:r>
                                    <w:rPr>
                                      <w:rFonts w:hint="eastAsia" w:eastAsia="宋体"/>
                                      <w:b/>
                                      <w:bCs/>
                                      <w:sz w:val="22"/>
                                      <w:szCs w:val="18"/>
                                    </w:rPr>
                                    <w:t>海</w:t>
                                  </w:r>
                                </w:p>
                                <w:p>
                                  <w:pPr>
                                    <w:jc w:val="center"/>
                                    <w:rPr>
                                      <w:rFonts w:eastAsia="宋体"/>
                                      <w:b/>
                                      <w:bCs/>
                                      <w:sz w:val="22"/>
                                      <w:szCs w:val="18"/>
                                    </w:rPr>
                                  </w:pPr>
                                  <w:r>
                                    <w:rPr>
                                      <w:rFonts w:hint="eastAsia" w:eastAsia="宋体"/>
                                      <w:b/>
                                      <w:bCs/>
                                      <w:sz w:val="22"/>
                                      <w:szCs w:val="18"/>
                                    </w:rPr>
                                    <w:t>水</w:t>
                                  </w:r>
                                </w:p>
                              </w:txbxContent>
                            </wps:txbx>
                            <wps:bodyPr upright="1">
                              <a:noAutofit/>
                            </wps:bodyPr>
                          </wps:wsp>
                        </a:graphicData>
                      </a:graphic>
                    </wp:anchor>
                  </w:drawing>
                </mc:Choice>
                <mc:Fallback>
                  <w:pict>
                    <v:shape id="文本框 160" o:spid="_x0000_s1026" o:spt="202" type="#_x0000_t202" style="position:absolute;left:0pt;margin-left:375pt;margin-top:13pt;height:60pt;width:67.5pt;z-index:251557888;mso-width-relative:page;mso-height-relative:page;" filled="f" stroked="f" coordsize="21600,21600" o:gfxdata="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7u8gd1QAAAAoBAAAPAAAAAAAAAAEAIAAA&#10;ACIAAABkcnMvZG93bnJldi54bWxQSwECFAAUAAAACACHTuJAI68WbZ0BAAAdAwAADgAAAAAAAAAB&#10;ACAAAAAkAQAAZHJzL2Uyb0RvYy54bWxQSwUGAAAAAAYABgBZAQAAMwUAAAAA&#10;">
                      <v:fill on="f" focussize="0,0"/>
                      <v:stroke on="f"/>
                      <v:imagedata o:title=""/>
                      <o:lock v:ext="edit" aspectratio="f"/>
                      <v:textbox>
                        <w:txbxContent>
                          <w:p>
                            <w:pPr>
                              <w:jc w:val="center"/>
                              <w:rPr>
                                <w:rFonts w:eastAsia="宋体"/>
                                <w:b/>
                                <w:bCs/>
                                <w:sz w:val="22"/>
                                <w:szCs w:val="18"/>
                              </w:rPr>
                            </w:pPr>
                            <w:r>
                              <w:rPr>
                                <w:rFonts w:hint="eastAsia" w:eastAsia="宋体"/>
                                <w:b/>
                                <w:bCs/>
                                <w:sz w:val="22"/>
                                <w:szCs w:val="18"/>
                              </w:rPr>
                              <w:t>镇</w:t>
                            </w:r>
                          </w:p>
                          <w:p>
                            <w:pPr>
                              <w:jc w:val="center"/>
                              <w:rPr>
                                <w:rFonts w:eastAsia="宋体"/>
                                <w:b/>
                                <w:bCs/>
                                <w:sz w:val="22"/>
                                <w:szCs w:val="18"/>
                              </w:rPr>
                            </w:pPr>
                            <w:r>
                              <w:rPr>
                                <w:rFonts w:hint="eastAsia" w:eastAsia="宋体"/>
                                <w:b/>
                                <w:bCs/>
                                <w:sz w:val="22"/>
                                <w:szCs w:val="18"/>
                              </w:rPr>
                              <w:t>海</w:t>
                            </w:r>
                          </w:p>
                          <w:p>
                            <w:pPr>
                              <w:jc w:val="center"/>
                              <w:rPr>
                                <w:rFonts w:eastAsia="宋体"/>
                                <w:b/>
                                <w:bCs/>
                                <w:sz w:val="22"/>
                                <w:szCs w:val="18"/>
                              </w:rPr>
                            </w:pPr>
                            <w:r>
                              <w:rPr>
                                <w:rFonts w:hint="eastAsia" w:eastAsia="宋体"/>
                                <w:b/>
                                <w:bCs/>
                                <w:sz w:val="22"/>
                                <w:szCs w:val="18"/>
                              </w:rPr>
                              <w:t>水</w:t>
                            </w:r>
                          </w:p>
                        </w:txbxContent>
                      </v:textbox>
                    </v:shape>
                  </w:pict>
                </mc:Fallback>
              </mc:AlternateContent>
            </w:r>
            <w:r>
              <w:rPr>
                <w:rFonts w:ascii="Times New Roman" w:hAnsi="Times New Roman" w:cs="Times New Roman"/>
                <w:color w:val="auto"/>
                <w:highlight w:val="none"/>
              </w:rPr>
              <mc:AlternateContent>
                <mc:Choice Requires="wps">
                  <w:drawing>
                    <wp:anchor distT="0" distB="0" distL="114300" distR="114300" simplePos="0" relativeHeight="251607040" behindDoc="0" locked="0" layoutInCell="1" allowOverlap="1">
                      <wp:simplePos x="0" y="0"/>
                      <wp:positionH relativeFrom="column">
                        <wp:posOffset>4422140</wp:posOffset>
                      </wp:positionH>
                      <wp:positionV relativeFrom="paragraph">
                        <wp:posOffset>166370</wp:posOffset>
                      </wp:positionV>
                      <wp:extent cx="857250" cy="320675"/>
                      <wp:effectExtent l="0" t="0" r="0" b="0"/>
                      <wp:wrapNone/>
                      <wp:docPr id="135" name="文本框 281"/>
                      <wp:cNvGraphicFramePr/>
                      <a:graphic xmlns:a="http://schemas.openxmlformats.org/drawingml/2006/main">
                        <a:graphicData uri="http://schemas.microsoft.com/office/word/2010/wordprocessingShape">
                          <wps:wsp>
                            <wps:cNvSpPr txBox="1"/>
                            <wps:spPr>
                              <a:xfrm>
                                <a:off x="0" y="0"/>
                                <a:ext cx="857250" cy="320675"/>
                              </a:xfrm>
                              <a:prstGeom prst="rect">
                                <a:avLst/>
                              </a:prstGeom>
                              <a:noFill/>
                              <a:ln>
                                <a:noFill/>
                              </a:ln>
                            </wps:spPr>
                            <wps:txbx>
                              <w:txbxContent>
                                <w:p>
                                  <w:pPr>
                                    <w:jc w:val="center"/>
                                    <w:rPr>
                                      <w:rFonts w:eastAsia="宋体"/>
                                      <w:b/>
                                      <w:bCs/>
                                      <w:sz w:val="22"/>
                                      <w:szCs w:val="18"/>
                                    </w:rPr>
                                  </w:pPr>
                                  <w:r>
                                    <w:rPr>
                                      <w:rFonts w:hint="eastAsia" w:eastAsia="宋体"/>
                                      <w:b/>
                                      <w:bCs/>
                                      <w:sz w:val="22"/>
                                      <w:szCs w:val="18"/>
                                    </w:rPr>
                                    <w:t>434t/a</w:t>
                                  </w:r>
                                </w:p>
                              </w:txbxContent>
                            </wps:txbx>
                            <wps:bodyPr upright="1"/>
                          </wps:wsp>
                        </a:graphicData>
                      </a:graphic>
                    </wp:anchor>
                  </w:drawing>
                </mc:Choice>
                <mc:Fallback>
                  <w:pict>
                    <v:shape id="文本框 281" o:spid="_x0000_s1026" o:spt="202" type="#_x0000_t202" style="position:absolute;left:0pt;margin-left:348.2pt;margin-top:13.1pt;height:25.25pt;width:67.5pt;z-index:251607040;mso-width-relative:page;mso-height-relative:page;" filled="f" stroked="f" coordsize="21600,21600" o:gfxdata="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kahrM9cAAAAJAQAADwAAAAAAAAABACAAAAAiAAAAZHJz&#10;L2Rvd25yZXYueG1sUEsBAhQAFAAAAAgAh07iQBmKV1qTAQAAAwMAAA4AAAAAAAAAAQAgAAAAJgEA&#10;AGRycy9lMm9Eb2MueG1sUEsFBgAAAAAGAAYAWQEAACsFAAAAAA==&#10;">
                      <v:fill on="f" focussize="0,0"/>
                      <v:stroke on="f"/>
                      <v:imagedata o:title=""/>
                      <o:lock v:ext="edit" aspectratio="f"/>
                      <v:textbox>
                        <w:txbxContent>
                          <w:p>
                            <w:pPr>
                              <w:jc w:val="center"/>
                              <w:rPr>
                                <w:rFonts w:eastAsia="宋体"/>
                                <w:b/>
                                <w:bCs/>
                                <w:sz w:val="22"/>
                                <w:szCs w:val="18"/>
                              </w:rPr>
                            </w:pPr>
                            <w:r>
                              <w:rPr>
                                <w:rFonts w:hint="eastAsia" w:eastAsia="宋体"/>
                                <w:b/>
                                <w:bCs/>
                                <w:sz w:val="22"/>
                                <w:szCs w:val="18"/>
                              </w:rPr>
                              <w:t>434t/a</w:t>
                            </w:r>
                          </w:p>
                        </w:txbxContent>
                      </v:textbox>
                    </v:shape>
                  </w:pict>
                </mc:Fallback>
              </mc:AlternateContent>
            </w:r>
            <w:r>
              <w:rPr>
                <w:rFonts w:ascii="Times New Roman" w:hAnsi="Times New Roman" w:cs="Times New Roman"/>
                <w:color w:val="auto"/>
                <w:highlight w:val="none"/>
              </w:rPr>
              <mc:AlternateContent>
                <mc:Choice Requires="wps">
                  <w:drawing>
                    <wp:anchor distT="0" distB="0" distL="114300" distR="114300" simplePos="0" relativeHeight="251561984" behindDoc="0" locked="0" layoutInCell="1" allowOverlap="1">
                      <wp:simplePos x="0" y="0"/>
                      <wp:positionH relativeFrom="column">
                        <wp:posOffset>-121285</wp:posOffset>
                      </wp:positionH>
                      <wp:positionV relativeFrom="paragraph">
                        <wp:posOffset>85090</wp:posOffset>
                      </wp:positionV>
                      <wp:extent cx="857250" cy="713740"/>
                      <wp:effectExtent l="0" t="0" r="0" b="0"/>
                      <wp:wrapNone/>
                      <wp:docPr id="109" name="文本框 144"/>
                      <wp:cNvGraphicFramePr/>
                      <a:graphic xmlns:a="http://schemas.openxmlformats.org/drawingml/2006/main">
                        <a:graphicData uri="http://schemas.microsoft.com/office/word/2010/wordprocessingShape">
                          <wps:wsp>
                            <wps:cNvSpPr txBox="1"/>
                            <wps:spPr>
                              <a:xfrm>
                                <a:off x="0" y="0"/>
                                <a:ext cx="857250" cy="713740"/>
                              </a:xfrm>
                              <a:prstGeom prst="rect">
                                <a:avLst/>
                              </a:prstGeom>
                              <a:noFill/>
                              <a:ln>
                                <a:noFill/>
                              </a:ln>
                            </wps:spPr>
                            <wps:txbx>
                              <w:txbxContent>
                                <w:p>
                                  <w:pPr>
                                    <w:jc w:val="center"/>
                                    <w:rPr>
                                      <w:rFonts w:eastAsia="宋体"/>
                                      <w:b/>
                                      <w:bCs/>
                                      <w:sz w:val="22"/>
                                      <w:szCs w:val="18"/>
                                    </w:rPr>
                                  </w:pPr>
                                  <w:r>
                                    <w:rPr>
                                      <w:rFonts w:hint="eastAsia" w:eastAsia="宋体"/>
                                      <w:b/>
                                      <w:bCs/>
                                      <w:sz w:val="22"/>
                                      <w:szCs w:val="18"/>
                                    </w:rPr>
                                    <w:t>549.6t/a</w:t>
                                  </w:r>
                                </w:p>
                              </w:txbxContent>
                            </wps:txbx>
                            <wps:bodyPr upright="1"/>
                          </wps:wsp>
                        </a:graphicData>
                      </a:graphic>
                    </wp:anchor>
                  </w:drawing>
                </mc:Choice>
                <mc:Fallback>
                  <w:pict>
                    <v:shape id="文本框 144" o:spid="_x0000_s1026" o:spt="202" type="#_x0000_t202" style="position:absolute;left:0pt;margin-left:-9.55pt;margin-top:6.7pt;height:56.2pt;width:67.5pt;z-index:251561984;mso-width-relative:page;mso-height-relative:page;" filled="f" stroked="f" coordsize="21600,21600" o:gfxdata="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x0tyd1gAAAAoBAAAPAAAAAAAAAAEAIAAAACIAAABkcnMv&#10;ZG93bnJldi54bWxQSwECFAAUAAAACACHTuJA6iSTw5MBAAADAwAADgAAAAAAAAABACAAAAAlAQAA&#10;ZHJzL2Uyb0RvYy54bWxQSwUGAAAAAAYABgBZAQAAKgUAAAAA&#10;">
                      <v:fill on="f" focussize="0,0"/>
                      <v:stroke on="f"/>
                      <v:imagedata o:title=""/>
                      <o:lock v:ext="edit" aspectratio="f"/>
                      <v:textbox>
                        <w:txbxContent>
                          <w:p>
                            <w:pPr>
                              <w:jc w:val="center"/>
                              <w:rPr>
                                <w:rFonts w:eastAsia="宋体"/>
                                <w:b/>
                                <w:bCs/>
                                <w:sz w:val="22"/>
                                <w:szCs w:val="18"/>
                              </w:rPr>
                            </w:pPr>
                            <w:r>
                              <w:rPr>
                                <w:rFonts w:hint="eastAsia" w:eastAsia="宋体"/>
                                <w:b/>
                                <w:bCs/>
                                <w:sz w:val="22"/>
                                <w:szCs w:val="18"/>
                              </w:rPr>
                              <w:t>549.6t/a</w:t>
                            </w:r>
                          </w:p>
                        </w:txbxContent>
                      </v:textbox>
                    </v:shape>
                  </w:pict>
                </mc:Fallback>
              </mc:AlternateContent>
            </w:r>
            <w:r>
              <w:rPr>
                <w:rFonts w:ascii="Times New Roman" w:hAnsi="Times New Roman" w:cs="Times New Roman"/>
                <w:color w:val="auto"/>
                <w:highlight w:val="none"/>
              </w:rPr>
              <mc:AlternateContent>
                <mc:Choice Requires="wps">
                  <w:drawing>
                    <wp:anchor distT="0" distB="0" distL="114300" distR="114300" simplePos="0" relativeHeight="251542528" behindDoc="0" locked="0" layoutInCell="1" allowOverlap="1">
                      <wp:simplePos x="0" y="0"/>
                      <wp:positionH relativeFrom="column">
                        <wp:posOffset>907415</wp:posOffset>
                      </wp:positionH>
                      <wp:positionV relativeFrom="paragraph">
                        <wp:posOffset>79375</wp:posOffset>
                      </wp:positionV>
                      <wp:extent cx="857250" cy="713740"/>
                      <wp:effectExtent l="0" t="0" r="0" b="0"/>
                      <wp:wrapNone/>
                      <wp:docPr id="106" name="文本框 134"/>
                      <wp:cNvGraphicFramePr/>
                      <a:graphic xmlns:a="http://schemas.openxmlformats.org/drawingml/2006/main">
                        <a:graphicData uri="http://schemas.microsoft.com/office/word/2010/wordprocessingShape">
                          <wps:wsp>
                            <wps:cNvSpPr txBox="1"/>
                            <wps:spPr>
                              <a:xfrm>
                                <a:off x="0" y="0"/>
                                <a:ext cx="857250" cy="713740"/>
                              </a:xfrm>
                              <a:prstGeom prst="rect">
                                <a:avLst/>
                              </a:prstGeom>
                              <a:noFill/>
                              <a:ln>
                                <a:noFill/>
                              </a:ln>
                            </wps:spPr>
                            <wps:txbx>
                              <w:txbxContent>
                                <w:p>
                                  <w:pPr>
                                    <w:jc w:val="center"/>
                                    <w:rPr>
                                      <w:rFonts w:eastAsia="宋体"/>
                                      <w:b/>
                                      <w:bCs/>
                                      <w:sz w:val="22"/>
                                      <w:szCs w:val="18"/>
                                    </w:rPr>
                                  </w:pPr>
                                  <w:r>
                                    <w:rPr>
                                      <w:rFonts w:hint="eastAsia" w:eastAsia="宋体"/>
                                      <w:b/>
                                      <w:bCs/>
                                      <w:sz w:val="22"/>
                                      <w:szCs w:val="18"/>
                                    </w:rPr>
                                    <w:t>69.6t/a</w:t>
                                  </w:r>
                                </w:p>
                              </w:txbxContent>
                            </wps:txbx>
                            <wps:bodyPr upright="1"/>
                          </wps:wsp>
                        </a:graphicData>
                      </a:graphic>
                    </wp:anchor>
                  </w:drawing>
                </mc:Choice>
                <mc:Fallback>
                  <w:pict>
                    <v:shape id="文本框 134" o:spid="_x0000_s1026" o:spt="202" type="#_x0000_t202" style="position:absolute;left:0pt;margin-left:71.45pt;margin-top:6.25pt;height:56.2pt;width:67.5pt;z-index:251542528;mso-width-relative:page;mso-height-relative:page;" filled="f" stroked="f" coordsize="21600,21600" o:gfxdata="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yXX8Q1gAAAAoBAAAPAAAAAAAAAAEAIAAAACIAAABkcnMvZG93&#10;bnJldi54bWxQSwECFAAUAAAACACHTuJA8lhGipABAAADAwAADgAAAAAAAAABACAAAAAlAQAAZHJz&#10;L2Uyb0RvYy54bWxQSwUGAAAAAAYABgBZAQAAJwUAAAAA&#10;">
                      <v:fill on="f" focussize="0,0"/>
                      <v:stroke on="f"/>
                      <v:imagedata o:title=""/>
                      <o:lock v:ext="edit" aspectratio="f"/>
                      <v:textbox>
                        <w:txbxContent>
                          <w:p>
                            <w:pPr>
                              <w:jc w:val="center"/>
                              <w:rPr>
                                <w:rFonts w:eastAsia="宋体"/>
                                <w:b/>
                                <w:bCs/>
                                <w:sz w:val="22"/>
                                <w:szCs w:val="18"/>
                              </w:rPr>
                            </w:pPr>
                            <w:r>
                              <w:rPr>
                                <w:rFonts w:hint="eastAsia" w:eastAsia="宋体"/>
                                <w:b/>
                                <w:bCs/>
                                <w:sz w:val="22"/>
                                <w:szCs w:val="18"/>
                              </w:rPr>
                              <w:t>69.6t/a</w:t>
                            </w:r>
                          </w:p>
                        </w:txbxContent>
                      </v:textbox>
                    </v:shape>
                  </w:pict>
                </mc:Fallback>
              </mc:AlternateContent>
            </w:r>
            <w:r>
              <w:rPr>
                <w:rFonts w:ascii="Times New Roman" w:hAnsi="Times New Roman" w:cs="Times New Roman"/>
                <w:color w:val="auto"/>
                <w:highlight w:val="none"/>
              </w:rPr>
              <mc:AlternateContent>
                <mc:Choice Requires="wps">
                  <w:drawing>
                    <wp:anchor distT="0" distB="0" distL="114300" distR="114300" simplePos="0" relativeHeight="251449344" behindDoc="0" locked="0" layoutInCell="1" allowOverlap="1">
                      <wp:simplePos x="0" y="0"/>
                      <wp:positionH relativeFrom="column">
                        <wp:posOffset>1773555</wp:posOffset>
                      </wp:positionH>
                      <wp:positionV relativeFrom="paragraph">
                        <wp:posOffset>189230</wp:posOffset>
                      </wp:positionV>
                      <wp:extent cx="6985" cy="174625"/>
                      <wp:effectExtent l="4445" t="0" r="7620" b="16510"/>
                      <wp:wrapNone/>
                      <wp:docPr id="98" name="直线 135"/>
                      <wp:cNvGraphicFramePr/>
                      <a:graphic xmlns:a="http://schemas.openxmlformats.org/drawingml/2006/main">
                        <a:graphicData uri="http://schemas.microsoft.com/office/word/2010/wordprocessingShape">
                          <wps:wsp>
                            <wps:cNvCnPr/>
                            <wps:spPr>
                              <a:xfrm>
                                <a:off x="0" y="0"/>
                                <a:ext cx="6985" cy="174625"/>
                              </a:xfrm>
                              <a:prstGeom prst="line">
                                <a:avLst/>
                              </a:prstGeom>
                              <a:ln w="9525" cap="flat" cmpd="sng">
                                <a:solidFill>
                                  <a:srgbClr val="000000"/>
                                </a:solidFill>
                                <a:prstDash val="dash"/>
                                <a:headEnd type="none" w="med" len="med"/>
                                <a:tailEnd type="none" w="med" len="med"/>
                              </a:ln>
                            </wps:spPr>
                            <wps:bodyPr/>
                          </wps:wsp>
                        </a:graphicData>
                      </a:graphic>
                    </wp:anchor>
                  </w:drawing>
                </mc:Choice>
                <mc:Fallback>
                  <w:pict>
                    <v:line id="直线 135" o:spid="_x0000_s1026" o:spt="20" style="position:absolute;left:0pt;margin-left:139.65pt;margin-top:14.9pt;height:13.75pt;width:0.55pt;z-index:251449344;mso-width-relative:page;mso-height-relative:page;" filled="f" stroked="t" coordsize="21600,21600" o:gfxdata="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5+rYP9kAAAAJAQAADwAAAAAAAAABACAAAAAiAAAAZHJz&#10;L2Rvd25yZXYueG1sUEsBAhQAFAAAAAgAh07iQGc+5wfKAQAAhQMAAA4AAAAAAAAAAQAgAAAAKAEA&#10;AGRycy9lMm9Eb2MueG1sUEsFBgAAAAAGAAYAWQEAAGQFAAAAAA==&#10;">
                      <v:fill on="f" focussize="0,0"/>
                      <v:stroke color="#000000" joinstyle="round" dashstyle="dash"/>
                      <v:imagedata o:title=""/>
                      <o:lock v:ext="edit" aspectratio="f"/>
                    </v:line>
                  </w:pict>
                </mc:Fallback>
              </mc:AlternateContent>
            </w:r>
          </w:p>
          <w:p>
            <w:pPr>
              <w:pStyle w:val="24"/>
              <w:jc w:val="center"/>
              <w:rPr>
                <w:rFonts w:ascii="Times New Roman" w:hAnsi="Times New Roman" w:cs="Times New Roman"/>
                <w:color w:val="auto"/>
                <w:highlight w:val="none"/>
              </w:rPr>
            </w:pPr>
            <w:r>
              <w:rPr>
                <w:rFonts w:ascii="Times New Roman" w:hAnsi="Times New Roman" w:cs="Times New Roman"/>
                <w:color w:val="auto"/>
                <w:highlight w:val="none"/>
              </w:rPr>
              <mc:AlternateContent>
                <mc:Choice Requires="wps">
                  <w:drawing>
                    <wp:anchor distT="0" distB="0" distL="114300" distR="114300" simplePos="0" relativeHeight="251559936" behindDoc="0" locked="0" layoutInCell="1" allowOverlap="1">
                      <wp:simplePos x="0" y="0"/>
                      <wp:positionH relativeFrom="column">
                        <wp:posOffset>2026920</wp:posOffset>
                      </wp:positionH>
                      <wp:positionV relativeFrom="paragraph">
                        <wp:posOffset>10160</wp:posOffset>
                      </wp:positionV>
                      <wp:extent cx="1075055" cy="262890"/>
                      <wp:effectExtent l="0" t="0" r="0" b="0"/>
                      <wp:wrapNone/>
                      <wp:docPr id="108" name="文本框 136"/>
                      <wp:cNvGraphicFramePr/>
                      <a:graphic xmlns:a="http://schemas.openxmlformats.org/drawingml/2006/main">
                        <a:graphicData uri="http://schemas.microsoft.com/office/word/2010/wordprocessingShape">
                          <wps:wsp>
                            <wps:cNvSpPr txBox="1"/>
                            <wps:spPr>
                              <a:xfrm>
                                <a:off x="0" y="0"/>
                                <a:ext cx="1075055" cy="262890"/>
                              </a:xfrm>
                              <a:prstGeom prst="rect">
                                <a:avLst/>
                              </a:prstGeom>
                              <a:noFill/>
                              <a:ln>
                                <a:noFill/>
                              </a:ln>
                            </wps:spPr>
                            <wps:txbx>
                              <w:txbxContent>
                                <w:p>
                                  <w:pPr>
                                    <w:rPr>
                                      <w:rFonts w:eastAsia="宋体"/>
                                      <w:b/>
                                      <w:bCs/>
                                      <w:sz w:val="22"/>
                                      <w:szCs w:val="18"/>
                                    </w:rPr>
                                  </w:pPr>
                                  <w:r>
                                    <w:rPr>
                                      <w:rFonts w:hint="eastAsia" w:eastAsia="宋体"/>
                                      <w:b/>
                                      <w:bCs/>
                                      <w:sz w:val="22"/>
                                      <w:szCs w:val="18"/>
                                    </w:rPr>
                                    <w:t>损耗67.6t/a</w:t>
                                  </w:r>
                                </w:p>
                              </w:txbxContent>
                            </wps:txbx>
                            <wps:bodyPr upright="1"/>
                          </wps:wsp>
                        </a:graphicData>
                      </a:graphic>
                    </wp:anchor>
                  </w:drawing>
                </mc:Choice>
                <mc:Fallback>
                  <w:pict>
                    <v:shape id="文本框 136" o:spid="_x0000_s1026" o:spt="202" type="#_x0000_t202" style="position:absolute;left:0pt;margin-left:159.6pt;margin-top:0.8pt;height:20.7pt;width:84.65pt;z-index:251559936;mso-width-relative:page;mso-height-relative:page;" filled="f" stroked="f" coordsize="21600,21600" o:gfxdata="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TxWSR1gAAAAgBAAAPAAAAAAAAAAEAIAAAACIAAABkcnMvZG93&#10;bnJldi54bWxQSwECFAAUAAAACACHTuJAqstCqJABAAAEAwAADgAAAAAAAAABACAAAAAlAQAAZHJz&#10;L2Uyb0RvYy54bWxQSwUGAAAAAAYABgBZAQAAJwUAAAAA&#10;">
                      <v:fill on="f" focussize="0,0"/>
                      <v:stroke on="f"/>
                      <v:imagedata o:title=""/>
                      <o:lock v:ext="edit" aspectratio="f"/>
                      <v:textbox>
                        <w:txbxContent>
                          <w:p>
                            <w:pPr>
                              <w:rPr>
                                <w:rFonts w:eastAsia="宋体"/>
                                <w:b/>
                                <w:bCs/>
                                <w:sz w:val="22"/>
                                <w:szCs w:val="18"/>
                              </w:rPr>
                            </w:pPr>
                            <w:r>
                              <w:rPr>
                                <w:rFonts w:hint="eastAsia" w:eastAsia="宋体"/>
                                <w:b/>
                                <w:bCs/>
                                <w:sz w:val="22"/>
                                <w:szCs w:val="18"/>
                              </w:rPr>
                              <w:t>损耗67.6t/a</w:t>
                            </w:r>
                          </w:p>
                        </w:txbxContent>
                      </v:textbox>
                    </v:shape>
                  </w:pict>
                </mc:Fallback>
              </mc:AlternateContent>
            </w:r>
            <w:r>
              <w:rPr>
                <w:rFonts w:ascii="Times New Roman" w:hAnsi="Times New Roman" w:cs="Times New Roman"/>
                <w:color w:val="auto"/>
                <w:highlight w:val="none"/>
              </w:rPr>
              <mc:AlternateContent>
                <mc:Choice Requires="wps">
                  <w:drawing>
                    <wp:anchor distT="0" distB="0" distL="114300" distR="114300" simplePos="0" relativeHeight="251451392" behindDoc="0" locked="0" layoutInCell="1" allowOverlap="1">
                      <wp:simplePos x="0" y="0"/>
                      <wp:positionH relativeFrom="column">
                        <wp:posOffset>1805940</wp:posOffset>
                      </wp:positionH>
                      <wp:positionV relativeFrom="paragraph">
                        <wp:posOffset>172085</wp:posOffset>
                      </wp:positionV>
                      <wp:extent cx="261620" cy="635"/>
                      <wp:effectExtent l="0" t="48895" r="5080" b="64770"/>
                      <wp:wrapNone/>
                      <wp:docPr id="99" name="直线 139"/>
                      <wp:cNvGraphicFramePr/>
                      <a:graphic xmlns:a="http://schemas.openxmlformats.org/drawingml/2006/main">
                        <a:graphicData uri="http://schemas.microsoft.com/office/word/2010/wordprocessingShape">
                          <wps:wsp>
                            <wps:cNvCnPr/>
                            <wps:spPr>
                              <a:xfrm flipV="1">
                                <a:off x="0" y="0"/>
                                <a:ext cx="261620" cy="635"/>
                              </a:xfrm>
                              <a:prstGeom prst="line">
                                <a:avLst/>
                              </a:prstGeom>
                              <a:ln w="9525" cap="flat" cmpd="sng">
                                <a:solidFill>
                                  <a:srgbClr val="000000"/>
                                </a:solidFill>
                                <a:prstDash val="dash"/>
                                <a:headEnd type="none" w="med" len="med"/>
                                <a:tailEnd type="arrow" w="med" len="med"/>
                              </a:ln>
                            </wps:spPr>
                            <wps:bodyPr/>
                          </wps:wsp>
                        </a:graphicData>
                      </a:graphic>
                    </wp:anchor>
                  </w:drawing>
                </mc:Choice>
                <mc:Fallback>
                  <w:pict>
                    <v:line id="直线 139" o:spid="_x0000_s1026" o:spt="20" style="position:absolute;left:0pt;flip:y;margin-left:142.2pt;margin-top:13.55pt;height:0.05pt;width:20.6pt;z-index:251451392;mso-width-relative:page;mso-height-relative:page;" filled="f" stroked="t" coordsize="21600,21600" o:gfxdata="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yzN/u1gAAAAkBAAAPAAAAAAAAAAEAIAAAACIA&#10;AABkcnMvZG93bnJldi54bWxQSwECFAAUAAAACACHTuJARAvp99IBAACPAwAADgAAAAAAAAABACAA&#10;AAAlAQAAZHJzL2Uyb0RvYy54bWxQSwUGAAAAAAYABgBZAQAAaQUAAAAA&#10;">
                      <v:fill on="f" focussize="0,0"/>
                      <v:stroke color="#000000" joinstyle="round" dashstyle="dash" endarrow="open"/>
                      <v:imagedata o:title=""/>
                      <o:lock v:ext="edit" aspectratio="f"/>
                    </v:line>
                  </w:pict>
                </mc:Fallback>
              </mc:AlternateContent>
            </w:r>
          </w:p>
          <w:p>
            <w:pPr>
              <w:pStyle w:val="24"/>
              <w:jc w:val="center"/>
              <w:rPr>
                <w:rFonts w:ascii="Times New Roman" w:hAnsi="Times New Roman" w:cs="Times New Roman"/>
                <w:color w:val="auto"/>
                <w:highlight w:val="none"/>
              </w:rPr>
            </w:pPr>
            <w:r>
              <w:rPr>
                <w:rFonts w:ascii="Times New Roman" w:hAnsi="Times New Roman" w:cs="Times New Roman"/>
                <w:color w:val="auto"/>
                <w:highlight w:val="none"/>
              </w:rPr>
              <mc:AlternateContent>
                <mc:Choice Requires="wps">
                  <w:drawing>
                    <wp:anchor distT="0" distB="0" distL="114300" distR="114300" simplePos="0" relativeHeight="251583488" behindDoc="0" locked="0" layoutInCell="1" allowOverlap="1">
                      <wp:simplePos x="0" y="0"/>
                      <wp:positionH relativeFrom="column">
                        <wp:posOffset>4572000</wp:posOffset>
                      </wp:positionH>
                      <wp:positionV relativeFrom="paragraph">
                        <wp:posOffset>24130</wp:posOffset>
                      </wp:positionV>
                      <wp:extent cx="523875" cy="0"/>
                      <wp:effectExtent l="0" t="76200" r="28575" b="114300"/>
                      <wp:wrapNone/>
                      <wp:docPr id="122" name="直线 154"/>
                      <wp:cNvGraphicFramePr/>
                      <a:graphic xmlns:a="http://schemas.openxmlformats.org/drawingml/2006/main">
                        <a:graphicData uri="http://schemas.microsoft.com/office/word/2010/wordprocessingShape">
                          <wps:wsp>
                            <wps:cNvCnPr/>
                            <wps:spPr>
                              <a:xfrm flipV="1">
                                <a:off x="0" y="0"/>
                                <a:ext cx="523875" cy="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直线 154" o:spid="_x0000_s1026" o:spt="20" style="position:absolute;left:0pt;flip:y;margin-left:360pt;margin-top:1.9pt;height:0pt;width:41.25pt;z-index:251583488;mso-width-relative:page;mso-height-relative:page;" filled="f" stroked="t" coordsize="21600,21600" o:gfxdata="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Li8+u1AAAAAcBAAAPAAAAAAAAAAEAIAAAACIAAABk&#10;cnMvZG93bnJldi54bWxQSwECFAAUAAAACACHTuJAAk6I5NEBAACPAwAADgAAAAAAAAABACAAAAAj&#10;AQAAZHJzL2Uyb0RvYy54bWxQSwUGAAAAAAYABgBZAQAAZgUAAAAA&#10;">
                      <v:fill on="f" focussize="0,0"/>
                      <v:stroke color="#000000" joinstyle="round" endarrow="open"/>
                      <v:imagedata o:title=""/>
                      <o:lock v:ext="edit" aspectratio="f"/>
                    </v:line>
                  </w:pict>
                </mc:Fallback>
              </mc:AlternateContent>
            </w:r>
            <w:r>
              <w:rPr>
                <w:rFonts w:ascii="Times New Roman" w:hAnsi="Times New Roman" w:cs="Times New Roman"/>
                <w:color w:val="auto"/>
                <w:highlight w:val="none"/>
              </w:rPr>
              <mc:AlternateContent>
                <mc:Choice Requires="wpg">
                  <w:drawing>
                    <wp:anchor distT="0" distB="0" distL="114300" distR="114300" simplePos="0" relativeHeight="251325440" behindDoc="0" locked="0" layoutInCell="1" allowOverlap="1">
                      <wp:simplePos x="0" y="0"/>
                      <wp:positionH relativeFrom="column">
                        <wp:posOffset>211455</wp:posOffset>
                      </wp:positionH>
                      <wp:positionV relativeFrom="paragraph">
                        <wp:posOffset>93345</wp:posOffset>
                      </wp:positionV>
                      <wp:extent cx="857250" cy="318135"/>
                      <wp:effectExtent l="4445" t="5080" r="0" b="19685"/>
                      <wp:wrapNone/>
                      <wp:docPr id="83" name="组合 140"/>
                      <wp:cNvGraphicFramePr/>
                      <a:graphic xmlns:a="http://schemas.openxmlformats.org/drawingml/2006/main">
                        <a:graphicData uri="http://schemas.microsoft.com/office/word/2010/wordprocessingGroup">
                          <wpg:wgp>
                            <wpg:cNvGrpSpPr/>
                            <wpg:grpSpPr>
                              <a:xfrm>
                                <a:off x="0" y="0"/>
                                <a:ext cx="857250" cy="318135"/>
                                <a:chOff x="5731" y="141477"/>
                                <a:chExt cx="1350" cy="720"/>
                              </a:xfrm>
                            </wpg:grpSpPr>
                            <wps:wsp>
                              <wps:cNvPr id="81" name="矩形 141"/>
                              <wps:cNvSpPr/>
                              <wps:spPr>
                                <a:xfrm>
                                  <a:off x="5731" y="141477"/>
                                  <a:ext cx="990" cy="720"/>
                                </a:xfrm>
                                <a:prstGeom prst="rect">
                                  <a:avLst/>
                                </a:prstGeom>
                                <a:noFill/>
                                <a:ln w="9525" cap="flat" cmpd="sng">
                                  <a:solidFill>
                                    <a:srgbClr val="000000"/>
                                  </a:solidFill>
                                  <a:prstDash val="solid"/>
                                  <a:miter/>
                                  <a:headEnd type="none" w="med" len="med"/>
                                  <a:tailEnd type="none" w="med" len="med"/>
                                </a:ln>
                              </wps:spPr>
                              <wps:bodyPr upright="1"/>
                            </wps:wsp>
                            <wps:wsp>
                              <wps:cNvPr id="82" name="文本框 142"/>
                              <wps:cNvSpPr txBox="1"/>
                              <wps:spPr>
                                <a:xfrm>
                                  <a:off x="5731" y="141537"/>
                                  <a:ext cx="1350" cy="660"/>
                                </a:xfrm>
                                <a:prstGeom prst="rect">
                                  <a:avLst/>
                                </a:prstGeom>
                                <a:noFill/>
                                <a:ln>
                                  <a:noFill/>
                                </a:ln>
                              </wps:spPr>
                              <wps:txbx>
                                <w:txbxContent>
                                  <w:p>
                                    <w:pPr>
                                      <w:rPr>
                                        <w:rFonts w:eastAsia="宋体"/>
                                      </w:rPr>
                                    </w:pPr>
                                    <w:r>
                                      <w:rPr>
                                        <w:rFonts w:hint="eastAsia"/>
                                      </w:rPr>
                                      <w:t>新鲜水</w:t>
                                    </w:r>
                                  </w:p>
                                </w:txbxContent>
                              </wps:txbx>
                              <wps:bodyPr upright="1"/>
                            </wps:wsp>
                          </wpg:wgp>
                        </a:graphicData>
                      </a:graphic>
                    </wp:anchor>
                  </w:drawing>
                </mc:Choice>
                <mc:Fallback>
                  <w:pict>
                    <v:group id="组合 140" o:spid="_x0000_s1026" o:spt="203" style="position:absolute;left:0pt;margin-left:16.65pt;margin-top:7.35pt;height:25.05pt;width:67.5pt;z-index:251325440;mso-width-relative:page;mso-height-relative:page;" coordorigin="5731,141477" coordsize="1350,720" o:gfxdata="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W&#10;yc+q2AAAAAgBAAAPAAAAAAAAAAEAIAAAACIAAABkcnMvZG93bnJldi54bWxQSwECFAAUAAAACACH&#10;TuJAT3M4uJYCAABTBgAADgAAAAAAAAABACAAAAAnAQAAZHJzL2Uyb0RvYy54bWxQSwUGAAAAAAYA&#10;BgBZAQAALwYAAAAA&#10;">
                      <o:lock v:ext="edit" aspectratio="f"/>
                      <v:rect id="矩形 141" o:spid="_x0000_s1026" o:spt="1" style="position:absolute;left:5731;top:141477;height:720;width:990;" filled="f" stroked="t" coordsize="21600,21600" o:gfxdata="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qBpD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rect>
                      <v:shape id="文本框 142" o:spid="_x0000_s1026" o:spt="202" type="#_x0000_t202" style="position:absolute;left:5731;top:141537;height:660;width:1350;" filled="f" stroked="f" coordsize="21600,21600" o:gfxdata="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conb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eastAsia="宋体"/>
                                </w:rPr>
                              </w:pPr>
                              <w:r>
                                <w:rPr>
                                  <w:rFonts w:hint="eastAsia"/>
                                </w:rPr>
                                <w:t>新鲜水</w:t>
                              </w:r>
                            </w:p>
                          </w:txbxContent>
                        </v:textbox>
                      </v:shape>
                    </v:group>
                  </w:pict>
                </mc:Fallback>
              </mc:AlternateContent>
            </w:r>
          </w:p>
          <w:p>
            <w:pPr>
              <w:pStyle w:val="24"/>
              <w:jc w:val="center"/>
              <w:rPr>
                <w:rFonts w:ascii="Times New Roman" w:hAnsi="Times New Roman" w:cs="Times New Roman"/>
                <w:color w:val="auto"/>
                <w:highlight w:val="none"/>
              </w:rPr>
            </w:pPr>
            <w:r>
              <w:rPr>
                <w:rFonts w:ascii="Times New Roman" w:hAnsi="Times New Roman" w:cs="Times New Roman"/>
                <w:color w:val="auto"/>
                <w:highlight w:val="none"/>
              </w:rPr>
              <mc:AlternateContent>
                <mc:Choice Requires="wps">
                  <w:drawing>
                    <wp:anchor distT="0" distB="0" distL="114300" distR="114300" simplePos="0" relativeHeight="251540480" behindDoc="0" locked="0" layoutInCell="1" allowOverlap="1">
                      <wp:simplePos x="0" y="0"/>
                      <wp:positionH relativeFrom="column">
                        <wp:posOffset>2393315</wp:posOffset>
                      </wp:positionH>
                      <wp:positionV relativeFrom="paragraph">
                        <wp:posOffset>27305</wp:posOffset>
                      </wp:positionV>
                      <wp:extent cx="857250" cy="320675"/>
                      <wp:effectExtent l="0" t="0" r="0" b="0"/>
                      <wp:wrapNone/>
                      <wp:docPr id="105" name="文本框 145"/>
                      <wp:cNvGraphicFramePr/>
                      <a:graphic xmlns:a="http://schemas.openxmlformats.org/drawingml/2006/main">
                        <a:graphicData uri="http://schemas.microsoft.com/office/word/2010/wordprocessingShape">
                          <wps:wsp>
                            <wps:cNvSpPr txBox="1"/>
                            <wps:spPr>
                              <a:xfrm>
                                <a:off x="0" y="0"/>
                                <a:ext cx="857250" cy="320675"/>
                              </a:xfrm>
                              <a:prstGeom prst="rect">
                                <a:avLst/>
                              </a:prstGeom>
                              <a:noFill/>
                              <a:ln>
                                <a:noFill/>
                              </a:ln>
                            </wps:spPr>
                            <wps:txbx>
                              <w:txbxContent>
                                <w:p>
                                  <w:pPr>
                                    <w:jc w:val="center"/>
                                    <w:rPr>
                                      <w:rFonts w:eastAsia="宋体"/>
                                      <w:b/>
                                      <w:bCs/>
                                      <w:color w:val="FF0000"/>
                                      <w:sz w:val="22"/>
                                      <w:szCs w:val="18"/>
                                    </w:rPr>
                                  </w:pPr>
                                  <w:r>
                                    <w:rPr>
                                      <w:rFonts w:eastAsia="宋体"/>
                                      <w:b/>
                                      <w:bCs/>
                                      <w:color w:val="FF0000"/>
                                      <w:sz w:val="22"/>
                                      <w:szCs w:val="18"/>
                                    </w:rPr>
                                    <w:t>432</w:t>
                                  </w:r>
                                  <w:r>
                                    <w:rPr>
                                      <w:rFonts w:hint="eastAsia" w:eastAsia="宋体"/>
                                      <w:b/>
                                      <w:bCs/>
                                      <w:color w:val="FF0000"/>
                                      <w:sz w:val="22"/>
                                      <w:szCs w:val="18"/>
                                    </w:rPr>
                                    <w:t>t/a</w:t>
                                  </w:r>
                                </w:p>
                              </w:txbxContent>
                            </wps:txbx>
                            <wps:bodyPr upright="1"/>
                          </wps:wsp>
                        </a:graphicData>
                      </a:graphic>
                    </wp:anchor>
                  </w:drawing>
                </mc:Choice>
                <mc:Fallback>
                  <w:pict>
                    <v:shape id="文本框 145" o:spid="_x0000_s1026" o:spt="202" type="#_x0000_t202" style="position:absolute;left:0pt;margin-left:188.45pt;margin-top:2.15pt;height:25.25pt;width:67.5pt;z-index:251540480;mso-width-relative:page;mso-height-relative:page;" filled="f" stroked="f" coordsize="21600,21600" o:gfxdata="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OUPxE1gAAAAgBAAAPAAAAAAAAAAEAIAAAACIAAABkcnMvZG93&#10;bnJldi54bWxQSwECFAAUAAAACACHTuJAOXiwo5ABAAADAwAADgAAAAAAAAABACAAAAAlAQAAZHJz&#10;L2Uyb0RvYy54bWxQSwUGAAAAAAYABgBZAQAAJwUAAAAA&#10;">
                      <v:fill on="f" focussize="0,0"/>
                      <v:stroke on="f"/>
                      <v:imagedata o:title=""/>
                      <o:lock v:ext="edit" aspectratio="f"/>
                      <v:textbox>
                        <w:txbxContent>
                          <w:p>
                            <w:pPr>
                              <w:jc w:val="center"/>
                              <w:rPr>
                                <w:rFonts w:eastAsia="宋体"/>
                                <w:b/>
                                <w:bCs/>
                                <w:color w:val="FF0000"/>
                                <w:sz w:val="22"/>
                                <w:szCs w:val="18"/>
                              </w:rPr>
                            </w:pPr>
                            <w:r>
                              <w:rPr>
                                <w:rFonts w:eastAsia="宋体"/>
                                <w:b/>
                                <w:bCs/>
                                <w:color w:val="FF0000"/>
                                <w:sz w:val="22"/>
                                <w:szCs w:val="18"/>
                              </w:rPr>
                              <w:t>432</w:t>
                            </w:r>
                            <w:r>
                              <w:rPr>
                                <w:rFonts w:hint="eastAsia" w:eastAsia="宋体"/>
                                <w:b/>
                                <w:bCs/>
                                <w:color w:val="FF0000"/>
                                <w:sz w:val="22"/>
                                <w:szCs w:val="18"/>
                              </w:rPr>
                              <w:t>t/a</w:t>
                            </w:r>
                          </w:p>
                        </w:txbxContent>
                      </v:textbox>
                    </v:shape>
                  </w:pict>
                </mc:Fallback>
              </mc:AlternateContent>
            </w:r>
            <w:r>
              <w:rPr>
                <w:rFonts w:ascii="Times New Roman" w:hAnsi="Times New Roman" w:cs="Times New Roman"/>
                <w:color w:val="auto"/>
                <w:highlight w:val="none"/>
              </w:rPr>
              <mc:AlternateContent>
                <mc:Choice Requires="wps">
                  <w:drawing>
                    <wp:anchor distT="0" distB="0" distL="114300" distR="114300" simplePos="0" relativeHeight="251582464" behindDoc="0" locked="0" layoutInCell="1" allowOverlap="1">
                      <wp:simplePos x="0" y="0"/>
                      <wp:positionH relativeFrom="column">
                        <wp:posOffset>882015</wp:posOffset>
                      </wp:positionH>
                      <wp:positionV relativeFrom="paragraph">
                        <wp:posOffset>14605</wp:posOffset>
                      </wp:positionV>
                      <wp:extent cx="857250" cy="298450"/>
                      <wp:effectExtent l="0" t="0" r="0" b="0"/>
                      <wp:wrapNone/>
                      <wp:docPr id="120" name="文本框 146"/>
                      <wp:cNvGraphicFramePr/>
                      <a:graphic xmlns:a="http://schemas.openxmlformats.org/drawingml/2006/main">
                        <a:graphicData uri="http://schemas.microsoft.com/office/word/2010/wordprocessingShape">
                          <wps:wsp>
                            <wps:cNvSpPr txBox="1"/>
                            <wps:spPr>
                              <a:xfrm>
                                <a:off x="0" y="0"/>
                                <a:ext cx="857250" cy="298450"/>
                              </a:xfrm>
                              <a:prstGeom prst="rect">
                                <a:avLst/>
                              </a:prstGeom>
                              <a:noFill/>
                              <a:ln>
                                <a:noFill/>
                              </a:ln>
                            </wps:spPr>
                            <wps:txbx>
                              <w:txbxContent>
                                <w:p>
                                  <w:pPr>
                                    <w:jc w:val="center"/>
                                    <w:rPr>
                                      <w:rFonts w:eastAsia="宋体"/>
                                      <w:b/>
                                      <w:bCs/>
                                      <w:sz w:val="22"/>
                                      <w:szCs w:val="18"/>
                                    </w:rPr>
                                  </w:pPr>
                                  <w:r>
                                    <w:rPr>
                                      <w:rFonts w:hint="eastAsia" w:eastAsia="宋体"/>
                                      <w:b/>
                                      <w:bCs/>
                                      <w:sz w:val="22"/>
                                      <w:szCs w:val="18"/>
                                    </w:rPr>
                                    <w:t>480t/a</w:t>
                                  </w:r>
                                </w:p>
                              </w:txbxContent>
                            </wps:txbx>
                            <wps:bodyPr upright="1"/>
                          </wps:wsp>
                        </a:graphicData>
                      </a:graphic>
                    </wp:anchor>
                  </w:drawing>
                </mc:Choice>
                <mc:Fallback>
                  <w:pict>
                    <v:shape id="文本框 146" o:spid="_x0000_s1026" o:spt="202" type="#_x0000_t202" style="position:absolute;left:0pt;margin-left:69.45pt;margin-top:1.15pt;height:23.5pt;width:67.5pt;z-index:251582464;mso-width-relative:page;mso-height-relative:page;" filled="f" stroked="f" coordsize="21600,21600" o:gfxdata="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Ce/I+1QAAAAgBAAAPAAAAAAAAAAEAIAAAACIAAABkcnMvZG93bnJl&#10;di54bWxQSwECFAAUAAAACACHTuJAijkMDY4BAAADAwAADgAAAAAAAAABACAAAAAkAQAAZHJzL2Uy&#10;b0RvYy54bWxQSwUGAAAAAAYABgBZAQAAJAUAAAAA&#10;">
                      <v:fill on="f" focussize="0,0"/>
                      <v:stroke on="f"/>
                      <v:imagedata o:title=""/>
                      <o:lock v:ext="edit" aspectratio="f"/>
                      <v:textbox>
                        <w:txbxContent>
                          <w:p>
                            <w:pPr>
                              <w:jc w:val="center"/>
                              <w:rPr>
                                <w:rFonts w:eastAsia="宋体"/>
                                <w:b/>
                                <w:bCs/>
                                <w:sz w:val="22"/>
                                <w:szCs w:val="18"/>
                              </w:rPr>
                            </w:pPr>
                            <w:r>
                              <w:rPr>
                                <w:rFonts w:hint="eastAsia" w:eastAsia="宋体"/>
                                <w:b/>
                                <w:bCs/>
                                <w:sz w:val="22"/>
                                <w:szCs w:val="18"/>
                              </w:rPr>
                              <w:t>480t/a</w:t>
                            </w:r>
                          </w:p>
                        </w:txbxContent>
                      </v:textbox>
                    </v:shape>
                  </w:pict>
                </mc:Fallback>
              </mc:AlternateContent>
            </w:r>
            <w:r>
              <w:rPr>
                <w:rFonts w:ascii="Times New Roman" w:hAnsi="Times New Roman" w:cs="Times New Roman"/>
                <w:color w:val="auto"/>
                <w:highlight w:val="none"/>
              </w:rPr>
              <mc:AlternateContent>
                <mc:Choice Requires="wpg">
                  <w:drawing>
                    <wp:anchor distT="0" distB="0" distL="114300" distR="114300" simplePos="0" relativeHeight="251448320" behindDoc="0" locked="0" layoutInCell="1" allowOverlap="1">
                      <wp:simplePos x="0" y="0"/>
                      <wp:positionH relativeFrom="column">
                        <wp:posOffset>1506855</wp:posOffset>
                      </wp:positionH>
                      <wp:positionV relativeFrom="paragraph">
                        <wp:posOffset>66675</wp:posOffset>
                      </wp:positionV>
                      <wp:extent cx="1014095" cy="362585"/>
                      <wp:effectExtent l="4445" t="4445" r="0" b="13970"/>
                      <wp:wrapNone/>
                      <wp:docPr id="97" name="组合 151"/>
                      <wp:cNvGraphicFramePr/>
                      <a:graphic xmlns:a="http://schemas.openxmlformats.org/drawingml/2006/main">
                        <a:graphicData uri="http://schemas.microsoft.com/office/word/2010/wordprocessingGroup">
                          <wpg:wgp>
                            <wpg:cNvGrpSpPr/>
                            <wpg:grpSpPr>
                              <a:xfrm>
                                <a:off x="0" y="0"/>
                                <a:ext cx="1014095" cy="362585"/>
                                <a:chOff x="5731" y="141477"/>
                                <a:chExt cx="1350" cy="720"/>
                              </a:xfrm>
                            </wpg:grpSpPr>
                            <wps:wsp>
                              <wps:cNvPr id="95" name="矩形 152"/>
                              <wps:cNvSpPr/>
                              <wps:spPr>
                                <a:xfrm>
                                  <a:off x="5731" y="141477"/>
                                  <a:ext cx="990" cy="720"/>
                                </a:xfrm>
                                <a:prstGeom prst="rect">
                                  <a:avLst/>
                                </a:prstGeom>
                                <a:noFill/>
                                <a:ln w="9525" cap="flat" cmpd="sng">
                                  <a:solidFill>
                                    <a:srgbClr val="000000"/>
                                  </a:solidFill>
                                  <a:prstDash val="solid"/>
                                  <a:miter/>
                                  <a:headEnd type="none" w="med" len="med"/>
                                  <a:tailEnd type="none" w="med" len="med"/>
                                </a:ln>
                              </wps:spPr>
                              <wps:bodyPr upright="1"/>
                            </wps:wsp>
                            <wps:wsp>
                              <wps:cNvPr id="96" name="文本框 153"/>
                              <wps:cNvSpPr txBox="1"/>
                              <wps:spPr>
                                <a:xfrm>
                                  <a:off x="5731" y="141537"/>
                                  <a:ext cx="1350" cy="660"/>
                                </a:xfrm>
                                <a:prstGeom prst="rect">
                                  <a:avLst/>
                                </a:prstGeom>
                                <a:noFill/>
                                <a:ln>
                                  <a:noFill/>
                                </a:ln>
                              </wps:spPr>
                              <wps:txbx>
                                <w:txbxContent>
                                  <w:p>
                                    <w:pPr>
                                      <w:rPr>
                                        <w:rFonts w:eastAsia="宋体"/>
                                      </w:rPr>
                                    </w:pPr>
                                    <w:r>
                                      <w:rPr>
                                        <w:rFonts w:hint="eastAsia" w:eastAsia="宋体"/>
                                      </w:rPr>
                                      <w:t>生活用水</w:t>
                                    </w:r>
                                  </w:p>
                                </w:txbxContent>
                              </wps:txbx>
                              <wps:bodyPr upright="1"/>
                            </wps:wsp>
                          </wpg:wgp>
                        </a:graphicData>
                      </a:graphic>
                    </wp:anchor>
                  </w:drawing>
                </mc:Choice>
                <mc:Fallback>
                  <w:pict>
                    <v:group id="组合 151" o:spid="_x0000_s1026" o:spt="203" style="position:absolute;left:0pt;margin-left:118.65pt;margin-top:5.25pt;height:28.55pt;width:79.85pt;z-index:251448320;mso-width-relative:page;mso-height-relative:page;" coordorigin="5731,141477" coordsize="1350,720" o:gfxdata="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Bwv42QAAAAkBAAAPAAAAAAAAAAEAIAAAACIAAABkcnMvZG93bnJldi54bWxQSwECFAAU&#10;AAAACACHTuJAkg14BpsCAABUBgAADgAAAAAAAAABACAAAAAoAQAAZHJzL2Uyb0RvYy54bWxQSwUG&#10;AAAAAAYABgBZAQAANQYAAAAA&#10;">
                      <o:lock v:ext="edit" aspectratio="f"/>
                      <v:rect id="矩形 152" o:spid="_x0000_s1026" o:spt="1" style="position:absolute;left:5731;top:141477;height:720;width:990;" filled="f" stroked="t" coordsize="21600,21600" o:gfxdata="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kqKnbsAAADb&#10;AAAADwAAAAAAAAABACAAAAAiAAAAZHJzL2Rvd25yZXYueG1sUEsBAhQAFAAAAAgAh07iQDMvBZ47&#10;AAAAOQAAABAAAAAAAAAAAQAgAAAACgEAAGRycy9zaGFwZXhtbC54bWxQSwUGAAAAAAYABgBbAQAA&#10;tAMAAAAA&#10;">
                        <v:fill on="f" focussize="0,0"/>
                        <v:stroke color="#000000" joinstyle="miter"/>
                        <v:imagedata o:title=""/>
                        <o:lock v:ext="edit" aspectratio="f"/>
                      </v:rect>
                      <v:shape id="文本框 153" o:spid="_x0000_s1026" o:spt="202" type="#_x0000_t202" style="position:absolute;left:5731;top:141537;height:660;width:1350;" filled="f" stroked="f" coordsize="21600,21600" o:gfxdata="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xbhD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eastAsia="宋体"/>
                                </w:rPr>
                              </w:pPr>
                              <w:r>
                                <w:rPr>
                                  <w:rFonts w:hint="eastAsia" w:eastAsia="宋体"/>
                                </w:rPr>
                                <w:t>生活用水</w:t>
                              </w:r>
                            </w:p>
                          </w:txbxContent>
                        </v:textbox>
                      </v:shape>
                    </v:group>
                  </w:pict>
                </mc:Fallback>
              </mc:AlternateContent>
            </w:r>
            <w:r>
              <w:rPr>
                <w:rFonts w:ascii="Times New Roman" w:hAnsi="Times New Roman" w:cs="Times New Roman"/>
                <w:color w:val="auto"/>
                <w:highlight w:val="none"/>
              </w:rPr>
              <mc:AlternateContent>
                <mc:Choice Requires="wps">
                  <w:drawing>
                    <wp:anchor distT="0" distB="0" distL="114300" distR="114300" simplePos="0" relativeHeight="251356160" behindDoc="0" locked="0" layoutInCell="1" allowOverlap="1">
                      <wp:simplePos x="0" y="0"/>
                      <wp:positionH relativeFrom="column">
                        <wp:posOffset>849630</wp:posOffset>
                      </wp:positionH>
                      <wp:positionV relativeFrom="paragraph">
                        <wp:posOffset>109220</wp:posOffset>
                      </wp:positionV>
                      <wp:extent cx="267335" cy="635"/>
                      <wp:effectExtent l="0" t="0" r="0" b="0"/>
                      <wp:wrapNone/>
                      <wp:docPr id="85" name="直线 143"/>
                      <wp:cNvGraphicFramePr/>
                      <a:graphic xmlns:a="http://schemas.openxmlformats.org/drawingml/2006/main">
                        <a:graphicData uri="http://schemas.microsoft.com/office/word/2010/wordprocessingShape">
                          <wps:wsp>
                            <wps:cNvCnPr/>
                            <wps:spPr>
                              <a:xfrm>
                                <a:off x="0" y="0"/>
                                <a:ext cx="267335"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143" o:spid="_x0000_s1026" o:spt="20" style="position:absolute;left:0pt;margin-left:66.9pt;margin-top:8.6pt;height:0.05pt;width:21.05pt;z-index:251356160;mso-width-relative:page;mso-height-relative:page;" filled="f" stroked="t" coordsize="21600,21600" o:gfxdata="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CPH/m1gAAAAkBAAAPAAAAAAAAAAEAIAAAACIAAABkcnMvZG93bnJl&#10;di54bWxQSwECFAAUAAAACACHTuJAWiOTk8YBAACFAwAADgAAAAAAAAABACAAAAAlAQAAZHJzL2Uy&#10;b0RvYy54bWxQSwUGAAAAAAYABgBZAQAAXQUAAAAA&#10;">
                      <v:fill on="f" focussize="0,0"/>
                      <v:stroke color="#000000" joinstyle="round"/>
                      <v:imagedata o:title=""/>
                      <o:lock v:ext="edit" aspectratio="f"/>
                    </v:line>
                  </w:pict>
                </mc:Fallback>
              </mc:AlternateContent>
            </w:r>
          </w:p>
          <w:p>
            <w:pPr>
              <w:pStyle w:val="24"/>
              <w:jc w:val="center"/>
              <w:rPr>
                <w:rFonts w:ascii="Times New Roman" w:hAnsi="Times New Roman" w:cs="Times New Roman"/>
                <w:color w:val="auto"/>
                <w:highlight w:val="none"/>
              </w:rPr>
            </w:pPr>
            <w:r>
              <w:rPr>
                <w:rFonts w:ascii="Times New Roman" w:hAnsi="Times New Roman" w:cs="Times New Roman"/>
                <w:color w:val="auto"/>
                <w:highlight w:val="none"/>
              </w:rPr>
              <mc:AlternateContent>
                <mc:Choice Requires="wps">
                  <w:drawing>
                    <wp:anchor distT="0" distB="0" distL="114300" distR="114300" simplePos="0" relativeHeight="251452416" behindDoc="0" locked="0" layoutInCell="1" allowOverlap="1">
                      <wp:simplePos x="0" y="0"/>
                      <wp:positionH relativeFrom="column">
                        <wp:posOffset>2266950</wp:posOffset>
                      </wp:positionH>
                      <wp:positionV relativeFrom="paragraph">
                        <wp:posOffset>59055</wp:posOffset>
                      </wp:positionV>
                      <wp:extent cx="1087755" cy="9525"/>
                      <wp:effectExtent l="0" t="48260" r="17145" b="56515"/>
                      <wp:wrapNone/>
                      <wp:docPr id="100" name="直线 155"/>
                      <wp:cNvGraphicFramePr/>
                      <a:graphic xmlns:a="http://schemas.openxmlformats.org/drawingml/2006/main">
                        <a:graphicData uri="http://schemas.microsoft.com/office/word/2010/wordprocessingShape">
                          <wps:wsp>
                            <wps:cNvCnPr/>
                            <wps:spPr>
                              <a:xfrm flipV="1">
                                <a:off x="0" y="0"/>
                                <a:ext cx="1087755" cy="952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直线 155" o:spid="_x0000_s1026" o:spt="20" style="position:absolute;left:0pt;flip:y;margin-left:178.5pt;margin-top:4.65pt;height:0.75pt;width:85.65pt;z-index:251452416;mso-width-relative:page;mso-height-relative:page;" filled="f" stroked="t" coordsize="21600,21600" o:gfxdata="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C3rar9cAAAAIAQAADwAAAAAAAAABACAAAAAi&#10;AAAAZHJzL2Rvd25yZXYueG1sUEsBAhQAFAAAAAgAh07iQLw5drvSAQAAkwMAAA4AAAAAAAAAAQAg&#10;AAAAJgEAAGRycy9lMm9Eb2MueG1sUEsFBgAAAAAGAAYAWQEAAGoFAAAAAA==&#10;">
                      <v:fill on="f" focussize="0,0"/>
                      <v:stroke color="#000000" joinstyle="round" endarrow="open"/>
                      <v:imagedata o:title=""/>
                      <o:lock v:ext="edit" aspectratio="f"/>
                    </v:line>
                  </w:pict>
                </mc:Fallback>
              </mc:AlternateContent>
            </w:r>
            <w:r>
              <w:rPr>
                <w:rFonts w:ascii="Times New Roman" w:hAnsi="Times New Roman" w:cs="Times New Roman"/>
                <w:color w:val="auto"/>
                <w:highlight w:val="none"/>
              </w:rPr>
              <mc:AlternateContent>
                <mc:Choice Requires="wps">
                  <w:drawing>
                    <wp:anchor distT="0" distB="0" distL="114300" distR="114300" simplePos="0" relativeHeight="251386880" behindDoc="0" locked="0" layoutInCell="1" allowOverlap="1">
                      <wp:simplePos x="0" y="0"/>
                      <wp:positionH relativeFrom="column">
                        <wp:posOffset>1132205</wp:posOffset>
                      </wp:positionH>
                      <wp:positionV relativeFrom="paragraph">
                        <wp:posOffset>123825</wp:posOffset>
                      </wp:positionV>
                      <wp:extent cx="384175" cy="635"/>
                      <wp:effectExtent l="0" t="48895" r="15875" b="64770"/>
                      <wp:wrapNone/>
                      <wp:docPr id="87" name="直线 157"/>
                      <wp:cNvGraphicFramePr/>
                      <a:graphic xmlns:a="http://schemas.openxmlformats.org/drawingml/2006/main">
                        <a:graphicData uri="http://schemas.microsoft.com/office/word/2010/wordprocessingShape">
                          <wps:wsp>
                            <wps:cNvCnPr/>
                            <wps:spPr>
                              <a:xfrm>
                                <a:off x="0" y="0"/>
                                <a:ext cx="38417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直线 157" o:spid="_x0000_s1026" o:spt="20" style="position:absolute;left:0pt;margin-left:89.15pt;margin-top:9.75pt;height:0.05pt;width:30.25pt;z-index:251386880;mso-width-relative:page;mso-height-relative:page;" filled="f" stroked="t" coordsize="21600,21600" o:gfxdata="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FpaVHZAAAACQEAAA8AAAAAAAAAAQAgAAAAIgAAAGRy&#10;cy9kb3ducmV2LnhtbFBLAQIUABQAAAAIAIdO4kBbRXTcywEAAIYDAAAOAAAAAAAAAAEAIAAAACgB&#10;AABkcnMvZTJvRG9jLnhtbFBLBQYAAAAABgAGAFkBAABlBQAAAAA=&#10;">
                      <v:fill on="f" focussize="0,0"/>
                      <v:stroke color="#000000" joinstyle="round" endarrow="open"/>
                      <v:imagedata o:title=""/>
                      <o:lock v:ext="edit" aspectratio="f"/>
                    </v:line>
                  </w:pict>
                </mc:Fallback>
              </mc:AlternateContent>
            </w:r>
          </w:p>
          <w:p>
            <w:pPr>
              <w:pStyle w:val="24"/>
              <w:jc w:val="center"/>
              <w:rPr>
                <w:rFonts w:ascii="Times New Roman" w:hAnsi="Times New Roman" w:cs="Times New Roman"/>
                <w:color w:val="auto"/>
                <w:highlight w:val="none"/>
              </w:rPr>
            </w:pPr>
          </w:p>
          <w:p>
            <w:pPr>
              <w:pStyle w:val="24"/>
              <w:jc w:val="center"/>
              <w:rPr>
                <w:rFonts w:ascii="Times New Roman" w:hAnsi="Times New Roman" w:cs="Times New Roman"/>
                <w:color w:val="auto"/>
                <w:highlight w:val="none"/>
              </w:rPr>
            </w:pPr>
          </w:p>
          <w:p>
            <w:pPr>
              <w:pStyle w:val="24"/>
              <w:jc w:val="center"/>
              <w:rPr>
                <w:rFonts w:ascii="Times New Roman" w:hAnsi="Times New Roman" w:cs="Times New Roman"/>
                <w:color w:val="auto"/>
                <w:highlight w:val="none"/>
              </w:rPr>
            </w:pPr>
          </w:p>
          <w:p>
            <w:pPr>
              <w:pStyle w:val="24"/>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图1</w:t>
            </w:r>
            <w:r>
              <w:rPr>
                <w:rFonts w:hint="eastAsia" w:ascii="Times New Roman" w:hAnsi="Times New Roman" w:cs="Times New Roman"/>
                <w:b/>
                <w:bCs/>
                <w:color w:val="auto"/>
                <w:sz w:val="21"/>
                <w:szCs w:val="21"/>
                <w:highlight w:val="none"/>
              </w:rPr>
              <w:t>-1</w:t>
            </w:r>
            <w:r>
              <w:rPr>
                <w:rFonts w:ascii="Times New Roman" w:hAnsi="Times New Roman" w:cs="Times New Roman"/>
                <w:b/>
                <w:bCs/>
                <w:color w:val="auto"/>
                <w:sz w:val="21"/>
                <w:szCs w:val="21"/>
                <w:highlight w:val="none"/>
              </w:rPr>
              <w:t xml:space="preserve">  本项目水平衡图</w:t>
            </w:r>
          </w:p>
          <w:p>
            <w:pPr>
              <w:snapToGrid w:val="0"/>
              <w:ind w:firstLine="413" w:firstLineChars="196"/>
              <w:rPr>
                <w:rFonts w:ascii="Times New Roman" w:hAnsi="Times New Roman" w:eastAsia="宋体" w:cs="Times New Roman"/>
                <w:b/>
                <w:bCs/>
                <w:color w:val="auto"/>
                <w:highlight w:val="none"/>
              </w:rPr>
            </w:pPr>
          </w:p>
          <w:p>
            <w:pPr>
              <w:snapToGrid w:val="0"/>
              <w:spacing w:line="360" w:lineRule="auto"/>
              <w:ind w:firstLine="472" w:firstLineChars="196"/>
              <w:rPr>
                <w:rFonts w:ascii="Times New Roman" w:hAnsi="Times New Roman" w:eastAsia="宋体" w:cs="Times New Roman"/>
                <w:color w:val="auto"/>
                <w:sz w:val="24"/>
                <w:highlight w:val="none"/>
              </w:rPr>
            </w:pPr>
            <w:r>
              <w:rPr>
                <w:rFonts w:ascii="Times New Roman" w:hAnsi="Times New Roman" w:eastAsia="宋体" w:cs="Times New Roman"/>
                <w:b/>
                <w:bCs/>
                <w:color w:val="auto"/>
                <w:sz w:val="24"/>
                <w:highlight w:val="none"/>
              </w:rPr>
              <w:t>7.4供电系统：</w:t>
            </w:r>
            <w:r>
              <w:rPr>
                <w:rFonts w:ascii="Times New Roman" w:hAnsi="Times New Roman" w:eastAsia="宋体" w:cs="Times New Roman"/>
                <w:color w:val="auto"/>
                <w:sz w:val="24"/>
                <w:highlight w:val="none"/>
              </w:rPr>
              <w:t>项目用电主要由市政电网供给，不设备用发电机，项目用电量约</w:t>
            </w:r>
            <w:r>
              <w:rPr>
                <w:rFonts w:hint="eastAsia" w:ascii="Times New Roman" w:hAnsi="Times New Roman" w:eastAsia="宋体" w:cs="Times New Roman"/>
                <w:color w:val="auto"/>
                <w:sz w:val="24"/>
                <w:highlight w:val="none"/>
              </w:rPr>
              <w:t>2</w:t>
            </w:r>
            <w:r>
              <w:rPr>
                <w:rFonts w:ascii="Times New Roman" w:hAnsi="Times New Roman" w:eastAsia="宋体" w:cs="Times New Roman"/>
                <w:color w:val="auto"/>
                <w:sz w:val="24"/>
                <w:highlight w:val="none"/>
              </w:rPr>
              <w:t>万度/年。</w:t>
            </w:r>
          </w:p>
          <w:p>
            <w:pPr>
              <w:snapToGrid w:val="0"/>
              <w:spacing w:line="360" w:lineRule="auto"/>
              <w:ind w:firstLine="472" w:firstLineChars="196"/>
              <w:rPr>
                <w:rFonts w:ascii="Times New Roman" w:hAnsi="Times New Roman" w:eastAsia="宋体" w:cs="Times New Roman"/>
                <w:color w:val="auto"/>
                <w:sz w:val="24"/>
                <w:highlight w:val="none"/>
              </w:rPr>
            </w:pPr>
            <w:r>
              <w:rPr>
                <w:rFonts w:ascii="Times New Roman" w:hAnsi="Times New Roman" w:eastAsia="宋体" w:cs="Times New Roman"/>
                <w:b/>
                <w:bCs/>
                <w:color w:val="auto"/>
                <w:sz w:val="24"/>
                <w:highlight w:val="none"/>
              </w:rPr>
              <w:t>7.</w:t>
            </w:r>
            <w:r>
              <w:rPr>
                <w:rFonts w:hint="eastAsia" w:ascii="Times New Roman" w:hAnsi="Times New Roman" w:eastAsia="宋体" w:cs="Times New Roman"/>
                <w:b/>
                <w:bCs/>
                <w:color w:val="auto"/>
                <w:sz w:val="24"/>
                <w:highlight w:val="none"/>
              </w:rPr>
              <w:t>5</w:t>
            </w:r>
            <w:r>
              <w:rPr>
                <w:rFonts w:ascii="Times New Roman" w:hAnsi="Times New Roman" w:eastAsia="宋体" w:cs="Times New Roman"/>
                <w:b/>
                <w:bCs/>
                <w:color w:val="auto"/>
                <w:sz w:val="24"/>
                <w:highlight w:val="none"/>
              </w:rPr>
              <w:t>供</w:t>
            </w:r>
            <w:r>
              <w:rPr>
                <w:rFonts w:hint="eastAsia" w:ascii="Times New Roman" w:hAnsi="Times New Roman" w:eastAsia="宋体" w:cs="Times New Roman"/>
                <w:b/>
                <w:bCs/>
                <w:color w:val="auto"/>
                <w:sz w:val="24"/>
                <w:highlight w:val="none"/>
              </w:rPr>
              <w:t>热</w:t>
            </w:r>
            <w:r>
              <w:rPr>
                <w:rFonts w:ascii="Times New Roman" w:hAnsi="Times New Roman" w:eastAsia="宋体" w:cs="Times New Roman"/>
                <w:b/>
                <w:bCs/>
                <w:color w:val="auto"/>
                <w:sz w:val="24"/>
                <w:highlight w:val="none"/>
              </w:rPr>
              <w:t>系统：</w:t>
            </w:r>
            <w:r>
              <w:rPr>
                <w:rFonts w:ascii="Times New Roman" w:hAnsi="Times New Roman" w:eastAsia="宋体" w:cs="Times New Roman"/>
                <w:color w:val="auto"/>
                <w:sz w:val="24"/>
                <w:highlight w:val="none"/>
              </w:rPr>
              <w:t>本项目不设工业锅炉，加热工序所需的蒸汽均由</w:t>
            </w:r>
            <w:r>
              <w:rPr>
                <w:rFonts w:ascii="Times New Roman" w:hAnsi="Times New Roman" w:cs="Times New Roman"/>
                <w:color w:val="auto"/>
                <w:sz w:val="24"/>
                <w:highlight w:val="none"/>
              </w:rPr>
              <w:t>开平裕进纺织厂有限公司的</w:t>
            </w:r>
            <w:r>
              <w:rPr>
                <w:rFonts w:ascii="Times New Roman" w:hAnsi="Times New Roman" w:eastAsia="宋体" w:cs="Times New Roman"/>
                <w:color w:val="auto"/>
                <w:sz w:val="24"/>
                <w:highlight w:val="none"/>
              </w:rPr>
              <w:t xml:space="preserve">的蒸汽锅炉（1 台 </w:t>
            </w:r>
            <w:r>
              <w:rPr>
                <w:rFonts w:hint="eastAsia" w:ascii="Times New Roman" w:hAnsi="Times New Roman" w:eastAsia="宋体" w:cs="Times New Roman"/>
                <w:color w:val="auto"/>
                <w:sz w:val="24"/>
                <w:highlight w:val="none"/>
              </w:rPr>
              <w:t>15</w:t>
            </w:r>
            <w:r>
              <w:rPr>
                <w:rFonts w:ascii="Times New Roman" w:hAnsi="Times New Roman" w:eastAsia="宋体" w:cs="Times New Roman"/>
                <w:color w:val="auto"/>
                <w:sz w:val="24"/>
                <w:highlight w:val="none"/>
              </w:rPr>
              <w:t xml:space="preserve">t/h </w:t>
            </w:r>
            <w:r>
              <w:rPr>
                <w:rFonts w:hint="eastAsia" w:ascii="Times New Roman" w:hAnsi="Times New Roman" w:eastAsia="宋体" w:cs="Times New Roman"/>
                <w:color w:val="auto"/>
                <w:sz w:val="24"/>
                <w:highlight w:val="none"/>
              </w:rPr>
              <w:t>和1台12t/h</w:t>
            </w:r>
            <w:r>
              <w:rPr>
                <w:rFonts w:ascii="Times New Roman" w:hAnsi="Times New Roman" w:eastAsia="宋体" w:cs="Times New Roman"/>
                <w:color w:val="auto"/>
                <w:sz w:val="24"/>
                <w:highlight w:val="none"/>
              </w:rPr>
              <w:t>的燃</w:t>
            </w:r>
            <w:r>
              <w:rPr>
                <w:rFonts w:hint="eastAsia" w:ascii="Times New Roman" w:hAnsi="Times New Roman" w:eastAsia="宋体" w:cs="Times New Roman"/>
                <w:color w:val="auto"/>
                <w:sz w:val="24"/>
                <w:highlight w:val="none"/>
              </w:rPr>
              <w:t>生物质</w:t>
            </w:r>
            <w:r>
              <w:rPr>
                <w:rFonts w:ascii="Times New Roman" w:hAnsi="Times New Roman" w:eastAsia="宋体" w:cs="Times New Roman"/>
                <w:color w:val="auto"/>
                <w:sz w:val="24"/>
                <w:highlight w:val="none"/>
              </w:rPr>
              <w:t>蒸汽锅炉）供给，年供给蒸汽量约为</w:t>
            </w:r>
            <w:r>
              <w:rPr>
                <w:rFonts w:hint="eastAsia" w:ascii="Times New Roman" w:hAnsi="Times New Roman" w:eastAsia="宋体" w:cs="Times New Roman"/>
                <w:color w:val="auto"/>
                <w:sz w:val="24"/>
                <w:highlight w:val="none"/>
                <w:lang w:val="en-US" w:eastAsia="zh-CN"/>
              </w:rPr>
              <w:t>7140</w:t>
            </w:r>
            <w:r>
              <w:rPr>
                <w:rFonts w:hint="eastAsia" w:ascii="Times New Roman" w:hAnsi="Times New Roman" w:eastAsia="宋体" w:cs="Times New Roman"/>
                <w:color w:val="auto"/>
                <w:sz w:val="24"/>
                <w:highlight w:val="none"/>
              </w:rPr>
              <w:t>m</w:t>
            </w:r>
            <w:r>
              <w:rPr>
                <w:rFonts w:hint="eastAsia" w:ascii="Times New Roman" w:hAnsi="Times New Roman" w:eastAsia="宋体" w:cs="Times New Roman"/>
                <w:color w:val="auto"/>
                <w:sz w:val="24"/>
                <w:highlight w:val="none"/>
                <w:vertAlign w:val="superscript"/>
              </w:rPr>
              <w:t>3</w:t>
            </w:r>
            <w:r>
              <w:rPr>
                <w:rFonts w:hint="eastAsia" w:ascii="Times New Roman" w:hAnsi="Times New Roman" w:eastAsia="宋体" w:cs="Times New Roman"/>
                <w:color w:val="auto"/>
                <w:sz w:val="24"/>
                <w:highlight w:val="none"/>
              </w:rPr>
              <w:t>/a</w:t>
            </w:r>
            <w:r>
              <w:rPr>
                <w:rFonts w:ascii="Times New Roman" w:hAnsi="Times New Roman" w:eastAsia="宋体" w:cs="Times New Roman"/>
                <w:color w:val="auto"/>
                <w:sz w:val="24"/>
                <w:highlight w:val="none"/>
              </w:rPr>
              <w:t>。</w:t>
            </w:r>
          </w:p>
          <w:p>
            <w:pPr>
              <w:snapToGrid w:val="0"/>
              <w:spacing w:line="360" w:lineRule="auto"/>
              <w:ind w:firstLine="470" w:firstLineChars="196"/>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项目能耗水耗详见表</w:t>
            </w:r>
            <w:r>
              <w:rPr>
                <w:rFonts w:hint="eastAsia" w:ascii="Times New Roman" w:hAnsi="Times New Roman" w:eastAsia="宋体" w:cs="Times New Roman"/>
                <w:color w:val="auto"/>
                <w:sz w:val="24"/>
                <w:highlight w:val="none"/>
              </w:rPr>
              <w:t>7</w:t>
            </w:r>
            <w:r>
              <w:rPr>
                <w:rFonts w:ascii="Times New Roman" w:hAnsi="Times New Roman" w:eastAsia="宋体" w:cs="Times New Roman"/>
                <w:color w:val="auto"/>
                <w:sz w:val="24"/>
                <w:highlight w:val="none"/>
              </w:rPr>
              <w:t>：</w:t>
            </w:r>
          </w:p>
          <w:p>
            <w:pPr>
              <w:pStyle w:val="33"/>
              <w:snapToGrid w:val="0"/>
              <w:spacing w:line="360" w:lineRule="auto"/>
              <w:rPr>
                <w:b/>
                <w:bCs/>
                <w:color w:val="auto"/>
                <w:highlight w:val="none"/>
              </w:rPr>
            </w:pPr>
            <w:r>
              <w:rPr>
                <w:b/>
                <w:bCs/>
                <w:color w:val="auto"/>
                <w:highlight w:val="none"/>
              </w:rPr>
              <w:t>表</w:t>
            </w:r>
            <w:r>
              <w:rPr>
                <w:rFonts w:hint="eastAsia"/>
                <w:b/>
                <w:bCs/>
                <w:color w:val="auto"/>
                <w:highlight w:val="none"/>
              </w:rPr>
              <w:t>1-7</w:t>
            </w:r>
            <w:r>
              <w:rPr>
                <w:b/>
                <w:bCs/>
                <w:color w:val="auto"/>
                <w:highlight w:val="none"/>
              </w:rPr>
              <w:t xml:space="preserve"> 建设项目水电消耗表</w:t>
            </w:r>
          </w:p>
          <w:tbl>
            <w:tblPr>
              <w:tblStyle w:val="22"/>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048"/>
              <w:gridCol w:w="1268"/>
              <w:gridCol w:w="1695"/>
              <w:gridCol w:w="1650"/>
              <w:gridCol w:w="26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048" w:type="dxa"/>
                  <w:vAlign w:val="center"/>
                </w:tcPr>
                <w:p>
                  <w:pPr>
                    <w:pStyle w:val="33"/>
                    <w:rPr>
                      <w:b/>
                      <w:bCs/>
                      <w:color w:val="auto"/>
                      <w:szCs w:val="21"/>
                      <w:highlight w:val="none"/>
                    </w:rPr>
                  </w:pPr>
                  <w:r>
                    <w:rPr>
                      <w:b/>
                      <w:bCs/>
                      <w:color w:val="auto"/>
                      <w:szCs w:val="21"/>
                      <w:highlight w:val="none"/>
                    </w:rPr>
                    <w:t>序号</w:t>
                  </w:r>
                </w:p>
              </w:tc>
              <w:tc>
                <w:tcPr>
                  <w:tcW w:w="1268" w:type="dxa"/>
                  <w:vAlign w:val="center"/>
                </w:tcPr>
                <w:p>
                  <w:pPr>
                    <w:pStyle w:val="33"/>
                    <w:rPr>
                      <w:b/>
                      <w:bCs/>
                      <w:color w:val="auto"/>
                      <w:szCs w:val="21"/>
                      <w:highlight w:val="none"/>
                    </w:rPr>
                  </w:pPr>
                  <w:r>
                    <w:rPr>
                      <w:b/>
                      <w:bCs/>
                      <w:color w:val="auto"/>
                      <w:szCs w:val="21"/>
                      <w:highlight w:val="none"/>
                    </w:rPr>
                    <w:t>名称</w:t>
                  </w:r>
                </w:p>
              </w:tc>
              <w:tc>
                <w:tcPr>
                  <w:tcW w:w="1695" w:type="dxa"/>
                  <w:vAlign w:val="center"/>
                </w:tcPr>
                <w:p>
                  <w:pPr>
                    <w:pStyle w:val="33"/>
                    <w:rPr>
                      <w:b/>
                      <w:bCs/>
                      <w:color w:val="auto"/>
                      <w:szCs w:val="21"/>
                      <w:highlight w:val="none"/>
                    </w:rPr>
                  </w:pPr>
                  <w:r>
                    <w:rPr>
                      <w:b/>
                      <w:bCs/>
                      <w:color w:val="auto"/>
                      <w:szCs w:val="21"/>
                      <w:highlight w:val="none"/>
                    </w:rPr>
                    <w:t>用量</w:t>
                  </w:r>
                </w:p>
              </w:tc>
              <w:tc>
                <w:tcPr>
                  <w:tcW w:w="1650" w:type="dxa"/>
                  <w:vAlign w:val="center"/>
                </w:tcPr>
                <w:p>
                  <w:pPr>
                    <w:pStyle w:val="33"/>
                    <w:rPr>
                      <w:b/>
                      <w:bCs/>
                      <w:color w:val="auto"/>
                      <w:szCs w:val="21"/>
                      <w:highlight w:val="none"/>
                    </w:rPr>
                  </w:pPr>
                  <w:r>
                    <w:rPr>
                      <w:b/>
                      <w:bCs/>
                      <w:color w:val="auto"/>
                      <w:szCs w:val="21"/>
                      <w:highlight w:val="none"/>
                    </w:rPr>
                    <w:t>用途</w:t>
                  </w:r>
                </w:p>
              </w:tc>
              <w:tc>
                <w:tcPr>
                  <w:tcW w:w="2615" w:type="dxa"/>
                  <w:vAlign w:val="center"/>
                </w:tcPr>
                <w:p>
                  <w:pPr>
                    <w:pStyle w:val="33"/>
                    <w:rPr>
                      <w:b/>
                      <w:bCs/>
                      <w:color w:val="auto"/>
                      <w:szCs w:val="21"/>
                      <w:highlight w:val="none"/>
                    </w:rPr>
                  </w:pPr>
                  <w:r>
                    <w:rPr>
                      <w:b/>
                      <w:bCs/>
                      <w:color w:val="auto"/>
                      <w:szCs w:val="21"/>
                      <w:highlight w:val="none"/>
                    </w:rPr>
                    <w:t>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048" w:type="dxa"/>
                  <w:vAlign w:val="center"/>
                </w:tcPr>
                <w:p>
                  <w:pPr>
                    <w:pStyle w:val="33"/>
                    <w:rPr>
                      <w:color w:val="auto"/>
                      <w:szCs w:val="21"/>
                      <w:highlight w:val="none"/>
                    </w:rPr>
                  </w:pPr>
                  <w:r>
                    <w:rPr>
                      <w:color w:val="auto"/>
                      <w:szCs w:val="21"/>
                      <w:highlight w:val="none"/>
                    </w:rPr>
                    <w:t>1</w:t>
                  </w:r>
                </w:p>
              </w:tc>
              <w:tc>
                <w:tcPr>
                  <w:tcW w:w="1268" w:type="dxa"/>
                  <w:vAlign w:val="center"/>
                </w:tcPr>
                <w:p>
                  <w:pPr>
                    <w:pStyle w:val="33"/>
                    <w:rPr>
                      <w:color w:val="auto"/>
                      <w:szCs w:val="21"/>
                      <w:highlight w:val="none"/>
                    </w:rPr>
                  </w:pPr>
                  <w:r>
                    <w:rPr>
                      <w:color w:val="auto"/>
                      <w:szCs w:val="21"/>
                      <w:highlight w:val="none"/>
                    </w:rPr>
                    <w:t>水</w:t>
                  </w:r>
                </w:p>
              </w:tc>
              <w:tc>
                <w:tcPr>
                  <w:tcW w:w="1695" w:type="dxa"/>
                  <w:vAlign w:val="center"/>
                </w:tcPr>
                <w:p>
                  <w:pPr>
                    <w:pStyle w:val="33"/>
                    <w:rPr>
                      <w:color w:val="auto"/>
                      <w:szCs w:val="21"/>
                      <w:highlight w:val="none"/>
                    </w:rPr>
                  </w:pPr>
                  <w:r>
                    <w:rPr>
                      <w:color w:val="auto"/>
                      <w:highlight w:val="none"/>
                    </w:rPr>
                    <w:t>549.6t/a</w:t>
                  </w:r>
                </w:p>
              </w:tc>
              <w:tc>
                <w:tcPr>
                  <w:tcW w:w="1650" w:type="dxa"/>
                  <w:vAlign w:val="center"/>
                </w:tcPr>
                <w:p>
                  <w:pPr>
                    <w:pStyle w:val="33"/>
                    <w:rPr>
                      <w:color w:val="auto"/>
                      <w:szCs w:val="21"/>
                      <w:highlight w:val="none"/>
                    </w:rPr>
                  </w:pPr>
                  <w:r>
                    <w:rPr>
                      <w:color w:val="auto"/>
                      <w:szCs w:val="21"/>
                      <w:highlight w:val="none"/>
                    </w:rPr>
                    <w:t>生活、生产</w:t>
                  </w:r>
                </w:p>
              </w:tc>
              <w:tc>
                <w:tcPr>
                  <w:tcW w:w="2615" w:type="dxa"/>
                  <w:vAlign w:val="center"/>
                </w:tcPr>
                <w:p>
                  <w:pPr>
                    <w:pStyle w:val="33"/>
                    <w:rPr>
                      <w:color w:val="auto"/>
                      <w:szCs w:val="21"/>
                      <w:highlight w:val="none"/>
                    </w:rPr>
                  </w:pPr>
                  <w:r>
                    <w:rPr>
                      <w:color w:val="auto"/>
                      <w:szCs w:val="21"/>
                      <w:highlight w:val="none"/>
                    </w:rPr>
                    <w:t>市政供水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048" w:type="dxa"/>
                  <w:vAlign w:val="center"/>
                </w:tcPr>
                <w:p>
                  <w:pPr>
                    <w:pStyle w:val="33"/>
                    <w:rPr>
                      <w:color w:val="auto"/>
                      <w:szCs w:val="21"/>
                      <w:highlight w:val="none"/>
                    </w:rPr>
                  </w:pPr>
                  <w:r>
                    <w:rPr>
                      <w:color w:val="auto"/>
                      <w:szCs w:val="21"/>
                      <w:highlight w:val="none"/>
                    </w:rPr>
                    <w:t>2</w:t>
                  </w:r>
                </w:p>
              </w:tc>
              <w:tc>
                <w:tcPr>
                  <w:tcW w:w="1268" w:type="dxa"/>
                  <w:vAlign w:val="center"/>
                </w:tcPr>
                <w:p>
                  <w:pPr>
                    <w:pStyle w:val="33"/>
                    <w:rPr>
                      <w:color w:val="auto"/>
                      <w:szCs w:val="21"/>
                      <w:highlight w:val="none"/>
                    </w:rPr>
                  </w:pPr>
                  <w:r>
                    <w:rPr>
                      <w:color w:val="auto"/>
                      <w:szCs w:val="21"/>
                      <w:highlight w:val="none"/>
                    </w:rPr>
                    <w:t>电</w:t>
                  </w:r>
                </w:p>
              </w:tc>
              <w:tc>
                <w:tcPr>
                  <w:tcW w:w="1695" w:type="dxa"/>
                  <w:vAlign w:val="center"/>
                </w:tcPr>
                <w:p>
                  <w:pPr>
                    <w:pStyle w:val="33"/>
                    <w:rPr>
                      <w:color w:val="auto"/>
                      <w:szCs w:val="21"/>
                      <w:highlight w:val="none"/>
                    </w:rPr>
                  </w:pPr>
                  <w:r>
                    <w:rPr>
                      <w:color w:val="auto"/>
                      <w:szCs w:val="21"/>
                      <w:highlight w:val="none"/>
                    </w:rPr>
                    <w:t>2万度/年</w:t>
                  </w:r>
                </w:p>
              </w:tc>
              <w:tc>
                <w:tcPr>
                  <w:tcW w:w="1650" w:type="dxa"/>
                  <w:vAlign w:val="center"/>
                </w:tcPr>
                <w:p>
                  <w:pPr>
                    <w:pStyle w:val="33"/>
                    <w:rPr>
                      <w:color w:val="auto"/>
                      <w:szCs w:val="21"/>
                      <w:highlight w:val="none"/>
                    </w:rPr>
                  </w:pPr>
                  <w:r>
                    <w:rPr>
                      <w:color w:val="auto"/>
                      <w:szCs w:val="21"/>
                      <w:highlight w:val="none"/>
                    </w:rPr>
                    <w:t>设备用电</w:t>
                  </w:r>
                </w:p>
              </w:tc>
              <w:tc>
                <w:tcPr>
                  <w:tcW w:w="2615" w:type="dxa"/>
                  <w:vAlign w:val="center"/>
                </w:tcPr>
                <w:p>
                  <w:pPr>
                    <w:pStyle w:val="33"/>
                    <w:rPr>
                      <w:color w:val="auto"/>
                      <w:szCs w:val="21"/>
                      <w:highlight w:val="none"/>
                    </w:rPr>
                  </w:pPr>
                  <w:r>
                    <w:rPr>
                      <w:color w:val="auto"/>
                      <w:szCs w:val="21"/>
                      <w:highlight w:val="none"/>
                    </w:rPr>
                    <w:t>市政供电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048" w:type="dxa"/>
                  <w:vAlign w:val="center"/>
                </w:tcPr>
                <w:p>
                  <w:pPr>
                    <w:pStyle w:val="33"/>
                    <w:rPr>
                      <w:color w:val="auto"/>
                      <w:szCs w:val="21"/>
                      <w:highlight w:val="none"/>
                    </w:rPr>
                  </w:pPr>
                  <w:r>
                    <w:rPr>
                      <w:rFonts w:hint="eastAsia"/>
                      <w:color w:val="auto"/>
                      <w:szCs w:val="21"/>
                      <w:highlight w:val="none"/>
                    </w:rPr>
                    <w:t>3</w:t>
                  </w:r>
                </w:p>
              </w:tc>
              <w:tc>
                <w:tcPr>
                  <w:tcW w:w="1268" w:type="dxa"/>
                  <w:vAlign w:val="center"/>
                </w:tcPr>
                <w:p>
                  <w:pPr>
                    <w:pStyle w:val="33"/>
                    <w:rPr>
                      <w:color w:val="auto"/>
                      <w:szCs w:val="21"/>
                      <w:highlight w:val="none"/>
                    </w:rPr>
                  </w:pPr>
                  <w:r>
                    <w:rPr>
                      <w:rFonts w:hint="eastAsia"/>
                      <w:color w:val="auto"/>
                      <w:szCs w:val="21"/>
                      <w:highlight w:val="none"/>
                    </w:rPr>
                    <w:t>供热</w:t>
                  </w:r>
                </w:p>
              </w:tc>
              <w:tc>
                <w:tcPr>
                  <w:tcW w:w="1695" w:type="dxa"/>
                  <w:vAlign w:val="center"/>
                </w:tcPr>
                <w:p>
                  <w:pPr>
                    <w:pStyle w:val="33"/>
                    <w:rPr>
                      <w:color w:val="auto"/>
                      <w:szCs w:val="21"/>
                      <w:highlight w:val="none"/>
                    </w:rPr>
                  </w:pPr>
                  <w:r>
                    <w:rPr>
                      <w:rFonts w:hint="eastAsia"/>
                      <w:color w:val="auto"/>
                      <w:szCs w:val="21"/>
                      <w:highlight w:val="none"/>
                      <w:lang w:val="en-US" w:eastAsia="zh-CN"/>
                    </w:rPr>
                    <w:t>7140</w:t>
                  </w:r>
                  <w:r>
                    <w:rPr>
                      <w:rFonts w:hint="eastAsia"/>
                      <w:color w:val="auto"/>
                      <w:sz w:val="24"/>
                      <w:szCs w:val="24"/>
                      <w:highlight w:val="none"/>
                    </w:rPr>
                    <w:t>m</w:t>
                  </w:r>
                  <w:r>
                    <w:rPr>
                      <w:rFonts w:hint="eastAsia"/>
                      <w:color w:val="auto"/>
                      <w:sz w:val="24"/>
                      <w:szCs w:val="24"/>
                      <w:highlight w:val="none"/>
                      <w:vertAlign w:val="superscript"/>
                    </w:rPr>
                    <w:t>3</w:t>
                  </w:r>
                  <w:r>
                    <w:rPr>
                      <w:color w:val="auto"/>
                      <w:szCs w:val="21"/>
                      <w:highlight w:val="none"/>
                    </w:rPr>
                    <w:t>/a</w:t>
                  </w:r>
                </w:p>
              </w:tc>
              <w:tc>
                <w:tcPr>
                  <w:tcW w:w="1650" w:type="dxa"/>
                  <w:vAlign w:val="center"/>
                </w:tcPr>
                <w:p>
                  <w:pPr>
                    <w:pStyle w:val="33"/>
                    <w:rPr>
                      <w:color w:val="auto"/>
                      <w:szCs w:val="21"/>
                      <w:highlight w:val="none"/>
                    </w:rPr>
                  </w:pPr>
                  <w:r>
                    <w:rPr>
                      <w:color w:val="auto"/>
                      <w:szCs w:val="21"/>
                      <w:highlight w:val="none"/>
                    </w:rPr>
                    <w:t>蒸汽加热</w:t>
                  </w:r>
                </w:p>
              </w:tc>
              <w:tc>
                <w:tcPr>
                  <w:tcW w:w="2615" w:type="dxa"/>
                  <w:vAlign w:val="center"/>
                </w:tcPr>
                <w:p>
                  <w:pPr>
                    <w:pStyle w:val="33"/>
                    <w:rPr>
                      <w:color w:val="auto"/>
                      <w:szCs w:val="21"/>
                      <w:highlight w:val="none"/>
                    </w:rPr>
                  </w:pPr>
                  <w:r>
                    <w:rPr>
                      <w:color w:val="auto"/>
                      <w:szCs w:val="21"/>
                      <w:highlight w:val="none"/>
                    </w:rPr>
                    <w:t>本项目不设置锅炉，</w:t>
                  </w:r>
                  <w:r>
                    <w:rPr>
                      <w:rFonts w:hint="eastAsia"/>
                      <w:color w:val="auto"/>
                      <w:szCs w:val="21"/>
                      <w:highlight w:val="none"/>
                    </w:rPr>
                    <w:t>依托</w:t>
                  </w:r>
                  <w:r>
                    <w:rPr>
                      <w:color w:val="auto"/>
                      <w:szCs w:val="21"/>
                      <w:highlight w:val="none"/>
                    </w:rPr>
                    <w:t>开平裕进纺织厂有限公司蒸汽管网</w:t>
                  </w:r>
                </w:p>
              </w:tc>
            </w:tr>
          </w:tbl>
          <w:p>
            <w:pPr>
              <w:pStyle w:val="24"/>
              <w:rPr>
                <w:rFonts w:ascii="Times New Roman" w:hAnsi="Times New Roman" w:cs="Times New Roman"/>
                <w:color w:val="auto"/>
                <w:highlight w:val="none"/>
              </w:rPr>
            </w:pPr>
          </w:p>
          <w:p>
            <w:pPr>
              <w:spacing w:line="360" w:lineRule="auto"/>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三、项目建设合理性分析</w:t>
            </w:r>
          </w:p>
          <w:p>
            <w:pPr>
              <w:spacing w:line="360" w:lineRule="auto"/>
              <w:ind w:firstLine="482" w:firstLineChars="200"/>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1 、产业政策相符性分析</w:t>
            </w:r>
          </w:p>
          <w:p>
            <w:pPr>
              <w:spacing w:line="360" w:lineRule="auto"/>
              <w:ind w:firstLine="496"/>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项目属于塑料制品业，产品为泡沫包装产品。</w:t>
            </w:r>
          </w:p>
          <w:p>
            <w:pPr>
              <w:spacing w:line="360" w:lineRule="auto"/>
              <w:ind w:firstLine="496"/>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①根据产业结构调整指导目录（2011年本）》（2013年修正）（国家发改委令2013年21号），项目不属于限制和淘汰类。</w:t>
            </w:r>
          </w:p>
          <w:p>
            <w:pPr>
              <w:spacing w:line="360" w:lineRule="auto"/>
              <w:ind w:firstLine="496"/>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②根据《珠江三角洲地区产业结构调整优化和产业导向目录》（2011年本），项目不属于限制和淘汰类。</w:t>
            </w:r>
          </w:p>
          <w:p>
            <w:pPr>
              <w:spacing w:line="360" w:lineRule="auto"/>
              <w:ind w:firstLine="496"/>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③根据《促进产业结构调整暂行规定》（国发[2005]40 号）第十三条规定，“不属于鼓励类、限制类和淘汰类，且符合国家有关法律、法规和政策规定的，为允许类”。故项目属于允许类。</w:t>
            </w:r>
          </w:p>
          <w:p>
            <w:pPr>
              <w:snapToGrid w:val="0"/>
              <w:spacing w:line="360" w:lineRule="auto"/>
              <w:ind w:firstLine="498"/>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④</w:t>
            </w:r>
            <w:r>
              <w:rPr>
                <w:rFonts w:hint="eastAsia" w:ascii="Times New Roman" w:hAnsi="Times New Roman" w:eastAsia="宋体" w:cs="Times New Roman"/>
                <w:color w:val="auto"/>
                <w:sz w:val="24"/>
                <w:highlight w:val="none"/>
              </w:rPr>
              <w:t>根据《建设项目环评审批征求意见表》，本项目符合镇(街)、管委会的总体规划和控制性详细规划、土地利用总体规划、无违反镇（街）、管委会的项目准入条件、其它法定规划、相关规定。</w:t>
            </w:r>
          </w:p>
          <w:p>
            <w:pPr>
              <w:spacing w:line="360" w:lineRule="auto"/>
              <w:ind w:firstLine="482" w:firstLineChars="200"/>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2、选址可行性分析</w:t>
            </w:r>
          </w:p>
          <w:p>
            <w:pPr>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本项目位于开平市长沙区金章大道12号5幢之二，根据提供的土地使用证，该用地性质属于工业用地，符合《开平市水口镇总体规划修编（2004-2024）》的用地性质。因此，本项目符合开平市城市规划的要求。项目选址不涉及生态保护区等保护区域。</w:t>
            </w:r>
          </w:p>
          <w:p>
            <w:pPr>
              <w:spacing w:line="360" w:lineRule="auto"/>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四、与项目有关的原有污染情况</w:t>
            </w:r>
          </w:p>
          <w:p>
            <w:pPr>
              <w:spacing w:after="156" w:afterLines="50" w:line="360" w:lineRule="auto"/>
              <w:ind w:firstLine="480" w:firstLineChars="200"/>
              <w:outlineLvl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本项目属于新建项目，没有原有污染情况和环境问题。</w:t>
            </w:r>
          </w:p>
        </w:tc>
      </w:tr>
    </w:tbl>
    <w:p>
      <w:pPr>
        <w:rPr>
          <w:color w:val="auto"/>
          <w:highlight w:val="none"/>
        </w:rPr>
      </w:pPr>
      <w:bookmarkStart w:id="4" w:name="_Toc30970"/>
      <w:bookmarkStart w:id="5" w:name="_Toc29294_WPSOffice_Level1"/>
      <w:bookmarkStart w:id="6" w:name="_Toc19039"/>
      <w:bookmarkStart w:id="7" w:name="_Toc23466_WPSOffice_Level1"/>
    </w:p>
    <w:p>
      <w:pPr>
        <w:pStyle w:val="2"/>
        <w:rPr>
          <w:color w:val="auto"/>
          <w:kern w:val="44"/>
          <w:highlight w:val="none"/>
        </w:rPr>
      </w:pPr>
      <w:r>
        <w:rPr>
          <w:color w:val="auto"/>
          <w:highlight w:val="none"/>
        </w:rPr>
        <w:br w:type="page"/>
      </w:r>
    </w:p>
    <w:p>
      <w:pPr>
        <w:pStyle w:val="3"/>
        <w:spacing w:before="0" w:after="0" w:line="240" w:lineRule="auto"/>
        <w:rPr>
          <w:rFonts w:ascii="Times New Roman" w:hAnsi="Times New Roman" w:cs="Times New Roman"/>
          <w:color w:val="auto"/>
          <w:sz w:val="32"/>
          <w:szCs w:val="32"/>
          <w:highlight w:val="none"/>
        </w:rPr>
      </w:pPr>
      <w:r>
        <w:rPr>
          <w:rFonts w:ascii="Times New Roman" w:hAnsi="Times New Roman" w:cs="Times New Roman"/>
          <w:color w:val="auto"/>
          <w:sz w:val="32"/>
          <w:szCs w:val="32"/>
          <w:highlight w:val="none"/>
        </w:rPr>
        <w:t>二、建设项目所在地自然环境简况</w:t>
      </w:r>
      <w:bookmarkEnd w:id="4"/>
      <w:bookmarkEnd w:id="5"/>
      <w:bookmarkEnd w:id="6"/>
      <w:bookmarkEnd w:id="7"/>
    </w:p>
    <w:tbl>
      <w:tblPr>
        <w:tblStyle w:val="23"/>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99" w:hRule="atLeast"/>
          <w:jc w:val="center"/>
        </w:trPr>
        <w:tc>
          <w:tcPr>
            <w:tcW w:w="8522" w:type="dxa"/>
          </w:tcPr>
          <w:p>
            <w:pPr>
              <w:spacing w:line="360" w:lineRule="auto"/>
              <w:ind w:firstLine="482" w:firstLineChars="200"/>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自然环境简况（地形、地貌、地质、气候、水文、植被、生物多样性等)：</w:t>
            </w:r>
          </w:p>
          <w:p>
            <w:pPr>
              <w:spacing w:line="360" w:lineRule="auto"/>
              <w:ind w:firstLine="480" w:firstLineChars="200"/>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开平市位于广东省中南部，东经112°13′至 112°48′，北纬21°56′至 22°39′；东北连新会，正北靠鹤山，东南近台山，西南接恩平，西北邻新兴。濒临南海，靠近港澳，东北距江门市区46 km，距广州110km，北扼鹤山之冲，西接恩平之咽，东南有新会为藩篱，西南以台山为屏障。位于江门五邑中心，地理位置优越。全市总面积1659平方公里。1649年建县，1993年1月5日撤县设市，1995年被国家定为二类市。现辖13个镇和三埠、长沙2个办事处。</w:t>
            </w:r>
          </w:p>
          <w:p>
            <w:pPr>
              <w:pStyle w:val="10"/>
              <w:spacing w:line="360" w:lineRule="auto"/>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一 、地貌、地质特征</w:t>
            </w:r>
          </w:p>
          <w:p>
            <w:pPr>
              <w:spacing w:line="360" w:lineRule="auto"/>
              <w:ind w:firstLine="480" w:firstLineChars="200"/>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开平市地势自南、北两面向潭江河谷倾斜，东、中部地势低。南部、北部多低山丘陵，西北部的天露山海拔1250米，是江门五邑最高峰；东部、中部多丘陵平原，大部分在海拔50米以下，海拔较的有梁金山（456米）、百立山（394米）。主要山脉有天露山、梁金山、百立山、罗汉山等。主要矿藏有煤、铁、钨铜、石英石等。地势自南北两面向潭江河各地带倾斜，海拔50米以下的平原面积占全市面积的69%，丘陵面积占29%，山地面积占2%。开平市的地质大部分为花岗岩和沙页岩结构。有两条断裂带横贯域内。一条是海陵断裂带，南起阳江市南部沿海，经恩平市大槐、恩城、沙湖进入域内马冈、苍城、大罗村，再过鹤山、花县、河源、和平至江西龙南县；另一条是金鸡至鹤城断裂带（属活性断裂带），南起台山市挪扶，经域内金鸡墟、瓦片坑、蚬冈、赤坎、交流渡、梁金山、月山至鹤城。两条断裂带把市域划分为南、北、中三块。</w:t>
            </w:r>
          </w:p>
          <w:p>
            <w:pPr>
              <w:pStyle w:val="10"/>
              <w:spacing w:line="360" w:lineRule="auto"/>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二、气候气象</w:t>
            </w:r>
          </w:p>
          <w:p>
            <w:pPr>
              <w:spacing w:line="360" w:lineRule="auto"/>
              <w:ind w:firstLine="480" w:firstLineChars="200"/>
              <w:rPr>
                <w:rFonts w:ascii="Times New Roman" w:hAnsi="Times New Roman" w:eastAsia="宋体" w:cs="Times New Roman"/>
                <w:b/>
                <w:color w:val="auto"/>
                <w:sz w:val="24"/>
                <w:highlight w:val="none"/>
              </w:rPr>
            </w:pPr>
            <w:r>
              <w:rPr>
                <w:rFonts w:ascii="Times New Roman" w:hAnsi="Times New Roman" w:eastAsia="宋体" w:cs="Times New Roman"/>
                <w:bCs/>
                <w:color w:val="auto"/>
                <w:sz w:val="24"/>
                <w:highlight w:val="none"/>
              </w:rPr>
              <w:t>开平市位于广东省珠江三角洲西南部，北回归线以南，属南亚热带海洋性气候，光照充足，雨量充沛，气候温和，土地肥沃，四季宜种。典型植被为亚热带常绿季阔叶林，地表以赤红壤为主，局部为赤土，植被良好。年均气温21.7℃，湿度82%，年降雨量1700-2400mm，集中在4月至9月。常年主导方向为东北风，6~8月以偏南风为主。由于亚热带季风影响，每年6月至10月为强风季节，风力为东风6级至9级。</w:t>
            </w:r>
          </w:p>
          <w:p>
            <w:pPr>
              <w:spacing w:line="360" w:lineRule="auto"/>
              <w:ind w:firstLine="1446" w:firstLineChars="600"/>
              <w:rPr>
                <w:rFonts w:ascii="Times New Roman" w:hAnsi="Times New Roman" w:eastAsia="宋体" w:cs="Times New Roman"/>
                <w:b/>
                <w:color w:val="auto"/>
                <w:sz w:val="24"/>
                <w:highlight w:val="none"/>
              </w:rPr>
            </w:pPr>
          </w:p>
          <w:p>
            <w:pPr>
              <w:spacing w:line="276" w:lineRule="auto"/>
              <w:ind w:firstLine="1446" w:firstLineChars="600"/>
              <w:jc w:val="center"/>
              <w:rPr>
                <w:rFonts w:ascii="Times New Roman" w:hAnsi="Times New Roman" w:eastAsia="宋体" w:cs="Times New Roman"/>
                <w:b/>
                <w:color w:val="auto"/>
                <w:sz w:val="24"/>
                <w:highlight w:val="none"/>
              </w:rPr>
            </w:pPr>
          </w:p>
          <w:p>
            <w:pPr>
              <w:spacing w:line="276" w:lineRule="auto"/>
              <w:ind w:firstLine="1446" w:firstLineChars="600"/>
              <w:jc w:val="center"/>
              <w:rPr>
                <w:rFonts w:ascii="Times New Roman" w:hAnsi="Times New Roman" w:eastAsia="宋体" w:cs="Times New Roman"/>
                <w:bCs/>
                <w:color w:val="auto"/>
                <w:sz w:val="24"/>
                <w:highlight w:val="none"/>
              </w:rPr>
            </w:pPr>
            <w:r>
              <w:rPr>
                <w:rFonts w:ascii="Times New Roman" w:hAnsi="Times New Roman" w:eastAsia="宋体" w:cs="Times New Roman"/>
                <w:b/>
                <w:color w:val="auto"/>
                <w:sz w:val="24"/>
                <w:highlight w:val="none"/>
              </w:rPr>
              <w:t>表</w:t>
            </w:r>
            <w:r>
              <w:rPr>
                <w:rFonts w:hint="eastAsia" w:ascii="Times New Roman" w:hAnsi="Times New Roman" w:eastAsia="宋体" w:cs="Times New Roman"/>
                <w:b/>
                <w:color w:val="auto"/>
                <w:sz w:val="24"/>
                <w:highlight w:val="none"/>
              </w:rPr>
              <w:t>2-1</w:t>
            </w:r>
            <w:r>
              <w:rPr>
                <w:rFonts w:ascii="Times New Roman" w:hAnsi="Times New Roman" w:eastAsia="宋体" w:cs="Times New Roman"/>
                <w:b/>
                <w:color w:val="auto"/>
                <w:sz w:val="24"/>
                <w:highlight w:val="none"/>
              </w:rPr>
              <w:t xml:space="preserve"> 开平气象站近 20年的主要气候资料统计表</w:t>
            </w:r>
          </w:p>
          <w:tbl>
            <w:tblPr>
              <w:tblStyle w:val="23"/>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67"/>
              <w:gridCol w:w="2254"/>
              <w:gridCol w:w="2158"/>
              <w:gridCol w:w="22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1567" w:type="dxa"/>
                  <w:tcBorders>
                    <w:tl2br w:val="nil"/>
                    <w:tr2bl w:val="nil"/>
                  </w:tcBorders>
                </w:tcPr>
                <w:p>
                  <w:pPr>
                    <w:spacing w:line="360" w:lineRule="auto"/>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序号</w:t>
                  </w:r>
                </w:p>
              </w:tc>
              <w:tc>
                <w:tcPr>
                  <w:tcW w:w="2254" w:type="dxa"/>
                  <w:tcBorders>
                    <w:tl2br w:val="nil"/>
                    <w:tr2bl w:val="nil"/>
                  </w:tcBorders>
                </w:tcPr>
                <w:p>
                  <w:pPr>
                    <w:spacing w:line="360" w:lineRule="auto"/>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气象要素</w:t>
                  </w:r>
                </w:p>
              </w:tc>
              <w:tc>
                <w:tcPr>
                  <w:tcW w:w="2158" w:type="dxa"/>
                  <w:tcBorders>
                    <w:tl2br w:val="nil"/>
                    <w:tr2bl w:val="nil"/>
                  </w:tcBorders>
                </w:tcPr>
                <w:p>
                  <w:pPr>
                    <w:spacing w:line="360" w:lineRule="auto"/>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单位</w:t>
                  </w:r>
                </w:p>
              </w:tc>
              <w:tc>
                <w:tcPr>
                  <w:tcW w:w="2297" w:type="dxa"/>
                  <w:tcBorders>
                    <w:tl2br w:val="nil"/>
                    <w:tr2bl w:val="nil"/>
                  </w:tcBorders>
                </w:tcPr>
                <w:p>
                  <w:pPr>
                    <w:spacing w:line="360" w:lineRule="auto"/>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平均（极值）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1567" w:type="dxa"/>
                  <w:tcBorders>
                    <w:tl2br w:val="nil"/>
                    <w:tr2bl w:val="nil"/>
                  </w:tcBorders>
                </w:tcPr>
                <w:p>
                  <w:pPr>
                    <w:spacing w:line="360" w:lineRule="auto"/>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1</w:t>
                  </w:r>
                </w:p>
              </w:tc>
              <w:tc>
                <w:tcPr>
                  <w:tcW w:w="2254" w:type="dxa"/>
                  <w:tcBorders>
                    <w:tl2br w:val="nil"/>
                    <w:tr2bl w:val="nil"/>
                  </w:tcBorders>
                </w:tcPr>
                <w:p>
                  <w:pPr>
                    <w:spacing w:line="360" w:lineRule="auto"/>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年平均气压</w:t>
                  </w:r>
                </w:p>
              </w:tc>
              <w:tc>
                <w:tcPr>
                  <w:tcW w:w="2158" w:type="dxa"/>
                  <w:tcBorders>
                    <w:tl2br w:val="nil"/>
                    <w:tr2bl w:val="nil"/>
                  </w:tcBorders>
                </w:tcPr>
                <w:p>
                  <w:pPr>
                    <w:spacing w:line="360" w:lineRule="auto"/>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hPa</w:t>
                  </w:r>
                </w:p>
              </w:tc>
              <w:tc>
                <w:tcPr>
                  <w:tcW w:w="2297" w:type="dxa"/>
                  <w:tcBorders>
                    <w:tl2br w:val="nil"/>
                    <w:tr2bl w:val="nil"/>
                  </w:tcBorders>
                </w:tcPr>
                <w:p>
                  <w:pPr>
                    <w:spacing w:line="360" w:lineRule="auto"/>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1010.2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1567" w:type="dxa"/>
                  <w:tcBorders>
                    <w:tl2br w:val="nil"/>
                    <w:tr2bl w:val="nil"/>
                  </w:tcBorders>
                </w:tcPr>
                <w:p>
                  <w:pPr>
                    <w:spacing w:line="360" w:lineRule="auto"/>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2</w:t>
                  </w:r>
                </w:p>
              </w:tc>
              <w:tc>
                <w:tcPr>
                  <w:tcW w:w="2254" w:type="dxa"/>
                  <w:tcBorders>
                    <w:tl2br w:val="nil"/>
                    <w:tr2bl w:val="nil"/>
                  </w:tcBorders>
                </w:tcPr>
                <w:p>
                  <w:pPr>
                    <w:spacing w:line="360" w:lineRule="auto"/>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年平均温度</w:t>
                  </w:r>
                </w:p>
              </w:tc>
              <w:tc>
                <w:tcPr>
                  <w:tcW w:w="2158" w:type="dxa"/>
                  <w:tcBorders>
                    <w:tl2br w:val="nil"/>
                    <w:tr2bl w:val="nil"/>
                  </w:tcBorders>
                </w:tcPr>
                <w:p>
                  <w:pPr>
                    <w:spacing w:line="360" w:lineRule="auto"/>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w:t>
                  </w:r>
                </w:p>
              </w:tc>
              <w:tc>
                <w:tcPr>
                  <w:tcW w:w="2297" w:type="dxa"/>
                  <w:tcBorders>
                    <w:tl2br w:val="nil"/>
                    <w:tr2bl w:val="nil"/>
                  </w:tcBorders>
                </w:tcPr>
                <w:p>
                  <w:pPr>
                    <w:spacing w:line="360" w:lineRule="auto"/>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23.0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1567" w:type="dxa"/>
                  <w:tcBorders>
                    <w:tl2br w:val="nil"/>
                    <w:tr2bl w:val="nil"/>
                  </w:tcBorders>
                </w:tcPr>
                <w:p>
                  <w:pPr>
                    <w:spacing w:line="360" w:lineRule="auto"/>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3</w:t>
                  </w:r>
                </w:p>
              </w:tc>
              <w:tc>
                <w:tcPr>
                  <w:tcW w:w="2254" w:type="dxa"/>
                  <w:tcBorders>
                    <w:tl2br w:val="nil"/>
                    <w:tr2bl w:val="nil"/>
                  </w:tcBorders>
                </w:tcPr>
                <w:p>
                  <w:pPr>
                    <w:spacing w:line="360" w:lineRule="auto"/>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极端最高气温</w:t>
                  </w:r>
                </w:p>
              </w:tc>
              <w:tc>
                <w:tcPr>
                  <w:tcW w:w="2158" w:type="dxa"/>
                  <w:tcBorders>
                    <w:tl2br w:val="nil"/>
                    <w:tr2bl w:val="nil"/>
                  </w:tcBorders>
                </w:tcPr>
                <w:p>
                  <w:pPr>
                    <w:spacing w:line="360" w:lineRule="auto"/>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w:t>
                  </w:r>
                </w:p>
              </w:tc>
              <w:tc>
                <w:tcPr>
                  <w:tcW w:w="2297" w:type="dxa"/>
                  <w:tcBorders>
                    <w:tl2br w:val="nil"/>
                    <w:tr2bl w:val="nil"/>
                  </w:tcBorders>
                </w:tcPr>
                <w:p>
                  <w:pPr>
                    <w:spacing w:line="360" w:lineRule="auto"/>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39.4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1567" w:type="dxa"/>
                  <w:tcBorders>
                    <w:tl2br w:val="nil"/>
                    <w:tr2bl w:val="nil"/>
                  </w:tcBorders>
                </w:tcPr>
                <w:p>
                  <w:pPr>
                    <w:spacing w:line="360" w:lineRule="auto"/>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4</w:t>
                  </w:r>
                </w:p>
              </w:tc>
              <w:tc>
                <w:tcPr>
                  <w:tcW w:w="2254" w:type="dxa"/>
                  <w:tcBorders>
                    <w:tl2br w:val="nil"/>
                    <w:tr2bl w:val="nil"/>
                  </w:tcBorders>
                </w:tcPr>
                <w:p>
                  <w:pPr>
                    <w:spacing w:line="360" w:lineRule="auto"/>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极端最低气温</w:t>
                  </w:r>
                </w:p>
              </w:tc>
              <w:tc>
                <w:tcPr>
                  <w:tcW w:w="2158" w:type="dxa"/>
                  <w:tcBorders>
                    <w:tl2br w:val="nil"/>
                    <w:tr2bl w:val="nil"/>
                  </w:tcBorders>
                </w:tcPr>
                <w:p>
                  <w:pPr>
                    <w:spacing w:line="360" w:lineRule="auto"/>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w:t>
                  </w:r>
                </w:p>
              </w:tc>
              <w:tc>
                <w:tcPr>
                  <w:tcW w:w="2297" w:type="dxa"/>
                  <w:tcBorders>
                    <w:tl2br w:val="nil"/>
                    <w:tr2bl w:val="nil"/>
                  </w:tcBorders>
                </w:tcPr>
                <w:p>
                  <w:pPr>
                    <w:spacing w:line="360" w:lineRule="auto"/>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1567" w:type="dxa"/>
                  <w:tcBorders>
                    <w:tl2br w:val="nil"/>
                    <w:tr2bl w:val="nil"/>
                  </w:tcBorders>
                </w:tcPr>
                <w:p>
                  <w:pPr>
                    <w:spacing w:line="360" w:lineRule="auto"/>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5</w:t>
                  </w:r>
                </w:p>
              </w:tc>
              <w:tc>
                <w:tcPr>
                  <w:tcW w:w="2254" w:type="dxa"/>
                  <w:tcBorders>
                    <w:tl2br w:val="nil"/>
                    <w:tr2bl w:val="nil"/>
                  </w:tcBorders>
                </w:tcPr>
                <w:p>
                  <w:pPr>
                    <w:spacing w:line="360" w:lineRule="auto"/>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年平均相对湿度</w:t>
                  </w:r>
                </w:p>
              </w:tc>
              <w:tc>
                <w:tcPr>
                  <w:tcW w:w="2158" w:type="dxa"/>
                  <w:tcBorders>
                    <w:tl2br w:val="nil"/>
                    <w:tr2bl w:val="nil"/>
                  </w:tcBorders>
                </w:tcPr>
                <w:p>
                  <w:pPr>
                    <w:spacing w:line="360" w:lineRule="auto"/>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w:t>
                  </w:r>
                </w:p>
              </w:tc>
              <w:tc>
                <w:tcPr>
                  <w:tcW w:w="2297" w:type="dxa"/>
                  <w:tcBorders>
                    <w:tl2br w:val="nil"/>
                    <w:tr2bl w:val="nil"/>
                  </w:tcBorders>
                </w:tcPr>
                <w:p>
                  <w:pPr>
                    <w:spacing w:line="360" w:lineRule="auto"/>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1567" w:type="dxa"/>
                  <w:tcBorders>
                    <w:tl2br w:val="nil"/>
                    <w:tr2bl w:val="nil"/>
                  </w:tcBorders>
                </w:tcPr>
                <w:p>
                  <w:pPr>
                    <w:spacing w:line="360" w:lineRule="auto"/>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6</w:t>
                  </w:r>
                </w:p>
              </w:tc>
              <w:tc>
                <w:tcPr>
                  <w:tcW w:w="2254" w:type="dxa"/>
                  <w:tcBorders>
                    <w:tl2br w:val="nil"/>
                    <w:tr2bl w:val="nil"/>
                  </w:tcBorders>
                </w:tcPr>
                <w:p>
                  <w:pPr>
                    <w:spacing w:line="360" w:lineRule="auto"/>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全年降雨量</w:t>
                  </w:r>
                </w:p>
              </w:tc>
              <w:tc>
                <w:tcPr>
                  <w:tcW w:w="2158" w:type="dxa"/>
                  <w:tcBorders>
                    <w:tl2br w:val="nil"/>
                    <w:tr2bl w:val="nil"/>
                  </w:tcBorders>
                </w:tcPr>
                <w:p>
                  <w:pPr>
                    <w:spacing w:line="360" w:lineRule="auto"/>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mm</w:t>
                  </w:r>
                </w:p>
              </w:tc>
              <w:tc>
                <w:tcPr>
                  <w:tcW w:w="2297" w:type="dxa"/>
                  <w:tcBorders>
                    <w:tl2br w:val="nil"/>
                    <w:tr2bl w:val="nil"/>
                  </w:tcBorders>
                </w:tcPr>
                <w:p>
                  <w:pPr>
                    <w:spacing w:line="360" w:lineRule="auto"/>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1844.7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1567" w:type="dxa"/>
                  <w:tcBorders>
                    <w:tl2br w:val="nil"/>
                    <w:tr2bl w:val="nil"/>
                  </w:tcBorders>
                </w:tcPr>
                <w:p>
                  <w:pPr>
                    <w:spacing w:line="360" w:lineRule="auto"/>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7</w:t>
                  </w:r>
                </w:p>
              </w:tc>
              <w:tc>
                <w:tcPr>
                  <w:tcW w:w="2254" w:type="dxa"/>
                  <w:tcBorders>
                    <w:tl2br w:val="nil"/>
                    <w:tr2bl w:val="nil"/>
                  </w:tcBorders>
                </w:tcPr>
                <w:p>
                  <w:pPr>
                    <w:spacing w:line="360" w:lineRule="auto"/>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最大日降水量</w:t>
                  </w:r>
                </w:p>
              </w:tc>
              <w:tc>
                <w:tcPr>
                  <w:tcW w:w="2158" w:type="dxa"/>
                  <w:tcBorders>
                    <w:tl2br w:val="nil"/>
                    <w:tr2bl w:val="nil"/>
                  </w:tcBorders>
                </w:tcPr>
                <w:p>
                  <w:pPr>
                    <w:spacing w:line="360" w:lineRule="auto"/>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mm</w:t>
                  </w:r>
                </w:p>
              </w:tc>
              <w:tc>
                <w:tcPr>
                  <w:tcW w:w="2297" w:type="dxa"/>
                  <w:tcBorders>
                    <w:tl2br w:val="nil"/>
                    <w:tr2bl w:val="nil"/>
                  </w:tcBorders>
                </w:tcPr>
                <w:p>
                  <w:pPr>
                    <w:spacing w:line="360" w:lineRule="auto"/>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287.0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1567" w:type="dxa"/>
                  <w:tcBorders>
                    <w:tl2br w:val="nil"/>
                    <w:tr2bl w:val="nil"/>
                  </w:tcBorders>
                </w:tcPr>
                <w:p>
                  <w:pPr>
                    <w:spacing w:line="360" w:lineRule="auto"/>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8</w:t>
                  </w:r>
                </w:p>
              </w:tc>
              <w:tc>
                <w:tcPr>
                  <w:tcW w:w="2254" w:type="dxa"/>
                  <w:tcBorders>
                    <w:tl2br w:val="nil"/>
                    <w:tr2bl w:val="nil"/>
                  </w:tcBorders>
                </w:tcPr>
                <w:p>
                  <w:pPr>
                    <w:spacing w:line="360" w:lineRule="auto"/>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雨日</w:t>
                  </w:r>
                </w:p>
              </w:tc>
              <w:tc>
                <w:tcPr>
                  <w:tcW w:w="2158" w:type="dxa"/>
                  <w:tcBorders>
                    <w:tl2br w:val="nil"/>
                    <w:tr2bl w:val="nil"/>
                  </w:tcBorders>
                </w:tcPr>
                <w:p>
                  <w:pPr>
                    <w:spacing w:line="360" w:lineRule="auto"/>
                    <w:jc w:val="center"/>
                    <w:rPr>
                      <w:rFonts w:ascii="Times New Roman" w:hAnsi="Times New Roman" w:eastAsia="宋体" w:cs="Times New Roman"/>
                      <w:b/>
                      <w:color w:val="auto"/>
                      <w:szCs w:val="21"/>
                      <w:highlight w:val="none"/>
                    </w:rPr>
                  </w:pPr>
                  <w:r>
                    <w:rPr>
                      <w:rFonts w:ascii="Times New Roman" w:hAnsi="Times New Roman" w:eastAsia="宋体" w:cs="Times New Roman"/>
                      <w:bCs/>
                      <w:color w:val="auto"/>
                      <w:szCs w:val="21"/>
                      <w:highlight w:val="none"/>
                    </w:rPr>
                    <w:t>Day</w:t>
                  </w:r>
                </w:p>
              </w:tc>
              <w:tc>
                <w:tcPr>
                  <w:tcW w:w="2297" w:type="dxa"/>
                  <w:tcBorders>
                    <w:tl2br w:val="nil"/>
                    <w:tr2bl w:val="nil"/>
                  </w:tcBorders>
                </w:tcPr>
                <w:p>
                  <w:pPr>
                    <w:spacing w:line="360" w:lineRule="auto"/>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142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1567" w:type="dxa"/>
                  <w:tcBorders>
                    <w:tl2br w:val="nil"/>
                    <w:tr2bl w:val="nil"/>
                  </w:tcBorders>
                </w:tcPr>
                <w:p>
                  <w:pPr>
                    <w:spacing w:line="360" w:lineRule="auto"/>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9</w:t>
                  </w:r>
                </w:p>
              </w:tc>
              <w:tc>
                <w:tcPr>
                  <w:tcW w:w="2254" w:type="dxa"/>
                  <w:tcBorders>
                    <w:tl2br w:val="nil"/>
                    <w:tr2bl w:val="nil"/>
                  </w:tcBorders>
                </w:tcPr>
                <w:p>
                  <w:pPr>
                    <w:spacing w:line="360" w:lineRule="auto"/>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年平均风速</w:t>
                  </w:r>
                </w:p>
              </w:tc>
              <w:tc>
                <w:tcPr>
                  <w:tcW w:w="2158" w:type="dxa"/>
                  <w:tcBorders>
                    <w:tl2br w:val="nil"/>
                    <w:tr2bl w:val="nil"/>
                  </w:tcBorders>
                </w:tcPr>
                <w:p>
                  <w:pPr>
                    <w:spacing w:line="360" w:lineRule="auto"/>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m/s</w:t>
                  </w:r>
                </w:p>
              </w:tc>
              <w:tc>
                <w:tcPr>
                  <w:tcW w:w="2297" w:type="dxa"/>
                  <w:tcBorders>
                    <w:tl2br w:val="nil"/>
                    <w:tr2bl w:val="nil"/>
                  </w:tcBorders>
                </w:tcPr>
                <w:p>
                  <w:pPr>
                    <w:spacing w:line="360" w:lineRule="auto"/>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1567" w:type="dxa"/>
                  <w:tcBorders>
                    <w:tl2br w:val="nil"/>
                    <w:tr2bl w:val="nil"/>
                  </w:tcBorders>
                </w:tcPr>
                <w:p>
                  <w:pPr>
                    <w:spacing w:line="360" w:lineRule="auto"/>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10</w:t>
                  </w:r>
                </w:p>
              </w:tc>
              <w:tc>
                <w:tcPr>
                  <w:tcW w:w="2254" w:type="dxa"/>
                  <w:tcBorders>
                    <w:tl2br w:val="nil"/>
                    <w:tr2bl w:val="nil"/>
                  </w:tcBorders>
                </w:tcPr>
                <w:p>
                  <w:pPr>
                    <w:spacing w:line="360" w:lineRule="auto"/>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最大风速</w:t>
                  </w:r>
                </w:p>
              </w:tc>
              <w:tc>
                <w:tcPr>
                  <w:tcW w:w="2158" w:type="dxa"/>
                  <w:tcBorders>
                    <w:tl2br w:val="nil"/>
                    <w:tr2bl w:val="nil"/>
                  </w:tcBorders>
                </w:tcPr>
                <w:p>
                  <w:pPr>
                    <w:spacing w:line="360" w:lineRule="auto"/>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m/s</w:t>
                  </w:r>
                </w:p>
              </w:tc>
              <w:tc>
                <w:tcPr>
                  <w:tcW w:w="2297" w:type="dxa"/>
                  <w:tcBorders>
                    <w:tl2br w:val="nil"/>
                    <w:tr2bl w:val="nil"/>
                  </w:tcBorders>
                </w:tcPr>
                <w:p>
                  <w:pPr>
                    <w:spacing w:line="360" w:lineRule="auto"/>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24.8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1567" w:type="dxa"/>
                  <w:tcBorders>
                    <w:tl2br w:val="nil"/>
                    <w:tr2bl w:val="nil"/>
                  </w:tcBorders>
                </w:tcPr>
                <w:p>
                  <w:pPr>
                    <w:spacing w:line="360" w:lineRule="auto"/>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11</w:t>
                  </w:r>
                </w:p>
              </w:tc>
              <w:tc>
                <w:tcPr>
                  <w:tcW w:w="2254" w:type="dxa"/>
                  <w:tcBorders>
                    <w:tl2br w:val="nil"/>
                    <w:tr2bl w:val="nil"/>
                  </w:tcBorders>
                </w:tcPr>
                <w:p>
                  <w:pPr>
                    <w:spacing w:line="360" w:lineRule="auto"/>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年日照时数</w:t>
                  </w:r>
                </w:p>
              </w:tc>
              <w:tc>
                <w:tcPr>
                  <w:tcW w:w="2158" w:type="dxa"/>
                  <w:tcBorders>
                    <w:tl2br w:val="nil"/>
                    <w:tr2bl w:val="nil"/>
                  </w:tcBorders>
                </w:tcPr>
                <w:p>
                  <w:pPr>
                    <w:spacing w:line="360" w:lineRule="auto"/>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hPa</w:t>
                  </w:r>
                </w:p>
              </w:tc>
              <w:tc>
                <w:tcPr>
                  <w:tcW w:w="2297" w:type="dxa"/>
                  <w:tcBorders>
                    <w:tl2br w:val="nil"/>
                    <w:tr2bl w:val="nil"/>
                  </w:tcBorders>
                </w:tcPr>
                <w:p>
                  <w:pPr>
                    <w:spacing w:line="360" w:lineRule="auto"/>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1696.8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1567" w:type="dxa"/>
                  <w:tcBorders>
                    <w:tl2br w:val="nil"/>
                    <w:tr2bl w:val="nil"/>
                  </w:tcBorders>
                </w:tcPr>
                <w:p>
                  <w:pPr>
                    <w:spacing w:line="360" w:lineRule="auto"/>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12</w:t>
                  </w:r>
                </w:p>
              </w:tc>
              <w:tc>
                <w:tcPr>
                  <w:tcW w:w="2254" w:type="dxa"/>
                  <w:tcBorders>
                    <w:tl2br w:val="nil"/>
                    <w:tr2bl w:val="nil"/>
                  </w:tcBorders>
                </w:tcPr>
                <w:p>
                  <w:pPr>
                    <w:spacing w:line="360" w:lineRule="auto"/>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年蒸发量</w:t>
                  </w:r>
                </w:p>
              </w:tc>
              <w:tc>
                <w:tcPr>
                  <w:tcW w:w="2158" w:type="dxa"/>
                  <w:tcBorders>
                    <w:tl2br w:val="nil"/>
                    <w:tr2bl w:val="nil"/>
                  </w:tcBorders>
                </w:tcPr>
                <w:p>
                  <w:pPr>
                    <w:spacing w:line="360" w:lineRule="auto"/>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mm</w:t>
                  </w:r>
                </w:p>
              </w:tc>
              <w:tc>
                <w:tcPr>
                  <w:tcW w:w="2297" w:type="dxa"/>
                  <w:tcBorders>
                    <w:tl2br w:val="nil"/>
                    <w:tr2bl w:val="nil"/>
                  </w:tcBorders>
                </w:tcPr>
                <w:p>
                  <w:pPr>
                    <w:spacing w:line="360" w:lineRule="auto"/>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1721.6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1567" w:type="dxa"/>
                  <w:tcBorders>
                    <w:tl2br w:val="nil"/>
                    <w:tr2bl w:val="nil"/>
                  </w:tcBorders>
                </w:tcPr>
                <w:p>
                  <w:pPr>
                    <w:spacing w:line="360" w:lineRule="auto"/>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13</w:t>
                  </w:r>
                </w:p>
              </w:tc>
              <w:tc>
                <w:tcPr>
                  <w:tcW w:w="2254" w:type="dxa"/>
                  <w:tcBorders>
                    <w:tl2br w:val="nil"/>
                    <w:tr2bl w:val="nil"/>
                  </w:tcBorders>
                </w:tcPr>
                <w:p>
                  <w:pPr>
                    <w:spacing w:line="360" w:lineRule="auto"/>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最近五年平均风速</w:t>
                  </w:r>
                </w:p>
              </w:tc>
              <w:tc>
                <w:tcPr>
                  <w:tcW w:w="2158" w:type="dxa"/>
                  <w:tcBorders>
                    <w:tl2br w:val="nil"/>
                    <w:tr2bl w:val="nil"/>
                  </w:tcBorders>
                </w:tcPr>
                <w:p>
                  <w:pPr>
                    <w:spacing w:line="360" w:lineRule="auto"/>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m/s</w:t>
                  </w:r>
                </w:p>
              </w:tc>
              <w:tc>
                <w:tcPr>
                  <w:tcW w:w="2297" w:type="dxa"/>
                  <w:tcBorders>
                    <w:tl2br w:val="nil"/>
                    <w:tr2bl w:val="nil"/>
                  </w:tcBorders>
                </w:tcPr>
                <w:p>
                  <w:pPr>
                    <w:spacing w:line="360" w:lineRule="auto"/>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1.9</w:t>
                  </w:r>
                </w:p>
              </w:tc>
            </w:tr>
          </w:tbl>
          <w:p>
            <w:pPr>
              <w:pStyle w:val="10"/>
              <w:spacing w:line="360" w:lineRule="auto"/>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三 、水文水系特征</w:t>
            </w:r>
          </w:p>
          <w:p>
            <w:pPr>
              <w:spacing w:line="360" w:lineRule="auto"/>
              <w:ind w:firstLine="480" w:firstLineChars="200"/>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潭江是珠三角水系的Ⅰ级支流，主流发源于阳江市阳东县牛围岭，与莲塘水汇合入境，经百合、三埠、水口入新会市境，直泻珠三角河口区，向崖门奔向南海。潭江全长248km，流域面积5068km</w:t>
            </w:r>
            <w:r>
              <w:rPr>
                <w:rFonts w:ascii="Times New Roman" w:hAnsi="Times New Roman" w:eastAsia="宋体" w:cs="Times New Roman"/>
                <w:bCs/>
                <w:color w:val="auto"/>
                <w:sz w:val="24"/>
                <w:highlight w:val="none"/>
                <w:vertAlign w:val="superscript"/>
              </w:rPr>
              <w:t xml:space="preserve">2 </w:t>
            </w:r>
            <w:r>
              <w:rPr>
                <w:rFonts w:ascii="Times New Roman" w:hAnsi="Times New Roman" w:eastAsia="宋体" w:cs="Times New Roman"/>
                <w:bCs/>
                <w:color w:val="auto"/>
                <w:sz w:val="24"/>
                <w:highlight w:val="none"/>
              </w:rPr>
              <w:t>；在开平境内河长56km，流域面积 1580km</w:t>
            </w:r>
            <w:r>
              <w:rPr>
                <w:rFonts w:ascii="Times New Roman" w:hAnsi="Times New Roman" w:eastAsia="宋体" w:cs="Times New Roman"/>
                <w:bCs/>
                <w:color w:val="auto"/>
                <w:sz w:val="24"/>
                <w:highlight w:val="none"/>
                <w:vertAlign w:val="superscript"/>
              </w:rPr>
              <w:t>2</w:t>
            </w:r>
            <w:r>
              <w:rPr>
                <w:rFonts w:ascii="Times New Roman" w:hAnsi="Times New Roman" w:eastAsia="宋体" w:cs="Times New Roman"/>
                <w:bCs/>
                <w:color w:val="auto"/>
                <w:sz w:val="24"/>
                <w:highlight w:val="none"/>
              </w:rPr>
              <w:t>，全河平均坡降为0.45%。上游多高山峻岭，坡急流，山林教茂密，植被较好；中下游地势较为平坦开阔，坡度平缓，河道较为弯曲，低水时河沿沙洲毕露，从赤坎到三埠，比较大的江心洲有河南洲、羊咩洲、滘堤洲、祥龙洲、海心洲、长沙洲、沙皇洲等。潭江常年受潮汐影响，属弱径流强潮流的河道。据长沙、石咀、三江口、黄冲四水位站资料统计分析，潭江潮汐作用较强，而径流影响亦不可忽略。四站历年平均潮差依次为，涨潮：2.96m、3.09m、2.94m、2.59m，落潮：2.76m、2.88m、2.85m、2.75m，上游大于下游。</w:t>
            </w:r>
          </w:p>
          <w:p>
            <w:pPr>
              <w:spacing w:line="360" w:lineRule="auto"/>
              <w:ind w:firstLine="480" w:firstLineChars="200"/>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潭江地处暴雨区，汛期洪水峰高量大；枯水期则因径流量不大，河床逐年淤积，通航能力较差。三埠镇以下可通航600吨的机动船，可直通广州、江门、香港和澳门。潭江干流水位变幅一般在2米到9米之间。据横步水文站1956到1959年实测资料统计，多年平均年径流量为21.29亿m</w:t>
            </w:r>
            <w:r>
              <w:rPr>
                <w:rFonts w:ascii="Times New Roman" w:hAnsi="Times New Roman" w:eastAsia="宋体" w:cs="Times New Roman"/>
                <w:bCs/>
                <w:color w:val="auto"/>
                <w:sz w:val="24"/>
                <w:highlight w:val="none"/>
                <w:vertAlign w:val="superscript"/>
              </w:rPr>
              <w:t xml:space="preserve">3 </w:t>
            </w:r>
            <w:r>
              <w:rPr>
                <w:rFonts w:ascii="Times New Roman" w:hAnsi="Times New Roman" w:eastAsia="宋体" w:cs="Times New Roman"/>
                <w:bCs/>
                <w:color w:val="auto"/>
                <w:sz w:val="24"/>
                <w:highlight w:val="none"/>
              </w:rPr>
              <w:t>，最大洪峰流量2870m</w:t>
            </w:r>
            <w:r>
              <w:rPr>
                <w:rFonts w:ascii="Times New Roman" w:hAnsi="Times New Roman" w:eastAsia="宋体" w:cs="Times New Roman"/>
                <w:bCs/>
                <w:color w:val="auto"/>
                <w:sz w:val="24"/>
                <w:highlight w:val="none"/>
                <w:vertAlign w:val="superscript"/>
              </w:rPr>
              <w:t xml:space="preserve">3 </w:t>
            </w:r>
            <w:r>
              <w:rPr>
                <w:rFonts w:ascii="Times New Roman" w:hAnsi="Times New Roman" w:eastAsia="宋体" w:cs="Times New Roman"/>
                <w:bCs/>
                <w:color w:val="auto"/>
                <w:sz w:val="24"/>
                <w:highlight w:val="none"/>
              </w:rPr>
              <w:t>/s（1968年5月）。最小枯水流量为0.003m</w:t>
            </w:r>
            <w:r>
              <w:rPr>
                <w:rFonts w:ascii="Times New Roman" w:hAnsi="Times New Roman" w:eastAsia="宋体" w:cs="Times New Roman"/>
                <w:bCs/>
                <w:color w:val="auto"/>
                <w:sz w:val="24"/>
                <w:highlight w:val="none"/>
                <w:vertAlign w:val="superscript"/>
              </w:rPr>
              <w:t xml:space="preserve">3 </w:t>
            </w:r>
            <w:r>
              <w:rPr>
                <w:rFonts w:ascii="Times New Roman" w:hAnsi="Times New Roman" w:eastAsia="宋体" w:cs="Times New Roman"/>
                <w:bCs/>
                <w:color w:val="auto"/>
                <w:sz w:val="24"/>
                <w:highlight w:val="none"/>
              </w:rPr>
              <w:t>/s（1960年3月），多年平均含沙量 0.108kg/m</w:t>
            </w:r>
            <w:r>
              <w:rPr>
                <w:rFonts w:ascii="Times New Roman" w:hAnsi="Times New Roman" w:eastAsia="宋体" w:cs="Times New Roman"/>
                <w:bCs/>
                <w:color w:val="auto"/>
                <w:sz w:val="24"/>
                <w:highlight w:val="none"/>
                <w:vertAlign w:val="superscript"/>
              </w:rPr>
              <w:t xml:space="preserve">3 </w:t>
            </w:r>
            <w:r>
              <w:rPr>
                <w:rFonts w:ascii="Times New Roman" w:hAnsi="Times New Roman" w:eastAsia="宋体" w:cs="Times New Roman"/>
                <w:bCs/>
                <w:color w:val="auto"/>
                <w:sz w:val="24"/>
                <w:highlight w:val="none"/>
              </w:rPr>
              <w:t>，多年平均悬移质输沙量23万吨，多年平均枯水量4.37m</w:t>
            </w:r>
            <w:r>
              <w:rPr>
                <w:rFonts w:ascii="Times New Roman" w:hAnsi="Times New Roman" w:eastAsia="宋体" w:cs="Times New Roman"/>
                <w:bCs/>
                <w:color w:val="auto"/>
                <w:sz w:val="24"/>
                <w:highlight w:val="none"/>
                <w:vertAlign w:val="superscript"/>
              </w:rPr>
              <w:t xml:space="preserve">3 </w:t>
            </w:r>
            <w:r>
              <w:rPr>
                <w:rFonts w:ascii="Times New Roman" w:hAnsi="Times New Roman" w:eastAsia="宋体" w:cs="Times New Roman"/>
                <w:bCs/>
                <w:color w:val="auto"/>
                <w:sz w:val="24"/>
                <w:highlight w:val="none"/>
              </w:rPr>
              <w:t>/s，最高水位9.88米最低水位0.95米。</w:t>
            </w:r>
          </w:p>
          <w:p>
            <w:pPr>
              <w:spacing w:line="360" w:lineRule="auto"/>
              <w:ind w:firstLine="480" w:firstLineChars="200"/>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开平境内潭江的主要支流包括镇海水、新昌水、新桥水、公益水、白沙水和蚬冈水等，各支流水文情况如下：</w:t>
            </w:r>
          </w:p>
          <w:p>
            <w:pPr>
              <w:spacing w:line="360" w:lineRule="auto"/>
              <w:ind w:firstLine="480" w:firstLineChars="200"/>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1）镇海水：位于潭江下游左岸，为潭江最大的一级支流，发源于鹤山将军岭，上游于鹤山境内成宅梧河，自西北向东南汇入双桥水后折向南流，并先后汇入开平水，经沙塘在交流渡分流，分别以向东至长沙振华的蟠龙出口向南交流渡圩出口。流域总面积1203km</w:t>
            </w:r>
            <w:r>
              <w:rPr>
                <w:rFonts w:ascii="Times New Roman" w:hAnsi="Times New Roman" w:eastAsia="宋体" w:cs="Times New Roman"/>
                <w:bCs/>
                <w:color w:val="auto"/>
                <w:sz w:val="24"/>
                <w:highlight w:val="none"/>
                <w:vertAlign w:val="superscript"/>
              </w:rPr>
              <w:t>2</w:t>
            </w:r>
            <w:r>
              <w:rPr>
                <w:rFonts w:ascii="Times New Roman" w:hAnsi="Times New Roman" w:eastAsia="宋体" w:cs="Times New Roman"/>
                <w:bCs/>
                <w:color w:val="auto"/>
                <w:sz w:val="24"/>
                <w:highlight w:val="none"/>
              </w:rPr>
              <w:t>,河长69km，河床上游平缓，平均比降为0.81‰，其中集水面积100km</w:t>
            </w:r>
            <w:r>
              <w:rPr>
                <w:rFonts w:ascii="Times New Roman" w:hAnsi="Times New Roman" w:eastAsia="宋体" w:cs="Times New Roman"/>
                <w:bCs/>
                <w:color w:val="auto"/>
                <w:sz w:val="24"/>
                <w:highlight w:val="none"/>
                <w:vertAlign w:val="superscript"/>
              </w:rPr>
              <w:t>2</w:t>
            </w:r>
            <w:r>
              <w:rPr>
                <w:rFonts w:ascii="Times New Roman" w:hAnsi="Times New Roman" w:eastAsia="宋体" w:cs="Times New Roman"/>
                <w:bCs/>
                <w:color w:val="auto"/>
                <w:sz w:val="24"/>
                <w:highlight w:val="none"/>
              </w:rPr>
              <w:t>, 以上的支流有双桥水、开平水、靖村水、曲水等4条。镇海水已建大沙河、镇海2宗大（二）型水库和立新、花身蚕2 宗中型水库，以及小（一）型水库17宗，小（二）型水库45 宗，总库容4.38亿立方米，控制集雨面积459km</w:t>
            </w:r>
            <w:r>
              <w:rPr>
                <w:rFonts w:ascii="Times New Roman" w:hAnsi="Times New Roman" w:eastAsia="宋体" w:cs="Times New Roman"/>
                <w:bCs/>
                <w:color w:val="auto"/>
                <w:sz w:val="24"/>
                <w:highlight w:val="none"/>
                <w:vertAlign w:val="superscript"/>
              </w:rPr>
              <w:t xml:space="preserve">2 </w:t>
            </w:r>
            <w:r>
              <w:rPr>
                <w:rFonts w:ascii="Times New Roman" w:hAnsi="Times New Roman" w:eastAsia="宋体" w:cs="Times New Roman"/>
                <w:bCs/>
                <w:color w:val="auto"/>
                <w:sz w:val="24"/>
                <w:highlight w:val="none"/>
              </w:rPr>
              <w:t>。</w:t>
            </w:r>
          </w:p>
          <w:p>
            <w:pPr>
              <w:spacing w:line="360" w:lineRule="auto"/>
              <w:ind w:firstLine="480" w:firstLineChars="200"/>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（2）新昌水：位于潭江下游右岸，发源于台山市古兜山的狮子尾，向西北流经四九镇至合水汇入五十水，经台城与三合水汇流，在三埠原开平氮肥厂附近汇入主流。流域面积576km</w:t>
            </w:r>
            <w:r>
              <w:rPr>
                <w:rFonts w:ascii="Times New Roman" w:hAnsi="Times New Roman" w:eastAsia="宋体" w:cs="Times New Roman"/>
                <w:bCs/>
                <w:color w:val="auto"/>
                <w:sz w:val="24"/>
                <w:highlight w:val="none"/>
                <w:vertAlign w:val="superscript"/>
              </w:rPr>
              <w:t>2</w:t>
            </w:r>
            <w:r>
              <w:rPr>
                <w:rFonts w:ascii="Times New Roman" w:hAnsi="Times New Roman" w:eastAsia="宋体" w:cs="Times New Roman"/>
                <w:bCs/>
                <w:color w:val="auto"/>
                <w:sz w:val="24"/>
                <w:highlight w:val="none"/>
              </w:rPr>
              <w:t>,河流长度52km，平均比降为1.81‰，其支流集雨面积大于100km</w:t>
            </w:r>
            <w:r>
              <w:rPr>
                <w:rFonts w:ascii="Times New Roman" w:hAnsi="Times New Roman" w:eastAsia="宋体" w:cs="Times New Roman"/>
                <w:bCs/>
                <w:color w:val="auto"/>
                <w:sz w:val="24"/>
                <w:highlight w:val="none"/>
                <w:vertAlign w:val="superscript"/>
              </w:rPr>
              <w:t>2</w:t>
            </w:r>
            <w:r>
              <w:rPr>
                <w:rFonts w:ascii="Times New Roman" w:hAnsi="Times New Roman" w:eastAsia="宋体" w:cs="Times New Roman"/>
                <w:bCs/>
                <w:color w:val="auto"/>
                <w:sz w:val="24"/>
                <w:highlight w:val="none"/>
              </w:rPr>
              <w:t>, 的有五十水、三合水等2条，流域多属丘陵山地，植被较好。该河流意见圹田、陈坑、老营底等3总中型水库，小（一）型水库13宗，小（二）型水库39宗，控制集雨面积206.2km</w:t>
            </w:r>
            <w:r>
              <w:rPr>
                <w:rFonts w:ascii="Times New Roman" w:hAnsi="Times New Roman" w:eastAsia="宋体" w:cs="Times New Roman"/>
                <w:bCs/>
                <w:color w:val="auto"/>
                <w:sz w:val="24"/>
                <w:highlight w:val="none"/>
                <w:vertAlign w:val="superscript"/>
              </w:rPr>
              <w:t xml:space="preserve">2 </w:t>
            </w:r>
            <w:r>
              <w:rPr>
                <w:rFonts w:ascii="Times New Roman" w:hAnsi="Times New Roman" w:eastAsia="宋体" w:cs="Times New Roman"/>
                <w:bCs/>
                <w:color w:val="auto"/>
                <w:sz w:val="24"/>
                <w:highlight w:val="none"/>
              </w:rPr>
              <w:t>，总库容1.18亿立方米。</w:t>
            </w:r>
          </w:p>
          <w:p>
            <w:pPr>
              <w:spacing w:line="360" w:lineRule="auto"/>
              <w:ind w:firstLine="480" w:firstLineChars="200"/>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（3）新桥水：位于潭江下游左岸，发源于鹤山市皂幕山大深坑，向南流经水井镇、月山镇，在水口镇流入主流，流域面积143km</w:t>
            </w:r>
            <w:r>
              <w:rPr>
                <w:rFonts w:ascii="Times New Roman" w:hAnsi="Times New Roman" w:eastAsia="宋体" w:cs="Times New Roman"/>
                <w:bCs/>
                <w:color w:val="auto"/>
                <w:sz w:val="24"/>
                <w:highlight w:val="none"/>
                <w:vertAlign w:val="superscript"/>
              </w:rPr>
              <w:t>2</w:t>
            </w:r>
            <w:r>
              <w:rPr>
                <w:rFonts w:ascii="Times New Roman" w:hAnsi="Times New Roman" w:eastAsia="宋体" w:cs="Times New Roman"/>
                <w:bCs/>
                <w:color w:val="auto"/>
                <w:sz w:val="24"/>
                <w:highlight w:val="none"/>
              </w:rPr>
              <w:t>,河流长度29km，平均比降为3.24‰，下游受潮汐影响，流域属丘陵河流，平原、山区各占50%，现有小（一）型水库3宗，小（二）型水库13宗，控制集雨面积17km</w:t>
            </w:r>
            <w:r>
              <w:rPr>
                <w:rFonts w:ascii="Times New Roman" w:hAnsi="Times New Roman" w:eastAsia="宋体" w:cs="Times New Roman"/>
                <w:bCs/>
                <w:color w:val="auto"/>
                <w:sz w:val="24"/>
                <w:highlight w:val="none"/>
                <w:vertAlign w:val="superscript"/>
              </w:rPr>
              <w:t xml:space="preserve">2 </w:t>
            </w:r>
            <w:r>
              <w:rPr>
                <w:rFonts w:ascii="Times New Roman" w:hAnsi="Times New Roman" w:eastAsia="宋体" w:cs="Times New Roman"/>
                <w:bCs/>
                <w:color w:val="auto"/>
                <w:sz w:val="24"/>
                <w:highlight w:val="none"/>
              </w:rPr>
              <w:t>，总库容754万立方米。根据华南环境科学研究所2006 年对新桥水月明河段月明桥断面的水量观测，其平均落潮流速和涨潮流速分别为0.2526m/s 和-0.2228m/s。断面的落潮周日涨潮量为1329823m</w:t>
            </w:r>
            <w:r>
              <w:rPr>
                <w:rFonts w:ascii="Times New Roman" w:hAnsi="Times New Roman" w:eastAsia="宋体" w:cs="Times New Roman"/>
                <w:bCs/>
                <w:color w:val="auto"/>
                <w:sz w:val="24"/>
                <w:highlight w:val="none"/>
                <w:vertAlign w:val="superscript"/>
              </w:rPr>
              <w:t xml:space="preserve">3 </w:t>
            </w:r>
            <w:r>
              <w:rPr>
                <w:rFonts w:ascii="Times New Roman" w:hAnsi="Times New Roman" w:eastAsia="宋体" w:cs="Times New Roman"/>
                <w:bCs/>
                <w:color w:val="auto"/>
                <w:sz w:val="24"/>
                <w:highlight w:val="none"/>
              </w:rPr>
              <w:t>，断面均涨潮量为28.78m</w:t>
            </w:r>
            <w:r>
              <w:rPr>
                <w:rFonts w:ascii="Times New Roman" w:hAnsi="Times New Roman" w:eastAsia="宋体" w:cs="Times New Roman"/>
                <w:bCs/>
                <w:color w:val="auto"/>
                <w:sz w:val="24"/>
                <w:highlight w:val="none"/>
                <w:vertAlign w:val="superscript"/>
              </w:rPr>
              <w:t>3</w:t>
            </w:r>
            <w:r>
              <w:rPr>
                <w:rFonts w:ascii="Times New Roman" w:hAnsi="Times New Roman" w:eastAsia="宋体" w:cs="Times New Roman"/>
                <w:bCs/>
                <w:color w:val="auto"/>
                <w:sz w:val="24"/>
                <w:highlight w:val="none"/>
              </w:rPr>
              <w:t xml:space="preserve"> /s。断面潮周日的平均净泄量为0.817m</w:t>
            </w:r>
            <w:r>
              <w:rPr>
                <w:rFonts w:ascii="Times New Roman" w:hAnsi="Times New Roman" w:eastAsia="宋体" w:cs="Times New Roman"/>
                <w:bCs/>
                <w:color w:val="auto"/>
                <w:sz w:val="24"/>
                <w:highlight w:val="none"/>
                <w:vertAlign w:val="superscript"/>
              </w:rPr>
              <w:t xml:space="preserve">3 </w:t>
            </w:r>
            <w:r>
              <w:rPr>
                <w:rFonts w:ascii="Times New Roman" w:hAnsi="Times New Roman" w:eastAsia="宋体" w:cs="Times New Roman"/>
                <w:bCs/>
                <w:color w:val="auto"/>
                <w:sz w:val="24"/>
                <w:highlight w:val="none"/>
              </w:rPr>
              <w:t>/s。</w:t>
            </w:r>
          </w:p>
          <w:p>
            <w:pPr>
              <w:spacing w:line="360" w:lineRule="auto"/>
              <w:ind w:firstLine="480" w:firstLineChars="200"/>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（4）公益水：位于潭江下游右岸，发源于台山市古兜山北部的烟斗岗，流经大江镇，与水步支流汇合，至公益镇东头汇入主流。流域面积136km</w:t>
            </w:r>
            <w:r>
              <w:rPr>
                <w:rFonts w:ascii="Times New Roman" w:hAnsi="Times New Roman" w:eastAsia="宋体" w:cs="Times New Roman"/>
                <w:bCs/>
                <w:color w:val="auto"/>
                <w:sz w:val="24"/>
                <w:highlight w:val="none"/>
                <w:vertAlign w:val="superscript"/>
              </w:rPr>
              <w:t>2</w:t>
            </w:r>
            <w:r>
              <w:rPr>
                <w:rFonts w:ascii="Times New Roman" w:hAnsi="Times New Roman" w:eastAsia="宋体" w:cs="Times New Roman"/>
                <w:bCs/>
                <w:color w:val="auto"/>
                <w:sz w:val="24"/>
                <w:highlight w:val="none"/>
              </w:rPr>
              <w:t>, ，河流长度28km，平均比降为0.68‰，该河受潮汐影响可达大江镇及水步镇。该河建有小（一）型水库4宗，小（二）型水库7宗，控制集雨面积23.7km</w:t>
            </w:r>
            <w:r>
              <w:rPr>
                <w:rFonts w:ascii="Times New Roman" w:hAnsi="Times New Roman" w:eastAsia="宋体" w:cs="Times New Roman"/>
                <w:bCs/>
                <w:color w:val="auto"/>
                <w:sz w:val="24"/>
                <w:highlight w:val="none"/>
                <w:vertAlign w:val="superscript"/>
              </w:rPr>
              <w:t xml:space="preserve">2 </w:t>
            </w:r>
            <w:r>
              <w:rPr>
                <w:rFonts w:ascii="Times New Roman" w:hAnsi="Times New Roman" w:eastAsia="宋体" w:cs="Times New Roman"/>
                <w:bCs/>
                <w:color w:val="auto"/>
                <w:sz w:val="24"/>
                <w:highlight w:val="none"/>
              </w:rPr>
              <w:t>，总库容1808万立方米。</w:t>
            </w:r>
          </w:p>
          <w:p>
            <w:pPr>
              <w:spacing w:line="360" w:lineRule="auto"/>
              <w:ind w:firstLine="480" w:firstLineChars="200"/>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（5）白沙水：白沙水又名赤水河，位于潭江下游右岸，发源于开平市的三两银山，自南向北流经开平市东山镇、赤水镇和台山的白沙镇，在百足尾汇入主流。流域面积38.3km</w:t>
            </w:r>
            <w:r>
              <w:rPr>
                <w:rFonts w:ascii="Times New Roman" w:hAnsi="Times New Roman" w:eastAsia="宋体" w:cs="Times New Roman"/>
                <w:bCs/>
                <w:color w:val="auto"/>
                <w:sz w:val="24"/>
                <w:highlight w:val="none"/>
                <w:vertAlign w:val="superscript"/>
              </w:rPr>
              <w:t>2</w:t>
            </w:r>
            <w:r>
              <w:rPr>
                <w:rFonts w:ascii="Times New Roman" w:hAnsi="Times New Roman" w:eastAsia="宋体" w:cs="Times New Roman"/>
                <w:bCs/>
                <w:color w:val="auto"/>
                <w:sz w:val="24"/>
                <w:highlight w:val="none"/>
              </w:rPr>
              <w:t>,河流长度49km，平均比降为0.77‰，鹤仔朗以下受潮汐影响。上游已建狮山中型水库1宗及小（一）型水库5宗，小（二）型水库25宗，控制集雨面积63.1km</w:t>
            </w:r>
            <w:r>
              <w:rPr>
                <w:rFonts w:ascii="Times New Roman" w:hAnsi="Times New Roman" w:eastAsia="宋体" w:cs="Times New Roman"/>
                <w:bCs/>
                <w:color w:val="auto"/>
                <w:sz w:val="24"/>
                <w:highlight w:val="none"/>
                <w:vertAlign w:val="superscript"/>
              </w:rPr>
              <w:t xml:space="preserve">2 </w:t>
            </w:r>
            <w:r>
              <w:rPr>
                <w:rFonts w:ascii="Times New Roman" w:hAnsi="Times New Roman" w:eastAsia="宋体" w:cs="Times New Roman"/>
                <w:bCs/>
                <w:color w:val="auto"/>
                <w:sz w:val="24"/>
                <w:highlight w:val="none"/>
              </w:rPr>
              <w:t>，总库容16953万立方米。</w:t>
            </w:r>
          </w:p>
          <w:p>
            <w:pPr>
              <w:spacing w:line="360" w:lineRule="auto"/>
              <w:ind w:firstLine="480" w:firstLineChars="200"/>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（6）蚬冈水：位于潭江下游右岸，发源于恩平五点梅花山，向东流至开平市金鸡镇飞鹅里与金鸡水汇合再折向东北，企山海村以下受潮汐影响，流域面积 185km</w:t>
            </w:r>
            <w:r>
              <w:rPr>
                <w:rFonts w:ascii="Times New Roman" w:hAnsi="Times New Roman" w:eastAsia="宋体" w:cs="Times New Roman"/>
                <w:bCs/>
                <w:color w:val="auto"/>
                <w:sz w:val="24"/>
                <w:highlight w:val="none"/>
                <w:vertAlign w:val="superscript"/>
              </w:rPr>
              <w:t>2</w:t>
            </w:r>
            <w:r>
              <w:rPr>
                <w:rFonts w:ascii="Times New Roman" w:hAnsi="Times New Roman" w:eastAsia="宋体" w:cs="Times New Roman"/>
                <w:bCs/>
                <w:color w:val="auto"/>
                <w:sz w:val="24"/>
                <w:highlight w:val="none"/>
              </w:rPr>
              <w:t>,主河长34km，平均比降为1.30‰。上游已建有青南角中型水库 1 宗及小（一）型水库9宗，小（二）型水库14宗，控制集雨面积 53.8km</w:t>
            </w:r>
            <w:r>
              <w:rPr>
                <w:rFonts w:ascii="Times New Roman" w:hAnsi="Times New Roman" w:eastAsia="宋体" w:cs="Times New Roman"/>
                <w:bCs/>
                <w:color w:val="auto"/>
                <w:sz w:val="24"/>
                <w:highlight w:val="none"/>
                <w:vertAlign w:val="superscript"/>
              </w:rPr>
              <w:t xml:space="preserve">2 </w:t>
            </w:r>
            <w:r>
              <w:rPr>
                <w:rFonts w:ascii="Times New Roman" w:hAnsi="Times New Roman" w:eastAsia="宋体" w:cs="Times New Roman"/>
                <w:bCs/>
                <w:color w:val="auto"/>
                <w:sz w:val="24"/>
                <w:highlight w:val="none"/>
              </w:rPr>
              <w:t>，总库容 4710万立方米。</w:t>
            </w:r>
          </w:p>
          <w:p>
            <w:pPr>
              <w:pStyle w:val="10"/>
              <w:spacing w:line="360" w:lineRule="auto"/>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四 、自然资源、土壤与植被</w:t>
            </w:r>
          </w:p>
          <w:p>
            <w:pPr>
              <w:spacing w:line="360" w:lineRule="auto"/>
              <w:ind w:firstLine="480" w:firstLineChars="200"/>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开平市矿产资源丰富，矿产资源已探明和开采的有铁、锰、铜、锡、金、铀、煤、独硅石、耐火石、钾长石等33种。</w:t>
            </w:r>
          </w:p>
          <w:p>
            <w:pPr>
              <w:spacing w:line="360" w:lineRule="auto"/>
              <w:ind w:firstLine="480" w:firstLineChars="200"/>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开平市生物资源种类繁多。植物方面有种子植物和蕨类植物，主要代表科有壳斗科、山茶科、木兰科、樟科、桑科、蝶形花科、梧桐科、苏木科、桃金娘科、山龙眼科和芭蕉科等。动物方面主要是鸟、鱼、虫、兽。常见的珍稀动物有穿山甲、大头龟、果子狸、猴面鹰。较多的野生动物有山猪、石蛤、鳖、蛇、鹧鸪、坑螺等。</w:t>
            </w:r>
          </w:p>
          <w:p>
            <w:pPr>
              <w:spacing w:line="360" w:lineRule="auto"/>
              <w:ind w:firstLine="480" w:firstLineChars="200"/>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项目所在区域的土壤属冲积泥沙土壤和冲积黄红壤；周围植被主要为亚热带、热带的树种。乔木主要有松科、杉科、樟科、木麻黄科等。草被以芒萁为主，蕨类次之，常见芒萁群和马尾松、岗松、小叶樟、大叶樟、鸭脚木、乌桕、荷木、桃金娘、野牡丹和算盘子等。</w:t>
            </w:r>
          </w:p>
          <w:p>
            <w:pPr>
              <w:spacing w:line="360" w:lineRule="auto"/>
              <w:ind w:firstLine="480" w:firstLineChars="200"/>
              <w:rPr>
                <w:rFonts w:ascii="Times New Roman" w:hAnsi="Times New Roman" w:eastAsia="宋体" w:cs="Times New Roman"/>
                <w:bCs/>
                <w:color w:val="auto"/>
                <w:sz w:val="24"/>
                <w:highlight w:val="none"/>
              </w:rPr>
            </w:pPr>
          </w:p>
        </w:tc>
      </w:tr>
    </w:tbl>
    <w:p>
      <w:pPr>
        <w:pStyle w:val="3"/>
        <w:spacing w:before="0" w:after="0" w:line="240" w:lineRule="auto"/>
        <w:rPr>
          <w:rFonts w:ascii="Times New Roman" w:hAnsi="Times New Roman" w:cs="Times New Roman"/>
          <w:color w:val="auto"/>
          <w:sz w:val="32"/>
          <w:szCs w:val="32"/>
          <w:highlight w:val="none"/>
        </w:rPr>
      </w:pPr>
      <w:bookmarkStart w:id="8" w:name="_Toc9352"/>
      <w:bookmarkStart w:id="9" w:name="_Toc31987_WPSOffice_Level1"/>
      <w:bookmarkStart w:id="10" w:name="_Toc48"/>
      <w:bookmarkStart w:id="11" w:name="_Toc2762_WPSOffice_Level1"/>
      <w:r>
        <w:rPr>
          <w:rFonts w:ascii="Times New Roman" w:hAnsi="Times New Roman" w:cs="Times New Roman"/>
          <w:color w:val="auto"/>
          <w:sz w:val="32"/>
          <w:szCs w:val="32"/>
          <w:highlight w:val="none"/>
        </w:rPr>
        <w:t>三、环境质量状况</w:t>
      </w:r>
      <w:bookmarkEnd w:id="8"/>
      <w:bookmarkEnd w:id="9"/>
      <w:bookmarkEnd w:id="10"/>
      <w:bookmarkEnd w:id="11"/>
    </w:p>
    <w:tbl>
      <w:tblPr>
        <w:tblStyle w:val="23"/>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522" w:type="dxa"/>
          </w:tcPr>
          <w:p>
            <w:pPr>
              <w:spacing w:line="360" w:lineRule="auto"/>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建设项目所在地区域环境质量现状及主要环境问题(环境空气、地面水、地下水、声环境、生态环境等)；</w:t>
            </w:r>
          </w:p>
          <w:p>
            <w:pPr>
              <w:spacing w:line="360" w:lineRule="auto"/>
              <w:ind w:firstLine="482" w:firstLineChars="200"/>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项目所在地环境功能属性如下表所列：</w:t>
            </w:r>
          </w:p>
          <w:p>
            <w:pPr>
              <w:spacing w:line="276" w:lineRule="auto"/>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表</w:t>
            </w:r>
            <w:r>
              <w:rPr>
                <w:rFonts w:hint="eastAsia" w:ascii="Times New Roman" w:hAnsi="Times New Roman" w:eastAsia="宋体" w:cs="Times New Roman"/>
                <w:b/>
                <w:color w:val="auto"/>
                <w:szCs w:val="21"/>
                <w:highlight w:val="none"/>
              </w:rPr>
              <w:t>3-1</w:t>
            </w:r>
            <w:r>
              <w:rPr>
                <w:rFonts w:ascii="Times New Roman" w:hAnsi="Times New Roman" w:eastAsia="宋体" w:cs="Times New Roman"/>
                <w:b/>
                <w:color w:val="auto"/>
                <w:szCs w:val="21"/>
                <w:highlight w:val="none"/>
              </w:rPr>
              <w:t>建设项目环境功能所属性一览表</w:t>
            </w:r>
          </w:p>
          <w:tbl>
            <w:tblPr>
              <w:tblStyle w:val="22"/>
              <w:tblW w:w="8276"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65"/>
              <w:gridCol w:w="2433"/>
              <w:gridCol w:w="487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48" w:hRule="atLeast"/>
                <w:jc w:val="center"/>
              </w:trPr>
              <w:tc>
                <w:tcPr>
                  <w:tcW w:w="965" w:type="dxa"/>
                  <w:vAlign w:val="center"/>
                </w:tcPr>
                <w:p>
                  <w:pPr>
                    <w:pStyle w:val="34"/>
                    <w:spacing w:before="30" w:beforeAutospacing="0"/>
                    <w:ind w:left="169"/>
                    <w:jc w:val="center"/>
                    <w:rPr>
                      <w:rFonts w:ascii="Times New Roman" w:hAnsi="Times New Roman" w:eastAsia="宋体" w:cs="Times New Roman"/>
                      <w:color w:val="auto"/>
                      <w:sz w:val="21"/>
                      <w:szCs w:val="21"/>
                      <w:highlight w:val="none"/>
                    </w:rPr>
                  </w:pPr>
                  <w:r>
                    <w:rPr>
                      <w:rFonts w:ascii="Times New Roman" w:hAnsi="Times New Roman" w:eastAsia="宋体" w:cs="Times New Roman"/>
                      <w:b/>
                      <w:bCs/>
                      <w:color w:val="auto"/>
                      <w:spacing w:val="7"/>
                      <w:sz w:val="21"/>
                      <w:szCs w:val="21"/>
                      <w:highlight w:val="none"/>
                    </w:rPr>
                    <w:t>编号</w:t>
                  </w:r>
                </w:p>
              </w:tc>
              <w:tc>
                <w:tcPr>
                  <w:tcW w:w="2433" w:type="dxa"/>
                  <w:vAlign w:val="center"/>
                </w:tcPr>
                <w:p>
                  <w:pPr>
                    <w:pStyle w:val="34"/>
                    <w:spacing w:before="30" w:beforeAutospacing="0"/>
                    <w:ind w:left="868"/>
                    <w:jc w:val="both"/>
                    <w:rPr>
                      <w:rFonts w:ascii="Times New Roman" w:hAnsi="Times New Roman" w:eastAsia="宋体" w:cs="Times New Roman"/>
                      <w:color w:val="auto"/>
                      <w:sz w:val="21"/>
                      <w:szCs w:val="21"/>
                      <w:highlight w:val="none"/>
                    </w:rPr>
                  </w:pPr>
                  <w:r>
                    <w:rPr>
                      <w:rFonts w:ascii="Times New Roman" w:hAnsi="Times New Roman" w:eastAsia="宋体" w:cs="Times New Roman"/>
                      <w:b/>
                      <w:bCs/>
                      <w:color w:val="auto"/>
                      <w:sz w:val="21"/>
                      <w:szCs w:val="21"/>
                      <w:highlight w:val="none"/>
                    </w:rPr>
                    <w:t>项</w:t>
                  </w:r>
                  <w:r>
                    <w:rPr>
                      <w:rFonts w:ascii="Times New Roman" w:hAnsi="Times New Roman" w:eastAsia="宋体" w:cs="Times New Roman"/>
                      <w:b/>
                      <w:bCs/>
                      <w:color w:val="auto"/>
                      <w:sz w:val="21"/>
                      <w:szCs w:val="21"/>
                      <w:highlight w:val="none"/>
                    </w:rPr>
                    <w:tab/>
                  </w:r>
                  <w:r>
                    <w:rPr>
                      <w:rFonts w:ascii="Times New Roman" w:hAnsi="Times New Roman" w:eastAsia="宋体" w:cs="Times New Roman"/>
                      <w:b/>
                      <w:bCs/>
                      <w:color w:val="auto"/>
                      <w:sz w:val="21"/>
                      <w:szCs w:val="21"/>
                      <w:highlight w:val="none"/>
                    </w:rPr>
                    <w:t>目</w:t>
                  </w:r>
                </w:p>
              </w:tc>
              <w:tc>
                <w:tcPr>
                  <w:tcW w:w="4878" w:type="dxa"/>
                  <w:vAlign w:val="center"/>
                </w:tcPr>
                <w:p>
                  <w:pPr>
                    <w:pStyle w:val="34"/>
                    <w:spacing w:before="30" w:beforeAutospacing="0"/>
                    <w:ind w:right="5"/>
                    <w:jc w:val="center"/>
                    <w:rPr>
                      <w:rFonts w:ascii="Times New Roman" w:hAnsi="Times New Roman" w:eastAsia="宋体" w:cs="Times New Roman"/>
                      <w:color w:val="auto"/>
                      <w:sz w:val="21"/>
                      <w:szCs w:val="21"/>
                      <w:highlight w:val="none"/>
                    </w:rPr>
                  </w:pPr>
                  <w:r>
                    <w:rPr>
                      <w:rFonts w:ascii="Times New Roman" w:hAnsi="Times New Roman" w:eastAsia="宋体" w:cs="Times New Roman"/>
                      <w:b/>
                      <w:bCs/>
                      <w:color w:val="auto"/>
                      <w:sz w:val="21"/>
                      <w:szCs w:val="21"/>
                      <w:highlight w:val="none"/>
                    </w:rPr>
                    <w:t>内</w:t>
                  </w:r>
                  <w:r>
                    <w:rPr>
                      <w:rFonts w:ascii="Times New Roman" w:hAnsi="Times New Roman" w:eastAsia="宋体" w:cs="Times New Roman"/>
                      <w:b/>
                      <w:bCs/>
                      <w:color w:val="auto"/>
                      <w:sz w:val="21"/>
                      <w:szCs w:val="21"/>
                      <w:highlight w:val="none"/>
                    </w:rPr>
                    <w:tab/>
                  </w:r>
                  <w:r>
                    <w:rPr>
                      <w:rFonts w:ascii="Times New Roman" w:hAnsi="Times New Roman" w:eastAsia="宋体" w:cs="Times New Roman"/>
                      <w:b/>
                      <w:bCs/>
                      <w:color w:val="auto"/>
                      <w:sz w:val="21"/>
                      <w:szCs w:val="21"/>
                      <w:highlight w:val="none"/>
                    </w:rPr>
                    <w:t>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995" w:hRule="atLeast"/>
                <w:jc w:val="center"/>
              </w:trPr>
              <w:tc>
                <w:tcPr>
                  <w:tcW w:w="965" w:type="dxa"/>
                  <w:vAlign w:val="center"/>
                </w:tcPr>
                <w:p>
                  <w:pPr>
                    <w:pStyle w:val="34"/>
                    <w:spacing w:beforeAutospacing="0"/>
                    <w:ind w:left="315" w:right="322"/>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1</w:t>
                  </w:r>
                </w:p>
              </w:tc>
              <w:tc>
                <w:tcPr>
                  <w:tcW w:w="2433" w:type="dxa"/>
                  <w:vAlign w:val="center"/>
                </w:tcPr>
                <w:p>
                  <w:pPr>
                    <w:pStyle w:val="34"/>
                    <w:spacing w:beforeAutospacing="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7"/>
                      <w:sz w:val="21"/>
                      <w:szCs w:val="21"/>
                      <w:highlight w:val="none"/>
                    </w:rPr>
                    <w:t>水环</w:t>
                  </w:r>
                  <w:r>
                    <w:rPr>
                      <w:rFonts w:ascii="Times New Roman" w:hAnsi="Times New Roman" w:eastAsia="宋体" w:cs="Times New Roman"/>
                      <w:color w:val="auto"/>
                      <w:spacing w:val="4"/>
                      <w:sz w:val="21"/>
                      <w:szCs w:val="21"/>
                      <w:highlight w:val="none"/>
                    </w:rPr>
                    <w:t>境</w:t>
                  </w:r>
                  <w:r>
                    <w:rPr>
                      <w:rFonts w:ascii="Times New Roman" w:hAnsi="Times New Roman" w:eastAsia="宋体" w:cs="Times New Roman"/>
                      <w:color w:val="auto"/>
                      <w:spacing w:val="6"/>
                      <w:sz w:val="21"/>
                      <w:szCs w:val="21"/>
                      <w:highlight w:val="none"/>
                    </w:rPr>
                    <w:t>功能</w:t>
                  </w:r>
                  <w:r>
                    <w:rPr>
                      <w:rFonts w:ascii="Times New Roman" w:hAnsi="Times New Roman" w:eastAsia="宋体" w:cs="Times New Roman"/>
                      <w:color w:val="auto"/>
                      <w:sz w:val="21"/>
                      <w:szCs w:val="21"/>
                      <w:highlight w:val="none"/>
                    </w:rPr>
                    <w:t>区</w:t>
                  </w:r>
                </w:p>
              </w:tc>
              <w:tc>
                <w:tcPr>
                  <w:tcW w:w="4878" w:type="dxa"/>
                  <w:vAlign w:val="center"/>
                </w:tcPr>
                <w:p>
                  <w:pPr>
                    <w:pStyle w:val="34"/>
                    <w:spacing w:before="45" w:beforeAutospacing="0"/>
                    <w:ind w:left="99"/>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6"/>
                      <w:sz w:val="21"/>
                      <w:szCs w:val="21"/>
                      <w:highlight w:val="none"/>
                    </w:rPr>
                    <w:t>非饮用水源保护区。本项目附近地表水镇海水，确定镇海水为Ⅲ类水体，执行《地表水环境质量标准》(GB3838-2002Ⅲ类标准。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1309" w:hRule="atLeast"/>
                <w:jc w:val="center"/>
              </w:trPr>
              <w:tc>
                <w:tcPr>
                  <w:tcW w:w="965" w:type="dxa"/>
                  <w:vAlign w:val="center"/>
                </w:tcPr>
                <w:p>
                  <w:pPr>
                    <w:pStyle w:val="34"/>
                    <w:spacing w:beforeAutospacing="0"/>
                    <w:ind w:left="315" w:right="322"/>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2</w:t>
                  </w:r>
                </w:p>
              </w:tc>
              <w:tc>
                <w:tcPr>
                  <w:tcW w:w="2433" w:type="dxa"/>
                  <w:vAlign w:val="center"/>
                </w:tcPr>
                <w:p>
                  <w:pPr>
                    <w:pStyle w:val="34"/>
                    <w:spacing w:before="150" w:beforeAutospacing="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4"/>
                      <w:sz w:val="21"/>
                      <w:szCs w:val="21"/>
                      <w:highlight w:val="none"/>
                    </w:rPr>
                    <w:t>环境空气功能区</w:t>
                  </w:r>
                </w:p>
              </w:tc>
              <w:tc>
                <w:tcPr>
                  <w:tcW w:w="4878" w:type="dxa"/>
                  <w:vAlign w:val="center"/>
                </w:tcPr>
                <w:p>
                  <w:pPr>
                    <w:pStyle w:val="34"/>
                    <w:spacing w:before="45" w:beforeAutospacing="0"/>
                    <w:ind w:right="6"/>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根据《江门市环境保护规划（2006-2020）》中有关规定的要求，项目所在地属二类区，执行《环境空气质量标准》（GB3095-2012）及其生态环境部2018年第29号修改单二级标准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954" w:hRule="atLeast"/>
                <w:jc w:val="center"/>
              </w:trPr>
              <w:tc>
                <w:tcPr>
                  <w:tcW w:w="965" w:type="dxa"/>
                  <w:vAlign w:val="center"/>
                </w:tcPr>
                <w:p>
                  <w:pPr>
                    <w:pStyle w:val="34"/>
                    <w:spacing w:beforeAutospacing="0"/>
                    <w:ind w:left="315" w:right="322"/>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3</w:t>
                  </w:r>
                </w:p>
              </w:tc>
              <w:tc>
                <w:tcPr>
                  <w:tcW w:w="2433" w:type="dxa"/>
                  <w:vAlign w:val="center"/>
                </w:tcPr>
                <w:p>
                  <w:pPr>
                    <w:pStyle w:val="34"/>
                    <w:spacing w:beforeAutospacing="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4"/>
                      <w:sz w:val="21"/>
                      <w:szCs w:val="21"/>
                      <w:highlight w:val="none"/>
                    </w:rPr>
                    <w:t>环境噪声功能区</w:t>
                  </w:r>
                </w:p>
              </w:tc>
              <w:tc>
                <w:tcPr>
                  <w:tcW w:w="4878" w:type="dxa"/>
                  <w:vAlign w:val="center"/>
                </w:tcPr>
                <w:p>
                  <w:pPr>
                    <w:pStyle w:val="34"/>
                    <w:spacing w:beforeAutospacing="0" w:line="280" w:lineRule="exact"/>
                    <w:ind w:left="140" w:right="144"/>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根据《声环境质量标准》（GB3096-2008）声环境功能区分类，项目所在区域属于3类声环境功能区，执行3类声环境功能区标准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22" w:hRule="atLeast"/>
                <w:jc w:val="center"/>
              </w:trPr>
              <w:tc>
                <w:tcPr>
                  <w:tcW w:w="965" w:type="dxa"/>
                  <w:vAlign w:val="center"/>
                </w:tcPr>
                <w:p>
                  <w:pPr>
                    <w:pStyle w:val="34"/>
                    <w:spacing w:before="76" w:beforeAutospacing="0"/>
                    <w:ind w:left="315" w:right="322"/>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4</w:t>
                  </w:r>
                </w:p>
              </w:tc>
              <w:tc>
                <w:tcPr>
                  <w:tcW w:w="2433" w:type="dxa"/>
                  <w:vAlign w:val="center"/>
                </w:tcPr>
                <w:p>
                  <w:pPr>
                    <w:spacing w:before="33"/>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pacing w:val="5"/>
                      <w:szCs w:val="21"/>
                      <w:highlight w:val="none"/>
                    </w:rPr>
                    <w:t>是否基本农田保护</w:t>
                  </w:r>
                  <w:r>
                    <w:rPr>
                      <w:rFonts w:ascii="Times New Roman" w:hAnsi="Times New Roman" w:eastAsia="宋体" w:cs="Times New Roman"/>
                      <w:color w:val="auto"/>
                      <w:szCs w:val="21"/>
                      <w:highlight w:val="none"/>
                    </w:rPr>
                    <w:t>区</w:t>
                  </w:r>
                </w:p>
              </w:tc>
              <w:tc>
                <w:tcPr>
                  <w:tcW w:w="4878" w:type="dxa"/>
                  <w:vAlign w:val="center"/>
                </w:tcPr>
                <w:p>
                  <w:pPr>
                    <w:pStyle w:val="34"/>
                    <w:spacing w:before="33" w:beforeAutospacing="0"/>
                    <w:ind w:left="2161" w:right="2164"/>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19" w:hRule="atLeast"/>
                <w:jc w:val="center"/>
              </w:trPr>
              <w:tc>
                <w:tcPr>
                  <w:tcW w:w="965" w:type="dxa"/>
                  <w:vAlign w:val="center"/>
                </w:tcPr>
                <w:p>
                  <w:pPr>
                    <w:pStyle w:val="34"/>
                    <w:spacing w:before="76" w:beforeAutospacing="0"/>
                    <w:ind w:left="315" w:right="322"/>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5</w:t>
                  </w:r>
                </w:p>
              </w:tc>
              <w:tc>
                <w:tcPr>
                  <w:tcW w:w="2433" w:type="dxa"/>
                  <w:vAlign w:val="center"/>
                </w:tcPr>
                <w:p>
                  <w:pPr>
                    <w:spacing w:before="33"/>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pacing w:val="5"/>
                      <w:szCs w:val="21"/>
                      <w:highlight w:val="none"/>
                    </w:rPr>
                    <w:t>是否风景名胜</w:t>
                  </w:r>
                  <w:r>
                    <w:rPr>
                      <w:rFonts w:ascii="Times New Roman" w:hAnsi="Times New Roman" w:eastAsia="宋体" w:cs="Times New Roman"/>
                      <w:color w:val="auto"/>
                      <w:szCs w:val="21"/>
                      <w:highlight w:val="none"/>
                    </w:rPr>
                    <w:t>区</w:t>
                  </w:r>
                </w:p>
              </w:tc>
              <w:tc>
                <w:tcPr>
                  <w:tcW w:w="4878" w:type="dxa"/>
                  <w:vAlign w:val="center"/>
                </w:tcPr>
                <w:p>
                  <w:pPr>
                    <w:pStyle w:val="34"/>
                    <w:spacing w:before="33" w:beforeAutospacing="0"/>
                    <w:ind w:left="2161" w:right="2164"/>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22" w:hRule="atLeast"/>
                <w:jc w:val="center"/>
              </w:trPr>
              <w:tc>
                <w:tcPr>
                  <w:tcW w:w="965" w:type="dxa"/>
                  <w:vAlign w:val="center"/>
                </w:tcPr>
                <w:p>
                  <w:pPr>
                    <w:pStyle w:val="34"/>
                    <w:spacing w:before="76" w:beforeAutospacing="0"/>
                    <w:ind w:left="315" w:right="322"/>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6</w:t>
                  </w:r>
                </w:p>
              </w:tc>
              <w:tc>
                <w:tcPr>
                  <w:tcW w:w="2433" w:type="dxa"/>
                  <w:vAlign w:val="center"/>
                </w:tcPr>
                <w:p>
                  <w:pPr>
                    <w:spacing w:before="33"/>
                    <w:ind w:right="7"/>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pacing w:val="5"/>
                      <w:szCs w:val="21"/>
                      <w:highlight w:val="none"/>
                    </w:rPr>
                    <w:t>是否自然保护</w:t>
                  </w:r>
                  <w:r>
                    <w:rPr>
                      <w:rFonts w:ascii="Times New Roman" w:hAnsi="Times New Roman" w:eastAsia="宋体" w:cs="Times New Roman"/>
                      <w:color w:val="auto"/>
                      <w:szCs w:val="21"/>
                      <w:highlight w:val="none"/>
                    </w:rPr>
                    <w:t>区</w:t>
                  </w:r>
                </w:p>
              </w:tc>
              <w:tc>
                <w:tcPr>
                  <w:tcW w:w="4878" w:type="dxa"/>
                  <w:vAlign w:val="center"/>
                </w:tcPr>
                <w:p>
                  <w:pPr>
                    <w:pStyle w:val="34"/>
                    <w:spacing w:before="33" w:beforeAutospacing="0"/>
                    <w:ind w:left="2161" w:right="2164"/>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27" w:hRule="atLeast"/>
                <w:jc w:val="center"/>
              </w:trPr>
              <w:tc>
                <w:tcPr>
                  <w:tcW w:w="965" w:type="dxa"/>
                  <w:vAlign w:val="center"/>
                </w:tcPr>
                <w:p>
                  <w:pPr>
                    <w:pStyle w:val="34"/>
                    <w:spacing w:before="76" w:beforeAutospacing="0"/>
                    <w:ind w:left="315" w:right="322"/>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7</w:t>
                  </w:r>
                </w:p>
              </w:tc>
              <w:tc>
                <w:tcPr>
                  <w:tcW w:w="2433" w:type="dxa"/>
                  <w:vAlign w:val="center"/>
                </w:tcPr>
                <w:p>
                  <w:pPr>
                    <w:spacing w:before="33"/>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pacing w:val="5"/>
                      <w:szCs w:val="21"/>
                      <w:highlight w:val="none"/>
                    </w:rPr>
                    <w:t>是否森林公园</w:t>
                  </w:r>
                </w:p>
              </w:tc>
              <w:tc>
                <w:tcPr>
                  <w:tcW w:w="4878" w:type="dxa"/>
                  <w:vAlign w:val="center"/>
                </w:tcPr>
                <w:p>
                  <w:pPr>
                    <w:pStyle w:val="34"/>
                    <w:spacing w:before="33" w:beforeAutospacing="0"/>
                    <w:ind w:left="2161" w:right="2164"/>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27" w:hRule="atLeast"/>
                <w:jc w:val="center"/>
              </w:trPr>
              <w:tc>
                <w:tcPr>
                  <w:tcW w:w="965" w:type="dxa"/>
                  <w:vAlign w:val="center"/>
                </w:tcPr>
                <w:p>
                  <w:pPr>
                    <w:pStyle w:val="34"/>
                    <w:spacing w:before="76" w:beforeAutospacing="0"/>
                    <w:ind w:left="315" w:right="322"/>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8</w:t>
                  </w:r>
                </w:p>
              </w:tc>
              <w:tc>
                <w:tcPr>
                  <w:tcW w:w="2433" w:type="dxa"/>
                  <w:vAlign w:val="center"/>
                </w:tcPr>
                <w:p>
                  <w:pPr>
                    <w:pStyle w:val="34"/>
                    <w:spacing w:before="33" w:beforeAutospacing="0"/>
                    <w:jc w:val="center"/>
                    <w:rPr>
                      <w:rFonts w:ascii="Times New Roman" w:hAnsi="Times New Roman" w:eastAsia="宋体" w:cs="Times New Roman"/>
                      <w:color w:val="auto"/>
                      <w:spacing w:val="5"/>
                      <w:sz w:val="21"/>
                      <w:szCs w:val="21"/>
                      <w:highlight w:val="none"/>
                    </w:rPr>
                  </w:pPr>
                  <w:r>
                    <w:rPr>
                      <w:rFonts w:ascii="Times New Roman" w:hAnsi="Times New Roman" w:eastAsia="宋体" w:cs="Times New Roman"/>
                      <w:color w:val="auto"/>
                      <w:sz w:val="21"/>
                      <w:highlight w:val="none"/>
                    </w:rPr>
                    <w:t>是否生态功能保护</w:t>
                  </w:r>
                  <w:r>
                    <w:rPr>
                      <w:rFonts w:ascii="Times New Roman" w:hAnsi="Times New Roman" w:eastAsia="宋体" w:cs="Times New Roman"/>
                      <w:color w:val="auto"/>
                      <w:sz w:val="21"/>
                      <w:szCs w:val="21"/>
                      <w:highlight w:val="none"/>
                    </w:rPr>
                    <w:t>区</w:t>
                  </w:r>
                </w:p>
              </w:tc>
              <w:tc>
                <w:tcPr>
                  <w:tcW w:w="4878" w:type="dxa"/>
                  <w:vAlign w:val="center"/>
                </w:tcPr>
                <w:p>
                  <w:pPr>
                    <w:spacing w:before="33"/>
                    <w:ind w:left="2161" w:right="2164"/>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27" w:hRule="atLeast"/>
                <w:jc w:val="center"/>
              </w:trPr>
              <w:tc>
                <w:tcPr>
                  <w:tcW w:w="965" w:type="dxa"/>
                  <w:vAlign w:val="center"/>
                </w:tcPr>
                <w:p>
                  <w:pPr>
                    <w:pStyle w:val="34"/>
                    <w:spacing w:before="76" w:beforeAutospacing="0"/>
                    <w:ind w:left="315" w:right="322"/>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9</w:t>
                  </w:r>
                </w:p>
              </w:tc>
              <w:tc>
                <w:tcPr>
                  <w:tcW w:w="2433" w:type="dxa"/>
                  <w:vAlign w:val="center"/>
                </w:tcPr>
                <w:p>
                  <w:pPr>
                    <w:spacing w:before="33"/>
                    <w:jc w:val="center"/>
                    <w:rPr>
                      <w:rFonts w:ascii="Times New Roman" w:hAnsi="Times New Roman" w:eastAsia="宋体" w:cs="Times New Roman"/>
                      <w:color w:val="auto"/>
                      <w:spacing w:val="5"/>
                      <w:szCs w:val="21"/>
                      <w:highlight w:val="none"/>
                    </w:rPr>
                  </w:pPr>
                  <w:r>
                    <w:rPr>
                      <w:rFonts w:ascii="Times New Roman" w:hAnsi="Times New Roman" w:eastAsia="宋体" w:cs="Times New Roman"/>
                      <w:color w:val="auto"/>
                      <w:highlight w:val="none"/>
                    </w:rPr>
                    <w:t>是否水土流失重点防护</w:t>
                  </w:r>
                  <w:r>
                    <w:rPr>
                      <w:rFonts w:ascii="Times New Roman" w:hAnsi="Times New Roman" w:eastAsia="宋体" w:cs="Times New Roman"/>
                      <w:color w:val="auto"/>
                      <w:szCs w:val="21"/>
                      <w:highlight w:val="none"/>
                    </w:rPr>
                    <w:t>区</w:t>
                  </w:r>
                </w:p>
              </w:tc>
              <w:tc>
                <w:tcPr>
                  <w:tcW w:w="4878" w:type="dxa"/>
                  <w:vAlign w:val="center"/>
                </w:tcPr>
                <w:p>
                  <w:pPr>
                    <w:spacing w:before="33"/>
                    <w:ind w:left="2161" w:right="2164"/>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27" w:hRule="atLeast"/>
                <w:jc w:val="center"/>
              </w:trPr>
              <w:tc>
                <w:tcPr>
                  <w:tcW w:w="965" w:type="dxa"/>
                  <w:vAlign w:val="center"/>
                </w:tcPr>
                <w:p>
                  <w:pPr>
                    <w:pStyle w:val="34"/>
                    <w:spacing w:before="76" w:beforeAutospacing="0"/>
                    <w:ind w:left="315" w:right="322"/>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10</w:t>
                  </w:r>
                </w:p>
              </w:tc>
              <w:tc>
                <w:tcPr>
                  <w:tcW w:w="2433" w:type="dxa"/>
                  <w:vAlign w:val="center"/>
                </w:tcPr>
                <w:p>
                  <w:pPr>
                    <w:spacing w:before="33"/>
                    <w:jc w:val="center"/>
                    <w:rPr>
                      <w:rFonts w:ascii="Times New Roman" w:hAnsi="Times New Roman" w:eastAsia="宋体" w:cs="Times New Roman"/>
                      <w:color w:val="auto"/>
                      <w:spacing w:val="5"/>
                      <w:szCs w:val="21"/>
                      <w:highlight w:val="none"/>
                    </w:rPr>
                  </w:pPr>
                  <w:r>
                    <w:rPr>
                      <w:rFonts w:ascii="Times New Roman" w:hAnsi="Times New Roman" w:eastAsia="宋体" w:cs="Times New Roman"/>
                      <w:color w:val="auto"/>
                      <w:highlight w:val="none"/>
                    </w:rPr>
                    <w:t>是否人口密集</w:t>
                  </w:r>
                  <w:r>
                    <w:rPr>
                      <w:rFonts w:ascii="Times New Roman" w:hAnsi="Times New Roman" w:eastAsia="宋体" w:cs="Times New Roman"/>
                      <w:color w:val="auto"/>
                      <w:szCs w:val="21"/>
                      <w:highlight w:val="none"/>
                    </w:rPr>
                    <w:t>区</w:t>
                  </w:r>
                </w:p>
              </w:tc>
              <w:tc>
                <w:tcPr>
                  <w:tcW w:w="4878" w:type="dxa"/>
                  <w:vAlign w:val="center"/>
                </w:tcPr>
                <w:p>
                  <w:pPr>
                    <w:spacing w:before="33"/>
                    <w:ind w:left="2161" w:right="2164"/>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27" w:hRule="atLeast"/>
                <w:jc w:val="center"/>
              </w:trPr>
              <w:tc>
                <w:tcPr>
                  <w:tcW w:w="965" w:type="dxa"/>
                  <w:vAlign w:val="center"/>
                </w:tcPr>
                <w:p>
                  <w:pPr>
                    <w:pStyle w:val="34"/>
                    <w:spacing w:before="76" w:beforeAutospacing="0"/>
                    <w:ind w:left="315" w:right="322"/>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11</w:t>
                  </w:r>
                </w:p>
              </w:tc>
              <w:tc>
                <w:tcPr>
                  <w:tcW w:w="2433" w:type="dxa"/>
                  <w:vAlign w:val="center"/>
                </w:tcPr>
                <w:p>
                  <w:pPr>
                    <w:spacing w:before="33"/>
                    <w:jc w:val="center"/>
                    <w:rPr>
                      <w:rFonts w:ascii="Times New Roman" w:hAnsi="Times New Roman" w:eastAsia="宋体" w:cs="Times New Roman"/>
                      <w:color w:val="auto"/>
                      <w:spacing w:val="5"/>
                      <w:szCs w:val="21"/>
                      <w:highlight w:val="none"/>
                    </w:rPr>
                  </w:pPr>
                  <w:r>
                    <w:rPr>
                      <w:rFonts w:ascii="Times New Roman" w:hAnsi="Times New Roman" w:eastAsia="宋体" w:cs="Times New Roman"/>
                      <w:color w:val="auto"/>
                      <w:highlight w:val="none"/>
                    </w:rPr>
                    <w:t>是否生态敏感与脆弱</w:t>
                  </w:r>
                  <w:r>
                    <w:rPr>
                      <w:rFonts w:ascii="Times New Roman" w:hAnsi="Times New Roman" w:eastAsia="宋体" w:cs="Times New Roman"/>
                      <w:color w:val="auto"/>
                      <w:szCs w:val="21"/>
                      <w:highlight w:val="none"/>
                    </w:rPr>
                    <w:t>区</w:t>
                  </w:r>
                </w:p>
              </w:tc>
              <w:tc>
                <w:tcPr>
                  <w:tcW w:w="4878" w:type="dxa"/>
                  <w:vAlign w:val="center"/>
                </w:tcPr>
                <w:p>
                  <w:pPr>
                    <w:spacing w:before="33"/>
                    <w:ind w:left="2161" w:right="2164"/>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27" w:hRule="atLeast"/>
                <w:jc w:val="center"/>
              </w:trPr>
              <w:tc>
                <w:tcPr>
                  <w:tcW w:w="965" w:type="dxa"/>
                  <w:vAlign w:val="center"/>
                </w:tcPr>
                <w:p>
                  <w:pPr>
                    <w:pStyle w:val="34"/>
                    <w:spacing w:before="76" w:beforeAutospacing="0"/>
                    <w:ind w:left="315" w:right="322"/>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12</w:t>
                  </w:r>
                </w:p>
              </w:tc>
              <w:tc>
                <w:tcPr>
                  <w:tcW w:w="2433" w:type="dxa"/>
                  <w:vAlign w:val="center"/>
                </w:tcPr>
                <w:p>
                  <w:pPr>
                    <w:spacing w:before="33"/>
                    <w:jc w:val="center"/>
                    <w:rPr>
                      <w:rFonts w:ascii="Times New Roman" w:hAnsi="Times New Roman" w:eastAsia="宋体" w:cs="Times New Roman"/>
                      <w:color w:val="auto"/>
                      <w:spacing w:val="5"/>
                      <w:szCs w:val="21"/>
                      <w:highlight w:val="none"/>
                    </w:rPr>
                  </w:pPr>
                  <w:r>
                    <w:rPr>
                      <w:rFonts w:ascii="Times New Roman" w:hAnsi="Times New Roman" w:eastAsia="宋体" w:cs="Times New Roman"/>
                      <w:color w:val="auto"/>
                      <w:highlight w:val="none"/>
                    </w:rPr>
                    <w:t>是否重点文物保护单位</w:t>
                  </w:r>
                </w:p>
              </w:tc>
              <w:tc>
                <w:tcPr>
                  <w:tcW w:w="4878" w:type="dxa"/>
                  <w:vAlign w:val="center"/>
                </w:tcPr>
                <w:p>
                  <w:pPr>
                    <w:spacing w:before="33"/>
                    <w:ind w:left="2161" w:right="2164"/>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27" w:hRule="atLeast"/>
                <w:jc w:val="center"/>
              </w:trPr>
              <w:tc>
                <w:tcPr>
                  <w:tcW w:w="965" w:type="dxa"/>
                  <w:vAlign w:val="center"/>
                </w:tcPr>
                <w:p>
                  <w:pPr>
                    <w:pStyle w:val="34"/>
                    <w:spacing w:before="76" w:beforeAutospacing="0"/>
                    <w:ind w:left="315" w:right="322"/>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13</w:t>
                  </w:r>
                </w:p>
              </w:tc>
              <w:tc>
                <w:tcPr>
                  <w:tcW w:w="2433" w:type="dxa"/>
                  <w:vAlign w:val="center"/>
                </w:tcPr>
                <w:p>
                  <w:pPr>
                    <w:spacing w:before="33"/>
                    <w:jc w:val="center"/>
                    <w:rPr>
                      <w:rFonts w:ascii="Times New Roman" w:hAnsi="Times New Roman" w:eastAsia="宋体" w:cs="Times New Roman"/>
                      <w:color w:val="auto"/>
                      <w:spacing w:val="5"/>
                      <w:szCs w:val="21"/>
                      <w:highlight w:val="none"/>
                    </w:rPr>
                  </w:pPr>
                  <w:r>
                    <w:rPr>
                      <w:rFonts w:ascii="Times New Roman" w:hAnsi="Times New Roman" w:eastAsia="宋体" w:cs="Times New Roman"/>
                      <w:color w:val="auto"/>
                      <w:highlight w:val="none"/>
                    </w:rPr>
                    <w:t>是否三河、三湖、两控</w:t>
                  </w:r>
                  <w:r>
                    <w:rPr>
                      <w:rFonts w:ascii="Times New Roman" w:hAnsi="Times New Roman" w:eastAsia="宋体" w:cs="Times New Roman"/>
                      <w:color w:val="auto"/>
                      <w:szCs w:val="21"/>
                      <w:highlight w:val="none"/>
                    </w:rPr>
                    <w:t>区</w:t>
                  </w:r>
                </w:p>
              </w:tc>
              <w:tc>
                <w:tcPr>
                  <w:tcW w:w="4878" w:type="dxa"/>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是，酸雨控制区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27" w:hRule="atLeast"/>
                <w:jc w:val="center"/>
              </w:trPr>
              <w:tc>
                <w:tcPr>
                  <w:tcW w:w="965" w:type="dxa"/>
                  <w:vAlign w:val="center"/>
                </w:tcPr>
                <w:p>
                  <w:pPr>
                    <w:pStyle w:val="34"/>
                    <w:spacing w:before="76" w:beforeAutospacing="0"/>
                    <w:ind w:left="315" w:right="322"/>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14</w:t>
                  </w:r>
                </w:p>
              </w:tc>
              <w:tc>
                <w:tcPr>
                  <w:tcW w:w="2433" w:type="dxa"/>
                  <w:vAlign w:val="center"/>
                </w:tcPr>
                <w:p>
                  <w:pPr>
                    <w:spacing w:before="33"/>
                    <w:jc w:val="center"/>
                    <w:rPr>
                      <w:rFonts w:ascii="Times New Roman" w:hAnsi="Times New Roman" w:eastAsia="宋体" w:cs="Times New Roman"/>
                      <w:color w:val="auto"/>
                      <w:spacing w:val="5"/>
                      <w:szCs w:val="21"/>
                      <w:highlight w:val="none"/>
                    </w:rPr>
                  </w:pPr>
                  <w:r>
                    <w:rPr>
                      <w:rFonts w:ascii="Times New Roman" w:hAnsi="Times New Roman" w:eastAsia="宋体" w:cs="Times New Roman"/>
                      <w:color w:val="auto"/>
                      <w:szCs w:val="21"/>
                      <w:highlight w:val="none"/>
                    </w:rPr>
                    <w:t>是否水库库区</w:t>
                  </w:r>
                </w:p>
              </w:tc>
              <w:tc>
                <w:tcPr>
                  <w:tcW w:w="4878" w:type="dxa"/>
                  <w:vAlign w:val="center"/>
                </w:tcPr>
                <w:p>
                  <w:pPr>
                    <w:spacing w:before="33"/>
                    <w:ind w:left="2161" w:right="2164"/>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27" w:hRule="atLeast"/>
                <w:jc w:val="center"/>
              </w:trPr>
              <w:tc>
                <w:tcPr>
                  <w:tcW w:w="965" w:type="dxa"/>
                  <w:vAlign w:val="center"/>
                </w:tcPr>
                <w:p>
                  <w:pPr>
                    <w:pStyle w:val="34"/>
                    <w:spacing w:before="76" w:beforeAutospacing="0"/>
                    <w:ind w:left="315" w:right="322"/>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15</w:t>
                  </w:r>
                </w:p>
              </w:tc>
              <w:tc>
                <w:tcPr>
                  <w:tcW w:w="2433" w:type="dxa"/>
                  <w:vAlign w:val="center"/>
                </w:tcPr>
                <w:p>
                  <w:pPr>
                    <w:spacing w:before="33"/>
                    <w:jc w:val="center"/>
                    <w:rPr>
                      <w:rFonts w:ascii="Times New Roman" w:hAnsi="Times New Roman" w:eastAsia="宋体" w:cs="Times New Roman"/>
                      <w:color w:val="auto"/>
                      <w:spacing w:val="5"/>
                      <w:szCs w:val="21"/>
                      <w:highlight w:val="none"/>
                    </w:rPr>
                  </w:pPr>
                  <w:r>
                    <w:rPr>
                      <w:rFonts w:ascii="Times New Roman" w:hAnsi="Times New Roman" w:eastAsia="宋体" w:cs="Times New Roman"/>
                      <w:color w:val="auto"/>
                      <w:szCs w:val="21"/>
                      <w:highlight w:val="none"/>
                    </w:rPr>
                    <w:t>是否在水源保护区</w:t>
                  </w:r>
                </w:p>
              </w:tc>
              <w:tc>
                <w:tcPr>
                  <w:tcW w:w="4878" w:type="dxa"/>
                  <w:vAlign w:val="center"/>
                </w:tcPr>
                <w:p>
                  <w:pPr>
                    <w:spacing w:before="33"/>
                    <w:ind w:left="2161" w:right="2164"/>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7" w:hRule="atLeast"/>
                <w:jc w:val="center"/>
              </w:trPr>
              <w:tc>
                <w:tcPr>
                  <w:tcW w:w="965" w:type="dxa"/>
                  <w:vAlign w:val="center"/>
                </w:tcPr>
                <w:p>
                  <w:pPr>
                    <w:pStyle w:val="34"/>
                    <w:spacing w:before="76" w:beforeAutospacing="0"/>
                    <w:ind w:left="315" w:right="322"/>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16</w:t>
                  </w:r>
                </w:p>
              </w:tc>
              <w:tc>
                <w:tcPr>
                  <w:tcW w:w="2433" w:type="dxa"/>
                  <w:vAlign w:val="center"/>
                </w:tcPr>
                <w:p>
                  <w:pPr>
                    <w:spacing w:before="33"/>
                    <w:jc w:val="center"/>
                    <w:rPr>
                      <w:rFonts w:ascii="Times New Roman" w:hAnsi="Times New Roman" w:eastAsia="宋体" w:cs="Times New Roman"/>
                      <w:color w:val="auto"/>
                      <w:spacing w:val="5"/>
                      <w:szCs w:val="21"/>
                      <w:highlight w:val="none"/>
                    </w:rPr>
                  </w:pPr>
                  <w:r>
                    <w:rPr>
                      <w:rFonts w:ascii="Times New Roman" w:hAnsi="Times New Roman" w:eastAsia="宋体" w:cs="Times New Roman"/>
                      <w:color w:val="auto"/>
                      <w:highlight w:val="none"/>
                    </w:rPr>
                    <w:t>是否污水处理厂纳污范围</w:t>
                  </w:r>
                </w:p>
              </w:tc>
              <w:tc>
                <w:tcPr>
                  <w:tcW w:w="4878" w:type="dxa"/>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否</w:t>
                  </w:r>
                </w:p>
              </w:tc>
            </w:tr>
          </w:tbl>
          <w:p>
            <w:pPr>
              <w:pStyle w:val="10"/>
              <w:spacing w:line="360" w:lineRule="auto"/>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一、环境空气质量现状</w:t>
            </w:r>
          </w:p>
          <w:p>
            <w:pPr>
              <w:spacing w:line="360" w:lineRule="auto"/>
              <w:ind w:firstLine="480" w:firstLineChars="200"/>
              <w:rPr>
                <w:rFonts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（1）环境空气质量现状监测</w:t>
            </w:r>
          </w:p>
          <w:p>
            <w:pPr>
              <w:spacing w:line="360" w:lineRule="auto"/>
              <w:ind w:firstLine="480" w:firstLineChars="200"/>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项目位于开平市长沙区金章大道12号5幢之二，项目所在区域属于江门市空气二类功能区，区域环境空气质量执行国家《环境空气质量标准》（GB3095-2012）及2018修改单二级标准要求。</w:t>
            </w:r>
          </w:p>
          <w:p>
            <w:pPr>
              <w:spacing w:line="360" w:lineRule="auto"/>
              <w:ind w:firstLine="480" w:firstLineChars="200"/>
              <w:rPr>
                <w:rFonts w:ascii="Times New Roman" w:hAnsi="Times New Roman" w:cs="Times New Roman"/>
                <w:bCs/>
                <w:color w:val="auto"/>
                <w:sz w:val="24"/>
                <w:szCs w:val="18"/>
                <w:highlight w:val="none"/>
              </w:rPr>
            </w:pPr>
            <w:r>
              <w:rPr>
                <w:rFonts w:ascii="Times New Roman" w:hAnsi="Times New Roman" w:cs="Times New Roman"/>
                <w:bCs/>
                <w:color w:val="auto"/>
                <w:sz w:val="24"/>
                <w:szCs w:val="18"/>
                <w:highlight w:val="none"/>
              </w:rPr>
              <w:t>本评价基本污染物因子引用江门市环境保护局公布《2017年江门市环境质量状况公报》，具体见表9所示，本项目引用的现状监测数据要求符合《环境影响评价技术导则  大气环境》（HJ2.2-2018）的规定。</w:t>
            </w:r>
          </w:p>
          <w:p>
            <w:pPr>
              <w:adjustRightInd w:val="0"/>
              <w:spacing w:before="93" w:beforeLines="30" w:line="360" w:lineRule="auto"/>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表</w:t>
            </w:r>
            <w:r>
              <w:rPr>
                <w:rFonts w:hint="eastAsia" w:ascii="Times New Roman" w:hAnsi="Times New Roman" w:cs="Times New Roman"/>
                <w:b/>
                <w:bCs/>
                <w:color w:val="auto"/>
                <w:szCs w:val="21"/>
                <w:highlight w:val="none"/>
              </w:rPr>
              <w:t>3-2</w:t>
            </w:r>
            <w:r>
              <w:rPr>
                <w:rFonts w:ascii="Times New Roman" w:hAnsi="Times New Roman" w:cs="Times New Roman"/>
                <w:b/>
                <w:bCs/>
                <w:color w:val="auto"/>
                <w:szCs w:val="21"/>
                <w:highlight w:val="none"/>
              </w:rPr>
              <w:t xml:space="preserve">  2017年江门市开平环境空气质量常规因子主要指标表   （单位：</w:t>
            </w:r>
            <w:r>
              <w:rPr>
                <w:rFonts w:ascii="Times New Roman" w:hAnsi="Times New Roman" w:cs="Times New Roman"/>
                <w:b/>
                <w:bCs/>
                <w:snapToGrid w:val="0"/>
                <w:color w:val="auto"/>
                <w:kern w:val="0"/>
                <w:szCs w:val="21"/>
                <w:highlight w:val="none"/>
              </w:rPr>
              <w:t>μg/m</w:t>
            </w:r>
            <w:r>
              <w:rPr>
                <w:rFonts w:ascii="Times New Roman" w:hAnsi="Times New Roman" w:cs="Times New Roman"/>
                <w:b/>
                <w:bCs/>
                <w:snapToGrid w:val="0"/>
                <w:color w:val="auto"/>
                <w:kern w:val="0"/>
                <w:szCs w:val="21"/>
                <w:highlight w:val="none"/>
                <w:vertAlign w:val="superscript"/>
              </w:rPr>
              <w:t>3</w:t>
            </w:r>
            <w:r>
              <w:rPr>
                <w:rFonts w:ascii="Times New Roman" w:hAnsi="Times New Roman" w:cs="Times New Roman"/>
                <w:b/>
                <w:bCs/>
                <w:color w:val="auto"/>
                <w:szCs w:val="21"/>
                <w:highlight w:val="none"/>
              </w:rPr>
              <w:t>）</w:t>
            </w:r>
          </w:p>
          <w:tbl>
            <w:tblPr>
              <w:tblStyle w:val="22"/>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2241"/>
              <w:gridCol w:w="1223"/>
              <w:gridCol w:w="2688"/>
              <w:gridCol w:w="10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50" w:type="dxa"/>
                  <w:tcBorders>
                    <w:tl2br w:val="nil"/>
                    <w:tr2bl w:val="nil"/>
                  </w:tcBorders>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项目</w:t>
                  </w:r>
                </w:p>
              </w:tc>
              <w:tc>
                <w:tcPr>
                  <w:tcW w:w="2241" w:type="dxa"/>
                  <w:tcBorders>
                    <w:tl2br w:val="nil"/>
                    <w:tr2bl w:val="nil"/>
                  </w:tcBorders>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取值时间</w:t>
                  </w:r>
                </w:p>
              </w:tc>
              <w:tc>
                <w:tcPr>
                  <w:tcW w:w="1223" w:type="dxa"/>
                  <w:tcBorders>
                    <w:tl2br w:val="nil"/>
                    <w:tr2bl w:val="nil"/>
                  </w:tcBorders>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平均值</w:t>
                  </w:r>
                </w:p>
              </w:tc>
              <w:tc>
                <w:tcPr>
                  <w:tcW w:w="2688" w:type="dxa"/>
                  <w:tcBorders>
                    <w:tl2br w:val="nil"/>
                    <w:tr2bl w:val="nil"/>
                  </w:tcBorders>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（GB3095-2012及2018年修改单）中的二级标准</w:t>
                  </w:r>
                </w:p>
              </w:tc>
              <w:tc>
                <w:tcPr>
                  <w:tcW w:w="1074" w:type="dxa"/>
                  <w:tcBorders>
                    <w:tl2br w:val="nil"/>
                    <w:tr2bl w:val="nil"/>
                  </w:tcBorders>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50" w:type="dxa"/>
                  <w:tcBorders>
                    <w:tl2br w:val="nil"/>
                    <w:tr2bl w:val="nil"/>
                  </w:tcBorders>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SO</w:t>
                  </w:r>
                  <w:r>
                    <w:rPr>
                      <w:rFonts w:ascii="Times New Roman" w:hAnsi="Times New Roman" w:cs="Times New Roman"/>
                      <w:color w:val="auto"/>
                      <w:szCs w:val="21"/>
                      <w:highlight w:val="none"/>
                      <w:vertAlign w:val="subscript"/>
                    </w:rPr>
                    <w:t>2</w:t>
                  </w:r>
                </w:p>
              </w:tc>
              <w:tc>
                <w:tcPr>
                  <w:tcW w:w="2241" w:type="dxa"/>
                  <w:tcBorders>
                    <w:tl2br w:val="nil"/>
                    <w:tr2bl w:val="nil"/>
                  </w:tcBorders>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年平均质量浓度</w:t>
                  </w:r>
                </w:p>
              </w:tc>
              <w:tc>
                <w:tcPr>
                  <w:tcW w:w="1223" w:type="dxa"/>
                  <w:tcBorders>
                    <w:tl2br w:val="nil"/>
                    <w:tr2bl w:val="nil"/>
                  </w:tcBorders>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12</w:t>
                  </w:r>
                </w:p>
              </w:tc>
              <w:tc>
                <w:tcPr>
                  <w:tcW w:w="2688" w:type="dxa"/>
                  <w:tcBorders>
                    <w:tl2br w:val="nil"/>
                    <w:tr2bl w:val="nil"/>
                  </w:tcBorders>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60</w:t>
                  </w:r>
                </w:p>
              </w:tc>
              <w:tc>
                <w:tcPr>
                  <w:tcW w:w="1074" w:type="dxa"/>
                  <w:tcBorders>
                    <w:tl2br w:val="nil"/>
                    <w:tr2bl w:val="nil"/>
                  </w:tcBorders>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50" w:type="dxa"/>
                  <w:tcBorders>
                    <w:tl2br w:val="nil"/>
                    <w:tr2bl w:val="nil"/>
                  </w:tcBorders>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NO</w:t>
                  </w:r>
                  <w:r>
                    <w:rPr>
                      <w:rFonts w:ascii="Times New Roman" w:hAnsi="Times New Roman" w:cs="Times New Roman"/>
                      <w:color w:val="auto"/>
                      <w:szCs w:val="21"/>
                      <w:highlight w:val="none"/>
                      <w:vertAlign w:val="subscript"/>
                    </w:rPr>
                    <w:t>2</w:t>
                  </w:r>
                </w:p>
              </w:tc>
              <w:tc>
                <w:tcPr>
                  <w:tcW w:w="2241" w:type="dxa"/>
                  <w:tcBorders>
                    <w:tl2br w:val="nil"/>
                    <w:tr2bl w:val="nil"/>
                  </w:tcBorders>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年平均质量浓度</w:t>
                  </w:r>
                </w:p>
              </w:tc>
              <w:tc>
                <w:tcPr>
                  <w:tcW w:w="1223" w:type="dxa"/>
                  <w:tcBorders>
                    <w:tl2br w:val="nil"/>
                    <w:tr2bl w:val="nil"/>
                  </w:tcBorders>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27</w:t>
                  </w:r>
                </w:p>
              </w:tc>
              <w:tc>
                <w:tcPr>
                  <w:tcW w:w="2688" w:type="dxa"/>
                  <w:tcBorders>
                    <w:tl2br w:val="nil"/>
                    <w:tr2bl w:val="nil"/>
                  </w:tcBorders>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40</w:t>
                  </w:r>
                </w:p>
              </w:tc>
              <w:tc>
                <w:tcPr>
                  <w:tcW w:w="1074" w:type="dxa"/>
                  <w:tcBorders>
                    <w:tl2br w:val="nil"/>
                    <w:tr2bl w:val="nil"/>
                  </w:tcBorders>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50" w:type="dxa"/>
                  <w:tcBorders>
                    <w:tl2br w:val="nil"/>
                    <w:tr2bl w:val="nil"/>
                  </w:tcBorders>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PM</w:t>
                  </w:r>
                  <w:r>
                    <w:rPr>
                      <w:rFonts w:ascii="Times New Roman" w:hAnsi="Times New Roman" w:cs="Times New Roman"/>
                      <w:color w:val="auto"/>
                      <w:szCs w:val="21"/>
                      <w:highlight w:val="none"/>
                      <w:vertAlign w:val="subscript"/>
                    </w:rPr>
                    <w:t>10</w:t>
                  </w:r>
                </w:p>
              </w:tc>
              <w:tc>
                <w:tcPr>
                  <w:tcW w:w="2241" w:type="dxa"/>
                  <w:tcBorders>
                    <w:tl2br w:val="nil"/>
                    <w:tr2bl w:val="nil"/>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年平均质量浓度</w:t>
                  </w:r>
                </w:p>
              </w:tc>
              <w:tc>
                <w:tcPr>
                  <w:tcW w:w="1223" w:type="dxa"/>
                  <w:tcBorders>
                    <w:tl2br w:val="nil"/>
                    <w:tr2bl w:val="nil"/>
                  </w:tcBorders>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47</w:t>
                  </w:r>
                </w:p>
              </w:tc>
              <w:tc>
                <w:tcPr>
                  <w:tcW w:w="2688" w:type="dxa"/>
                  <w:tcBorders>
                    <w:tl2br w:val="nil"/>
                    <w:tr2bl w:val="nil"/>
                  </w:tcBorders>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70</w:t>
                  </w:r>
                </w:p>
              </w:tc>
              <w:tc>
                <w:tcPr>
                  <w:tcW w:w="1074" w:type="dxa"/>
                  <w:tcBorders>
                    <w:tl2br w:val="nil"/>
                    <w:tr2bl w:val="nil"/>
                  </w:tcBorders>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50" w:type="dxa"/>
                  <w:tcBorders>
                    <w:tl2br w:val="nil"/>
                    <w:tr2bl w:val="nil"/>
                  </w:tcBorders>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PM</w:t>
                  </w:r>
                  <w:r>
                    <w:rPr>
                      <w:rFonts w:ascii="Times New Roman" w:hAnsi="Times New Roman" w:cs="Times New Roman"/>
                      <w:color w:val="auto"/>
                      <w:szCs w:val="21"/>
                      <w:highlight w:val="none"/>
                      <w:vertAlign w:val="subscript"/>
                    </w:rPr>
                    <w:t>2.5</w:t>
                  </w:r>
                </w:p>
              </w:tc>
              <w:tc>
                <w:tcPr>
                  <w:tcW w:w="2241" w:type="dxa"/>
                  <w:tcBorders>
                    <w:tl2br w:val="nil"/>
                    <w:tr2bl w:val="nil"/>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年平均质量浓度</w:t>
                  </w:r>
                </w:p>
              </w:tc>
              <w:tc>
                <w:tcPr>
                  <w:tcW w:w="1223" w:type="dxa"/>
                  <w:tcBorders>
                    <w:tl2br w:val="nil"/>
                    <w:tr2bl w:val="nil"/>
                  </w:tcBorders>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31</w:t>
                  </w:r>
                </w:p>
              </w:tc>
              <w:tc>
                <w:tcPr>
                  <w:tcW w:w="2688" w:type="dxa"/>
                  <w:tcBorders>
                    <w:tl2br w:val="nil"/>
                    <w:tr2bl w:val="nil"/>
                  </w:tcBorders>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35</w:t>
                  </w:r>
                </w:p>
              </w:tc>
              <w:tc>
                <w:tcPr>
                  <w:tcW w:w="1074" w:type="dxa"/>
                  <w:tcBorders>
                    <w:tl2br w:val="nil"/>
                    <w:tr2bl w:val="nil"/>
                  </w:tcBorders>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50" w:type="dxa"/>
                  <w:tcBorders>
                    <w:tl2br w:val="nil"/>
                    <w:tr2bl w:val="nil"/>
                  </w:tcBorders>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CO</w:t>
                  </w:r>
                </w:p>
              </w:tc>
              <w:tc>
                <w:tcPr>
                  <w:tcW w:w="2241" w:type="dxa"/>
                  <w:tcBorders>
                    <w:tl2br w:val="nil"/>
                    <w:tr2bl w:val="nil"/>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日均值第95百分位数浓度（CO-95per）</w:t>
                  </w:r>
                </w:p>
              </w:tc>
              <w:tc>
                <w:tcPr>
                  <w:tcW w:w="1223" w:type="dxa"/>
                  <w:tcBorders>
                    <w:tl2br w:val="nil"/>
                    <w:tr2bl w:val="nil"/>
                  </w:tcBorders>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1.4</w:t>
                  </w:r>
                  <w:r>
                    <w:rPr>
                      <w:rFonts w:ascii="Times New Roman" w:hAnsi="Times New Roman" w:cs="Times New Roman"/>
                      <w:snapToGrid w:val="0"/>
                      <w:color w:val="auto"/>
                      <w:kern w:val="0"/>
                      <w:szCs w:val="21"/>
                      <w:highlight w:val="none"/>
                    </w:rPr>
                    <w:t>mg/m</w:t>
                  </w:r>
                  <w:r>
                    <w:rPr>
                      <w:rFonts w:ascii="Times New Roman" w:hAnsi="Times New Roman" w:cs="Times New Roman"/>
                      <w:snapToGrid w:val="0"/>
                      <w:color w:val="auto"/>
                      <w:kern w:val="0"/>
                      <w:szCs w:val="21"/>
                      <w:highlight w:val="none"/>
                      <w:vertAlign w:val="superscript"/>
                    </w:rPr>
                    <w:t>3</w:t>
                  </w:r>
                </w:p>
              </w:tc>
              <w:tc>
                <w:tcPr>
                  <w:tcW w:w="2688" w:type="dxa"/>
                  <w:tcBorders>
                    <w:tl2br w:val="nil"/>
                    <w:tr2bl w:val="nil"/>
                  </w:tcBorders>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4</w:t>
                  </w:r>
                  <w:r>
                    <w:rPr>
                      <w:rFonts w:ascii="Times New Roman" w:hAnsi="Times New Roman" w:cs="Times New Roman"/>
                      <w:snapToGrid w:val="0"/>
                      <w:color w:val="auto"/>
                      <w:kern w:val="0"/>
                      <w:szCs w:val="21"/>
                      <w:highlight w:val="none"/>
                    </w:rPr>
                    <w:t>mg/m</w:t>
                  </w:r>
                  <w:r>
                    <w:rPr>
                      <w:rFonts w:ascii="Times New Roman" w:hAnsi="Times New Roman" w:cs="Times New Roman"/>
                      <w:snapToGrid w:val="0"/>
                      <w:color w:val="auto"/>
                      <w:kern w:val="0"/>
                      <w:szCs w:val="21"/>
                      <w:highlight w:val="none"/>
                      <w:vertAlign w:val="superscript"/>
                    </w:rPr>
                    <w:t>3</w:t>
                  </w:r>
                </w:p>
              </w:tc>
              <w:tc>
                <w:tcPr>
                  <w:tcW w:w="1074" w:type="dxa"/>
                  <w:tcBorders>
                    <w:tl2br w:val="nil"/>
                    <w:tr2bl w:val="nil"/>
                  </w:tcBorders>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50" w:type="dxa"/>
                  <w:tcBorders>
                    <w:tl2br w:val="nil"/>
                    <w:tr2bl w:val="nil"/>
                  </w:tcBorders>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O</w:t>
                  </w:r>
                  <w:r>
                    <w:rPr>
                      <w:rFonts w:ascii="Times New Roman" w:hAnsi="Times New Roman" w:cs="Times New Roman"/>
                      <w:color w:val="auto"/>
                      <w:szCs w:val="21"/>
                      <w:highlight w:val="none"/>
                      <w:vertAlign w:val="subscript"/>
                    </w:rPr>
                    <w:t>3</w:t>
                  </w:r>
                </w:p>
              </w:tc>
              <w:tc>
                <w:tcPr>
                  <w:tcW w:w="2241" w:type="dxa"/>
                  <w:tcBorders>
                    <w:tl2br w:val="nil"/>
                    <w:tr2bl w:val="nil"/>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日最大8小时平均第90百分位数浓度（O</w:t>
                  </w:r>
                  <w:r>
                    <w:rPr>
                      <w:rFonts w:ascii="Times New Roman" w:hAnsi="Times New Roman" w:cs="Times New Roman"/>
                      <w:color w:val="auto"/>
                      <w:szCs w:val="21"/>
                      <w:highlight w:val="none"/>
                      <w:vertAlign w:val="subscript"/>
                    </w:rPr>
                    <w:t>3</w:t>
                  </w:r>
                  <w:r>
                    <w:rPr>
                      <w:rFonts w:ascii="Times New Roman" w:hAnsi="Times New Roman" w:cs="Times New Roman"/>
                      <w:color w:val="auto"/>
                      <w:szCs w:val="21"/>
                      <w:highlight w:val="none"/>
                    </w:rPr>
                    <w:t>-8h-90per）</w:t>
                  </w:r>
                </w:p>
              </w:tc>
              <w:tc>
                <w:tcPr>
                  <w:tcW w:w="1223" w:type="dxa"/>
                  <w:tcBorders>
                    <w:tl2br w:val="nil"/>
                    <w:tr2bl w:val="nil"/>
                  </w:tcBorders>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159</w:t>
                  </w:r>
                </w:p>
              </w:tc>
              <w:tc>
                <w:tcPr>
                  <w:tcW w:w="2688" w:type="dxa"/>
                  <w:tcBorders>
                    <w:tl2br w:val="nil"/>
                    <w:tr2bl w:val="nil"/>
                  </w:tcBorders>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160</w:t>
                  </w:r>
                </w:p>
              </w:tc>
              <w:tc>
                <w:tcPr>
                  <w:tcW w:w="1074" w:type="dxa"/>
                  <w:tcBorders>
                    <w:tl2br w:val="nil"/>
                    <w:tr2bl w:val="nil"/>
                  </w:tcBorders>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达标</w:t>
                  </w:r>
                </w:p>
              </w:tc>
            </w:tr>
          </w:tbl>
          <w:p>
            <w:pPr>
              <w:ind w:firstLine="422" w:firstLineChars="200"/>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备注：CO为第95百分位浓度，臭氧为第90百分位浓度。</w:t>
            </w:r>
          </w:p>
          <w:p>
            <w:pPr>
              <w:pStyle w:val="2"/>
              <w:spacing w:line="360" w:lineRule="auto"/>
              <w:ind w:firstLine="480" w:firstLineChars="200"/>
              <w:outlineLvl w:val="2"/>
              <w:rPr>
                <w:rFonts w:ascii="Times New Roman" w:hAnsi="Times New Roman" w:eastAsia="宋体" w:cs="Times New Roman"/>
                <w:b w:val="0"/>
                <w:color w:val="auto"/>
                <w:sz w:val="24"/>
                <w:szCs w:val="24"/>
                <w:highlight w:val="none"/>
              </w:rPr>
            </w:pPr>
            <w:r>
              <w:rPr>
                <w:rFonts w:ascii="Times New Roman" w:hAnsi="Times New Roman" w:eastAsia="宋体" w:cs="Times New Roman"/>
                <w:b w:val="0"/>
                <w:color w:val="auto"/>
                <w:sz w:val="24"/>
                <w:szCs w:val="24"/>
                <w:highlight w:val="none"/>
              </w:rPr>
              <w:t>综上所述，本项目所在区域环境空气质量达标。</w:t>
            </w:r>
          </w:p>
          <w:p>
            <w:pPr>
              <w:spacing w:line="360" w:lineRule="auto"/>
              <w:ind w:firstLine="480" w:firstLineChars="200"/>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（2）补充监测</w:t>
            </w:r>
          </w:p>
          <w:p>
            <w:pPr>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根据《环境影响评价技术导则大气环境》（HJ2.2-2018）及估算结果可知，项目大气为二级评价，因此补充特征污染因子的结果，本建设项目委托广东准星检测有限公司于2019 年9月1日至 2019年9月7日进行检测，反映项目所在的区域的环境质量现状，监测结果见下表 3-3 所示，监测报告见附件 5。</w:t>
            </w:r>
          </w:p>
          <w:p>
            <w:pPr>
              <w:spacing w:line="360" w:lineRule="auto"/>
              <w:ind w:firstLine="480" w:firstLineChars="200"/>
              <w:jc w:val="center"/>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表3</w:t>
            </w:r>
            <w:r>
              <w:rPr>
                <w:rFonts w:ascii="Times New Roman" w:hAnsi="Times New Roman" w:eastAsia="宋体" w:cs="Times New Roman"/>
                <w:color w:val="auto"/>
                <w:sz w:val="24"/>
                <w:highlight w:val="none"/>
              </w:rPr>
              <w:t>-3</w:t>
            </w:r>
            <w:r>
              <w:rPr>
                <w:rFonts w:hint="eastAsia" w:ascii="Times New Roman" w:hAnsi="Times New Roman" w:eastAsia="宋体" w:cs="Times New Roman"/>
                <w:color w:val="auto"/>
                <w:sz w:val="24"/>
                <w:highlight w:val="none"/>
              </w:rPr>
              <w:t>环境空气质量监测结果</w:t>
            </w:r>
          </w:p>
          <w:tbl>
            <w:tblPr>
              <w:tblStyle w:val="23"/>
              <w:tblW w:w="82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8"/>
              <w:gridCol w:w="829"/>
              <w:gridCol w:w="1477"/>
              <w:gridCol w:w="1701"/>
              <w:gridCol w:w="1560"/>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8" w:type="dxa"/>
                  <w:vMerge w:val="restart"/>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监测日期</w:t>
                  </w:r>
                </w:p>
              </w:tc>
              <w:tc>
                <w:tcPr>
                  <w:tcW w:w="2306" w:type="dxa"/>
                  <w:gridSpan w:val="2"/>
                  <w:vMerge w:val="restart"/>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监测项目</w:t>
                  </w:r>
                </w:p>
              </w:tc>
              <w:tc>
                <w:tcPr>
                  <w:tcW w:w="3261" w:type="dxa"/>
                  <w:gridSpan w:val="2"/>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非甲烷总烃排放浓度</w:t>
                  </w:r>
                </w:p>
              </w:tc>
              <w:tc>
                <w:tcPr>
                  <w:tcW w:w="1066" w:type="dxa"/>
                  <w:vMerge w:val="restart"/>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8" w:type="dxa"/>
                  <w:vMerge w:val="continue"/>
                  <w:vAlign w:val="center"/>
                </w:tcPr>
                <w:p>
                  <w:pPr>
                    <w:jc w:val="center"/>
                    <w:rPr>
                      <w:rFonts w:ascii="Times New Roman" w:hAnsi="Times New Roman" w:eastAsia="宋体" w:cs="Times New Roman"/>
                      <w:color w:val="auto"/>
                      <w:szCs w:val="21"/>
                      <w:highlight w:val="none"/>
                    </w:rPr>
                  </w:pPr>
                </w:p>
              </w:tc>
              <w:tc>
                <w:tcPr>
                  <w:tcW w:w="2306" w:type="dxa"/>
                  <w:gridSpan w:val="2"/>
                  <w:vMerge w:val="continue"/>
                  <w:vAlign w:val="center"/>
                </w:tcPr>
                <w:p>
                  <w:pPr>
                    <w:jc w:val="center"/>
                    <w:rPr>
                      <w:rFonts w:ascii="Times New Roman" w:hAnsi="Times New Roman" w:eastAsia="宋体" w:cs="Times New Roman"/>
                      <w:color w:val="auto"/>
                      <w:szCs w:val="21"/>
                      <w:highlight w:val="none"/>
                    </w:rPr>
                  </w:pPr>
                </w:p>
              </w:tc>
              <w:tc>
                <w:tcPr>
                  <w:tcW w:w="1701"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1#上风向</w:t>
                  </w:r>
                </w:p>
              </w:tc>
              <w:tc>
                <w:tcPr>
                  <w:tcW w:w="1560"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2#下风向</w:t>
                  </w:r>
                </w:p>
              </w:tc>
              <w:tc>
                <w:tcPr>
                  <w:tcW w:w="1066" w:type="dxa"/>
                  <w:vMerge w:val="continue"/>
                  <w:vAlign w:val="center"/>
                </w:tcPr>
                <w:p>
                  <w:pPr>
                    <w:jc w:val="center"/>
                    <w:rPr>
                      <w:rFonts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8" w:type="dxa"/>
                  <w:vMerge w:val="restart"/>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2</w:t>
                  </w:r>
                  <w:r>
                    <w:rPr>
                      <w:rFonts w:ascii="Times New Roman" w:hAnsi="Times New Roman" w:eastAsia="宋体" w:cs="Times New Roman"/>
                      <w:color w:val="auto"/>
                      <w:szCs w:val="21"/>
                      <w:highlight w:val="none"/>
                    </w:rPr>
                    <w:t>019.09.01</w:t>
                  </w:r>
                </w:p>
              </w:tc>
              <w:tc>
                <w:tcPr>
                  <w:tcW w:w="829" w:type="dxa"/>
                  <w:vMerge w:val="restart"/>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非甲烷总烃</w:t>
                  </w:r>
                </w:p>
              </w:tc>
              <w:tc>
                <w:tcPr>
                  <w:tcW w:w="1477"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第1次</w:t>
                  </w:r>
                </w:p>
              </w:tc>
              <w:tc>
                <w:tcPr>
                  <w:tcW w:w="1701"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.29</w:t>
                  </w:r>
                </w:p>
              </w:tc>
              <w:tc>
                <w:tcPr>
                  <w:tcW w:w="1560"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.44</w:t>
                  </w:r>
                </w:p>
              </w:tc>
              <w:tc>
                <w:tcPr>
                  <w:tcW w:w="1066" w:type="dxa"/>
                  <w:vMerge w:val="restart"/>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8" w:type="dxa"/>
                  <w:vMerge w:val="continue"/>
                  <w:vAlign w:val="center"/>
                </w:tcPr>
                <w:p>
                  <w:pPr>
                    <w:jc w:val="center"/>
                    <w:rPr>
                      <w:rFonts w:ascii="Times New Roman" w:hAnsi="Times New Roman" w:eastAsia="宋体" w:cs="Times New Roman"/>
                      <w:color w:val="auto"/>
                      <w:szCs w:val="21"/>
                      <w:highlight w:val="none"/>
                    </w:rPr>
                  </w:pPr>
                </w:p>
              </w:tc>
              <w:tc>
                <w:tcPr>
                  <w:tcW w:w="829" w:type="dxa"/>
                  <w:vMerge w:val="continue"/>
                  <w:vAlign w:val="center"/>
                </w:tcPr>
                <w:p>
                  <w:pPr>
                    <w:jc w:val="center"/>
                    <w:rPr>
                      <w:rFonts w:ascii="Times New Roman" w:hAnsi="Times New Roman" w:eastAsia="宋体" w:cs="Times New Roman"/>
                      <w:color w:val="auto"/>
                      <w:szCs w:val="21"/>
                      <w:highlight w:val="none"/>
                    </w:rPr>
                  </w:pPr>
                </w:p>
              </w:tc>
              <w:tc>
                <w:tcPr>
                  <w:tcW w:w="1477"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第</w:t>
                  </w:r>
                  <w:r>
                    <w:rPr>
                      <w:rFonts w:ascii="Times New Roman" w:hAnsi="Times New Roman" w:eastAsia="宋体" w:cs="Times New Roman"/>
                      <w:color w:val="auto"/>
                      <w:szCs w:val="21"/>
                      <w:highlight w:val="none"/>
                    </w:rPr>
                    <w:t>2</w:t>
                  </w:r>
                  <w:r>
                    <w:rPr>
                      <w:rFonts w:hint="eastAsia" w:ascii="Times New Roman" w:hAnsi="Times New Roman" w:eastAsia="宋体" w:cs="Times New Roman"/>
                      <w:color w:val="auto"/>
                      <w:szCs w:val="21"/>
                      <w:highlight w:val="none"/>
                    </w:rPr>
                    <w:t>次</w:t>
                  </w:r>
                </w:p>
              </w:tc>
              <w:tc>
                <w:tcPr>
                  <w:tcW w:w="1701"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.33</w:t>
                  </w:r>
                </w:p>
              </w:tc>
              <w:tc>
                <w:tcPr>
                  <w:tcW w:w="1560"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.42</w:t>
                  </w:r>
                </w:p>
              </w:tc>
              <w:tc>
                <w:tcPr>
                  <w:tcW w:w="1066" w:type="dxa"/>
                  <w:vMerge w:val="continue"/>
                  <w:vAlign w:val="center"/>
                </w:tcPr>
                <w:p>
                  <w:pPr>
                    <w:jc w:val="center"/>
                    <w:rPr>
                      <w:rFonts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8" w:type="dxa"/>
                  <w:vMerge w:val="continue"/>
                  <w:vAlign w:val="center"/>
                </w:tcPr>
                <w:p>
                  <w:pPr>
                    <w:jc w:val="center"/>
                    <w:rPr>
                      <w:rFonts w:ascii="Times New Roman" w:hAnsi="Times New Roman" w:eastAsia="宋体" w:cs="Times New Roman"/>
                      <w:color w:val="auto"/>
                      <w:szCs w:val="21"/>
                      <w:highlight w:val="none"/>
                    </w:rPr>
                  </w:pPr>
                </w:p>
              </w:tc>
              <w:tc>
                <w:tcPr>
                  <w:tcW w:w="829" w:type="dxa"/>
                  <w:vMerge w:val="continue"/>
                  <w:vAlign w:val="center"/>
                </w:tcPr>
                <w:p>
                  <w:pPr>
                    <w:jc w:val="center"/>
                    <w:rPr>
                      <w:rFonts w:ascii="Times New Roman" w:hAnsi="Times New Roman" w:eastAsia="宋体" w:cs="Times New Roman"/>
                      <w:color w:val="auto"/>
                      <w:szCs w:val="21"/>
                      <w:highlight w:val="none"/>
                    </w:rPr>
                  </w:pPr>
                </w:p>
              </w:tc>
              <w:tc>
                <w:tcPr>
                  <w:tcW w:w="1477"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第</w:t>
                  </w:r>
                  <w:r>
                    <w:rPr>
                      <w:rFonts w:ascii="Times New Roman" w:hAnsi="Times New Roman" w:eastAsia="宋体" w:cs="Times New Roman"/>
                      <w:color w:val="auto"/>
                      <w:szCs w:val="21"/>
                      <w:highlight w:val="none"/>
                    </w:rPr>
                    <w:t>3</w:t>
                  </w:r>
                  <w:r>
                    <w:rPr>
                      <w:rFonts w:hint="eastAsia" w:ascii="Times New Roman" w:hAnsi="Times New Roman" w:eastAsia="宋体" w:cs="Times New Roman"/>
                      <w:color w:val="auto"/>
                      <w:szCs w:val="21"/>
                      <w:highlight w:val="none"/>
                    </w:rPr>
                    <w:t>次</w:t>
                  </w:r>
                </w:p>
              </w:tc>
              <w:tc>
                <w:tcPr>
                  <w:tcW w:w="1701"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.36</w:t>
                  </w:r>
                </w:p>
              </w:tc>
              <w:tc>
                <w:tcPr>
                  <w:tcW w:w="1560"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.47</w:t>
                  </w:r>
                </w:p>
              </w:tc>
              <w:tc>
                <w:tcPr>
                  <w:tcW w:w="1066" w:type="dxa"/>
                  <w:vMerge w:val="continue"/>
                  <w:vAlign w:val="center"/>
                </w:tcPr>
                <w:p>
                  <w:pPr>
                    <w:jc w:val="center"/>
                    <w:rPr>
                      <w:rFonts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8" w:type="dxa"/>
                  <w:vMerge w:val="continue"/>
                  <w:vAlign w:val="center"/>
                </w:tcPr>
                <w:p>
                  <w:pPr>
                    <w:jc w:val="center"/>
                    <w:rPr>
                      <w:rFonts w:ascii="Times New Roman" w:hAnsi="Times New Roman" w:eastAsia="宋体" w:cs="Times New Roman"/>
                      <w:color w:val="auto"/>
                      <w:szCs w:val="21"/>
                      <w:highlight w:val="none"/>
                    </w:rPr>
                  </w:pPr>
                </w:p>
              </w:tc>
              <w:tc>
                <w:tcPr>
                  <w:tcW w:w="829" w:type="dxa"/>
                  <w:vMerge w:val="continue"/>
                  <w:vAlign w:val="center"/>
                </w:tcPr>
                <w:p>
                  <w:pPr>
                    <w:jc w:val="center"/>
                    <w:rPr>
                      <w:rFonts w:ascii="Times New Roman" w:hAnsi="Times New Roman" w:eastAsia="宋体" w:cs="Times New Roman"/>
                      <w:color w:val="auto"/>
                      <w:szCs w:val="21"/>
                      <w:highlight w:val="none"/>
                    </w:rPr>
                  </w:pPr>
                </w:p>
              </w:tc>
              <w:tc>
                <w:tcPr>
                  <w:tcW w:w="1477"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第</w:t>
                  </w:r>
                  <w:r>
                    <w:rPr>
                      <w:rFonts w:ascii="Times New Roman" w:hAnsi="Times New Roman" w:eastAsia="宋体" w:cs="Times New Roman"/>
                      <w:color w:val="auto"/>
                      <w:szCs w:val="21"/>
                      <w:highlight w:val="none"/>
                    </w:rPr>
                    <w:t>4</w:t>
                  </w:r>
                  <w:r>
                    <w:rPr>
                      <w:rFonts w:hint="eastAsia" w:ascii="Times New Roman" w:hAnsi="Times New Roman" w:eastAsia="宋体" w:cs="Times New Roman"/>
                      <w:color w:val="auto"/>
                      <w:szCs w:val="21"/>
                      <w:highlight w:val="none"/>
                    </w:rPr>
                    <w:t>次</w:t>
                  </w:r>
                </w:p>
              </w:tc>
              <w:tc>
                <w:tcPr>
                  <w:tcW w:w="1701"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.38</w:t>
                  </w:r>
                </w:p>
              </w:tc>
              <w:tc>
                <w:tcPr>
                  <w:tcW w:w="1560"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.41</w:t>
                  </w:r>
                </w:p>
              </w:tc>
              <w:tc>
                <w:tcPr>
                  <w:tcW w:w="1066" w:type="dxa"/>
                  <w:vMerge w:val="continue"/>
                  <w:vAlign w:val="center"/>
                </w:tcPr>
                <w:p>
                  <w:pPr>
                    <w:jc w:val="center"/>
                    <w:rPr>
                      <w:rFonts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8" w:type="dxa"/>
                  <w:vMerge w:val="continue"/>
                  <w:vAlign w:val="center"/>
                </w:tcPr>
                <w:p>
                  <w:pPr>
                    <w:jc w:val="center"/>
                    <w:rPr>
                      <w:rFonts w:ascii="Times New Roman" w:hAnsi="Times New Roman" w:eastAsia="宋体" w:cs="Times New Roman"/>
                      <w:color w:val="auto"/>
                      <w:szCs w:val="21"/>
                      <w:highlight w:val="none"/>
                    </w:rPr>
                  </w:pPr>
                </w:p>
              </w:tc>
              <w:tc>
                <w:tcPr>
                  <w:tcW w:w="829" w:type="dxa"/>
                  <w:vMerge w:val="continue"/>
                  <w:vAlign w:val="center"/>
                </w:tcPr>
                <w:p>
                  <w:pPr>
                    <w:jc w:val="center"/>
                    <w:rPr>
                      <w:rFonts w:ascii="Times New Roman" w:hAnsi="Times New Roman" w:eastAsia="宋体" w:cs="Times New Roman"/>
                      <w:color w:val="auto"/>
                      <w:szCs w:val="21"/>
                      <w:highlight w:val="none"/>
                    </w:rPr>
                  </w:pPr>
                </w:p>
              </w:tc>
              <w:tc>
                <w:tcPr>
                  <w:tcW w:w="1477"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浓度最高值</w:t>
                  </w:r>
                </w:p>
              </w:tc>
              <w:tc>
                <w:tcPr>
                  <w:tcW w:w="1701"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.38</w:t>
                  </w:r>
                </w:p>
              </w:tc>
              <w:tc>
                <w:tcPr>
                  <w:tcW w:w="1560"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.47</w:t>
                  </w:r>
                </w:p>
              </w:tc>
              <w:tc>
                <w:tcPr>
                  <w:tcW w:w="1066" w:type="dxa"/>
                  <w:vMerge w:val="continue"/>
                  <w:vAlign w:val="center"/>
                </w:tcPr>
                <w:p>
                  <w:pPr>
                    <w:jc w:val="center"/>
                    <w:rPr>
                      <w:rFonts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8" w:type="dxa"/>
                  <w:vMerge w:val="restart"/>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2</w:t>
                  </w:r>
                  <w:r>
                    <w:rPr>
                      <w:rFonts w:ascii="Times New Roman" w:hAnsi="Times New Roman" w:eastAsia="宋体" w:cs="Times New Roman"/>
                      <w:color w:val="auto"/>
                      <w:szCs w:val="21"/>
                      <w:highlight w:val="none"/>
                    </w:rPr>
                    <w:t>019.09.02</w:t>
                  </w:r>
                </w:p>
              </w:tc>
              <w:tc>
                <w:tcPr>
                  <w:tcW w:w="829" w:type="dxa"/>
                  <w:vMerge w:val="continue"/>
                  <w:vAlign w:val="center"/>
                </w:tcPr>
                <w:p>
                  <w:pPr>
                    <w:jc w:val="center"/>
                    <w:rPr>
                      <w:rFonts w:ascii="Times New Roman" w:hAnsi="Times New Roman" w:eastAsia="宋体" w:cs="Times New Roman"/>
                      <w:color w:val="auto"/>
                      <w:szCs w:val="21"/>
                      <w:highlight w:val="none"/>
                    </w:rPr>
                  </w:pPr>
                </w:p>
              </w:tc>
              <w:tc>
                <w:tcPr>
                  <w:tcW w:w="1477"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第1次</w:t>
                  </w:r>
                </w:p>
              </w:tc>
              <w:tc>
                <w:tcPr>
                  <w:tcW w:w="1701"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.28</w:t>
                  </w:r>
                </w:p>
              </w:tc>
              <w:tc>
                <w:tcPr>
                  <w:tcW w:w="1560"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.46</w:t>
                  </w:r>
                </w:p>
              </w:tc>
              <w:tc>
                <w:tcPr>
                  <w:tcW w:w="1066" w:type="dxa"/>
                  <w:vMerge w:val="continue"/>
                  <w:vAlign w:val="center"/>
                </w:tcPr>
                <w:p>
                  <w:pPr>
                    <w:jc w:val="center"/>
                    <w:rPr>
                      <w:rFonts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8" w:type="dxa"/>
                  <w:vMerge w:val="continue"/>
                  <w:vAlign w:val="center"/>
                </w:tcPr>
                <w:p>
                  <w:pPr>
                    <w:jc w:val="center"/>
                    <w:rPr>
                      <w:rFonts w:ascii="Times New Roman" w:hAnsi="Times New Roman" w:eastAsia="宋体" w:cs="Times New Roman"/>
                      <w:color w:val="auto"/>
                      <w:szCs w:val="21"/>
                      <w:highlight w:val="none"/>
                    </w:rPr>
                  </w:pPr>
                </w:p>
              </w:tc>
              <w:tc>
                <w:tcPr>
                  <w:tcW w:w="829" w:type="dxa"/>
                  <w:vMerge w:val="continue"/>
                  <w:vAlign w:val="center"/>
                </w:tcPr>
                <w:p>
                  <w:pPr>
                    <w:jc w:val="center"/>
                    <w:rPr>
                      <w:rFonts w:ascii="Times New Roman" w:hAnsi="Times New Roman" w:eastAsia="宋体" w:cs="Times New Roman"/>
                      <w:color w:val="auto"/>
                      <w:szCs w:val="21"/>
                      <w:highlight w:val="none"/>
                    </w:rPr>
                  </w:pPr>
                </w:p>
              </w:tc>
              <w:tc>
                <w:tcPr>
                  <w:tcW w:w="1477"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第</w:t>
                  </w:r>
                  <w:r>
                    <w:rPr>
                      <w:rFonts w:ascii="Times New Roman" w:hAnsi="Times New Roman" w:eastAsia="宋体" w:cs="Times New Roman"/>
                      <w:color w:val="auto"/>
                      <w:szCs w:val="21"/>
                      <w:highlight w:val="none"/>
                    </w:rPr>
                    <w:t>2</w:t>
                  </w:r>
                  <w:r>
                    <w:rPr>
                      <w:rFonts w:hint="eastAsia" w:ascii="Times New Roman" w:hAnsi="Times New Roman" w:eastAsia="宋体" w:cs="Times New Roman"/>
                      <w:color w:val="auto"/>
                      <w:szCs w:val="21"/>
                      <w:highlight w:val="none"/>
                    </w:rPr>
                    <w:t>次</w:t>
                  </w:r>
                </w:p>
              </w:tc>
              <w:tc>
                <w:tcPr>
                  <w:tcW w:w="1701"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.31</w:t>
                  </w:r>
                </w:p>
              </w:tc>
              <w:tc>
                <w:tcPr>
                  <w:tcW w:w="1560"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.44</w:t>
                  </w:r>
                </w:p>
              </w:tc>
              <w:tc>
                <w:tcPr>
                  <w:tcW w:w="1066" w:type="dxa"/>
                  <w:vMerge w:val="continue"/>
                  <w:vAlign w:val="center"/>
                </w:tcPr>
                <w:p>
                  <w:pPr>
                    <w:jc w:val="center"/>
                    <w:rPr>
                      <w:rFonts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8" w:type="dxa"/>
                  <w:vMerge w:val="continue"/>
                  <w:vAlign w:val="center"/>
                </w:tcPr>
                <w:p>
                  <w:pPr>
                    <w:jc w:val="center"/>
                    <w:rPr>
                      <w:rFonts w:ascii="Times New Roman" w:hAnsi="Times New Roman" w:eastAsia="宋体" w:cs="Times New Roman"/>
                      <w:color w:val="auto"/>
                      <w:szCs w:val="21"/>
                      <w:highlight w:val="none"/>
                    </w:rPr>
                  </w:pPr>
                </w:p>
              </w:tc>
              <w:tc>
                <w:tcPr>
                  <w:tcW w:w="829" w:type="dxa"/>
                  <w:vMerge w:val="continue"/>
                  <w:vAlign w:val="center"/>
                </w:tcPr>
                <w:p>
                  <w:pPr>
                    <w:jc w:val="center"/>
                    <w:rPr>
                      <w:rFonts w:ascii="Times New Roman" w:hAnsi="Times New Roman" w:eastAsia="宋体" w:cs="Times New Roman"/>
                      <w:color w:val="auto"/>
                      <w:szCs w:val="21"/>
                      <w:highlight w:val="none"/>
                    </w:rPr>
                  </w:pPr>
                </w:p>
              </w:tc>
              <w:tc>
                <w:tcPr>
                  <w:tcW w:w="1477"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第</w:t>
                  </w:r>
                  <w:r>
                    <w:rPr>
                      <w:rFonts w:ascii="Times New Roman" w:hAnsi="Times New Roman" w:eastAsia="宋体" w:cs="Times New Roman"/>
                      <w:color w:val="auto"/>
                      <w:szCs w:val="21"/>
                      <w:highlight w:val="none"/>
                    </w:rPr>
                    <w:t>3</w:t>
                  </w:r>
                  <w:r>
                    <w:rPr>
                      <w:rFonts w:hint="eastAsia" w:ascii="Times New Roman" w:hAnsi="Times New Roman" w:eastAsia="宋体" w:cs="Times New Roman"/>
                      <w:color w:val="auto"/>
                      <w:szCs w:val="21"/>
                      <w:highlight w:val="none"/>
                    </w:rPr>
                    <w:t>次</w:t>
                  </w:r>
                </w:p>
              </w:tc>
              <w:tc>
                <w:tcPr>
                  <w:tcW w:w="1701"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.32</w:t>
                  </w:r>
                </w:p>
              </w:tc>
              <w:tc>
                <w:tcPr>
                  <w:tcW w:w="1560"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.43</w:t>
                  </w:r>
                </w:p>
              </w:tc>
              <w:tc>
                <w:tcPr>
                  <w:tcW w:w="1066" w:type="dxa"/>
                  <w:vMerge w:val="continue"/>
                  <w:vAlign w:val="center"/>
                </w:tcPr>
                <w:p>
                  <w:pPr>
                    <w:jc w:val="center"/>
                    <w:rPr>
                      <w:rFonts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8" w:type="dxa"/>
                  <w:vMerge w:val="continue"/>
                  <w:vAlign w:val="center"/>
                </w:tcPr>
                <w:p>
                  <w:pPr>
                    <w:jc w:val="center"/>
                    <w:rPr>
                      <w:rFonts w:ascii="Times New Roman" w:hAnsi="Times New Roman" w:eastAsia="宋体" w:cs="Times New Roman"/>
                      <w:color w:val="auto"/>
                      <w:szCs w:val="21"/>
                      <w:highlight w:val="none"/>
                    </w:rPr>
                  </w:pPr>
                </w:p>
              </w:tc>
              <w:tc>
                <w:tcPr>
                  <w:tcW w:w="829" w:type="dxa"/>
                  <w:vMerge w:val="continue"/>
                  <w:vAlign w:val="center"/>
                </w:tcPr>
                <w:p>
                  <w:pPr>
                    <w:jc w:val="center"/>
                    <w:rPr>
                      <w:rFonts w:ascii="Times New Roman" w:hAnsi="Times New Roman" w:eastAsia="宋体" w:cs="Times New Roman"/>
                      <w:color w:val="auto"/>
                      <w:szCs w:val="21"/>
                      <w:highlight w:val="none"/>
                    </w:rPr>
                  </w:pPr>
                </w:p>
              </w:tc>
              <w:tc>
                <w:tcPr>
                  <w:tcW w:w="1477"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第</w:t>
                  </w:r>
                  <w:r>
                    <w:rPr>
                      <w:rFonts w:ascii="Times New Roman" w:hAnsi="Times New Roman" w:eastAsia="宋体" w:cs="Times New Roman"/>
                      <w:color w:val="auto"/>
                      <w:szCs w:val="21"/>
                      <w:highlight w:val="none"/>
                    </w:rPr>
                    <w:t>4</w:t>
                  </w:r>
                  <w:r>
                    <w:rPr>
                      <w:rFonts w:hint="eastAsia" w:ascii="Times New Roman" w:hAnsi="Times New Roman" w:eastAsia="宋体" w:cs="Times New Roman"/>
                      <w:color w:val="auto"/>
                      <w:szCs w:val="21"/>
                      <w:highlight w:val="none"/>
                    </w:rPr>
                    <w:t>次</w:t>
                  </w:r>
                </w:p>
              </w:tc>
              <w:tc>
                <w:tcPr>
                  <w:tcW w:w="1701"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.29</w:t>
                  </w:r>
                </w:p>
              </w:tc>
              <w:tc>
                <w:tcPr>
                  <w:tcW w:w="1560"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.42</w:t>
                  </w:r>
                </w:p>
              </w:tc>
              <w:tc>
                <w:tcPr>
                  <w:tcW w:w="1066" w:type="dxa"/>
                  <w:vMerge w:val="continue"/>
                  <w:vAlign w:val="center"/>
                </w:tcPr>
                <w:p>
                  <w:pPr>
                    <w:jc w:val="center"/>
                    <w:rPr>
                      <w:rFonts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8" w:type="dxa"/>
                  <w:vMerge w:val="continue"/>
                  <w:vAlign w:val="center"/>
                </w:tcPr>
                <w:p>
                  <w:pPr>
                    <w:jc w:val="center"/>
                    <w:rPr>
                      <w:rFonts w:ascii="Times New Roman" w:hAnsi="Times New Roman" w:eastAsia="宋体" w:cs="Times New Roman"/>
                      <w:color w:val="auto"/>
                      <w:szCs w:val="21"/>
                      <w:highlight w:val="none"/>
                    </w:rPr>
                  </w:pPr>
                </w:p>
              </w:tc>
              <w:tc>
                <w:tcPr>
                  <w:tcW w:w="829" w:type="dxa"/>
                  <w:vMerge w:val="continue"/>
                  <w:vAlign w:val="center"/>
                </w:tcPr>
                <w:p>
                  <w:pPr>
                    <w:jc w:val="center"/>
                    <w:rPr>
                      <w:rFonts w:ascii="Times New Roman" w:hAnsi="Times New Roman" w:eastAsia="宋体" w:cs="Times New Roman"/>
                      <w:color w:val="auto"/>
                      <w:szCs w:val="21"/>
                      <w:highlight w:val="none"/>
                    </w:rPr>
                  </w:pPr>
                </w:p>
              </w:tc>
              <w:tc>
                <w:tcPr>
                  <w:tcW w:w="1477"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浓度最高值</w:t>
                  </w:r>
                </w:p>
              </w:tc>
              <w:tc>
                <w:tcPr>
                  <w:tcW w:w="1701"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.32</w:t>
                  </w:r>
                </w:p>
              </w:tc>
              <w:tc>
                <w:tcPr>
                  <w:tcW w:w="1560"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.46</w:t>
                  </w:r>
                </w:p>
              </w:tc>
              <w:tc>
                <w:tcPr>
                  <w:tcW w:w="1066" w:type="dxa"/>
                  <w:vMerge w:val="continue"/>
                  <w:vAlign w:val="center"/>
                </w:tcPr>
                <w:p>
                  <w:pPr>
                    <w:jc w:val="center"/>
                    <w:rPr>
                      <w:rFonts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8" w:type="dxa"/>
                  <w:vMerge w:val="restart"/>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2</w:t>
                  </w:r>
                  <w:r>
                    <w:rPr>
                      <w:rFonts w:ascii="Times New Roman" w:hAnsi="Times New Roman" w:eastAsia="宋体" w:cs="Times New Roman"/>
                      <w:color w:val="auto"/>
                      <w:szCs w:val="21"/>
                      <w:highlight w:val="none"/>
                    </w:rPr>
                    <w:t>019.09.03</w:t>
                  </w:r>
                </w:p>
              </w:tc>
              <w:tc>
                <w:tcPr>
                  <w:tcW w:w="829" w:type="dxa"/>
                  <w:vMerge w:val="continue"/>
                  <w:vAlign w:val="center"/>
                </w:tcPr>
                <w:p>
                  <w:pPr>
                    <w:jc w:val="center"/>
                    <w:rPr>
                      <w:rFonts w:ascii="Times New Roman" w:hAnsi="Times New Roman" w:eastAsia="宋体" w:cs="Times New Roman"/>
                      <w:color w:val="auto"/>
                      <w:szCs w:val="21"/>
                      <w:highlight w:val="none"/>
                    </w:rPr>
                  </w:pPr>
                </w:p>
              </w:tc>
              <w:tc>
                <w:tcPr>
                  <w:tcW w:w="1477"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第1次</w:t>
                  </w:r>
                </w:p>
              </w:tc>
              <w:tc>
                <w:tcPr>
                  <w:tcW w:w="1701"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.26</w:t>
                  </w:r>
                </w:p>
              </w:tc>
              <w:tc>
                <w:tcPr>
                  <w:tcW w:w="1560"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.48</w:t>
                  </w:r>
                </w:p>
              </w:tc>
              <w:tc>
                <w:tcPr>
                  <w:tcW w:w="1066" w:type="dxa"/>
                  <w:vMerge w:val="continue"/>
                  <w:vAlign w:val="center"/>
                </w:tcPr>
                <w:p>
                  <w:pPr>
                    <w:jc w:val="center"/>
                    <w:rPr>
                      <w:rFonts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8" w:type="dxa"/>
                  <w:vMerge w:val="continue"/>
                  <w:vAlign w:val="center"/>
                </w:tcPr>
                <w:p>
                  <w:pPr>
                    <w:jc w:val="center"/>
                    <w:rPr>
                      <w:rFonts w:ascii="Times New Roman" w:hAnsi="Times New Roman" w:eastAsia="宋体" w:cs="Times New Roman"/>
                      <w:color w:val="auto"/>
                      <w:szCs w:val="21"/>
                      <w:highlight w:val="none"/>
                    </w:rPr>
                  </w:pPr>
                </w:p>
              </w:tc>
              <w:tc>
                <w:tcPr>
                  <w:tcW w:w="829" w:type="dxa"/>
                  <w:vMerge w:val="continue"/>
                  <w:vAlign w:val="center"/>
                </w:tcPr>
                <w:p>
                  <w:pPr>
                    <w:jc w:val="center"/>
                    <w:rPr>
                      <w:rFonts w:ascii="Times New Roman" w:hAnsi="Times New Roman" w:eastAsia="宋体" w:cs="Times New Roman"/>
                      <w:color w:val="auto"/>
                      <w:szCs w:val="21"/>
                      <w:highlight w:val="none"/>
                    </w:rPr>
                  </w:pPr>
                </w:p>
              </w:tc>
              <w:tc>
                <w:tcPr>
                  <w:tcW w:w="1477"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第</w:t>
                  </w:r>
                  <w:r>
                    <w:rPr>
                      <w:rFonts w:ascii="Times New Roman" w:hAnsi="Times New Roman" w:eastAsia="宋体" w:cs="Times New Roman"/>
                      <w:color w:val="auto"/>
                      <w:szCs w:val="21"/>
                      <w:highlight w:val="none"/>
                    </w:rPr>
                    <w:t>2</w:t>
                  </w:r>
                  <w:r>
                    <w:rPr>
                      <w:rFonts w:hint="eastAsia" w:ascii="Times New Roman" w:hAnsi="Times New Roman" w:eastAsia="宋体" w:cs="Times New Roman"/>
                      <w:color w:val="auto"/>
                      <w:szCs w:val="21"/>
                      <w:highlight w:val="none"/>
                    </w:rPr>
                    <w:t>次</w:t>
                  </w:r>
                </w:p>
              </w:tc>
              <w:tc>
                <w:tcPr>
                  <w:tcW w:w="1701"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.28</w:t>
                  </w:r>
                </w:p>
              </w:tc>
              <w:tc>
                <w:tcPr>
                  <w:tcW w:w="1560"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.46</w:t>
                  </w:r>
                </w:p>
              </w:tc>
              <w:tc>
                <w:tcPr>
                  <w:tcW w:w="1066" w:type="dxa"/>
                  <w:vMerge w:val="continue"/>
                  <w:vAlign w:val="center"/>
                </w:tcPr>
                <w:p>
                  <w:pPr>
                    <w:jc w:val="center"/>
                    <w:rPr>
                      <w:rFonts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8" w:type="dxa"/>
                  <w:vMerge w:val="continue"/>
                  <w:vAlign w:val="center"/>
                </w:tcPr>
                <w:p>
                  <w:pPr>
                    <w:jc w:val="center"/>
                    <w:rPr>
                      <w:rFonts w:ascii="Times New Roman" w:hAnsi="Times New Roman" w:eastAsia="宋体" w:cs="Times New Roman"/>
                      <w:color w:val="auto"/>
                      <w:szCs w:val="21"/>
                      <w:highlight w:val="none"/>
                    </w:rPr>
                  </w:pPr>
                </w:p>
              </w:tc>
              <w:tc>
                <w:tcPr>
                  <w:tcW w:w="829" w:type="dxa"/>
                  <w:vMerge w:val="continue"/>
                  <w:vAlign w:val="center"/>
                </w:tcPr>
                <w:p>
                  <w:pPr>
                    <w:jc w:val="center"/>
                    <w:rPr>
                      <w:rFonts w:ascii="Times New Roman" w:hAnsi="Times New Roman" w:eastAsia="宋体" w:cs="Times New Roman"/>
                      <w:color w:val="auto"/>
                      <w:szCs w:val="21"/>
                      <w:highlight w:val="none"/>
                    </w:rPr>
                  </w:pPr>
                </w:p>
              </w:tc>
              <w:tc>
                <w:tcPr>
                  <w:tcW w:w="1477"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第</w:t>
                  </w:r>
                  <w:r>
                    <w:rPr>
                      <w:rFonts w:ascii="Times New Roman" w:hAnsi="Times New Roman" w:eastAsia="宋体" w:cs="Times New Roman"/>
                      <w:color w:val="auto"/>
                      <w:szCs w:val="21"/>
                      <w:highlight w:val="none"/>
                    </w:rPr>
                    <w:t>3</w:t>
                  </w:r>
                  <w:r>
                    <w:rPr>
                      <w:rFonts w:hint="eastAsia" w:ascii="Times New Roman" w:hAnsi="Times New Roman" w:eastAsia="宋体" w:cs="Times New Roman"/>
                      <w:color w:val="auto"/>
                      <w:szCs w:val="21"/>
                      <w:highlight w:val="none"/>
                    </w:rPr>
                    <w:t>次</w:t>
                  </w:r>
                </w:p>
              </w:tc>
              <w:tc>
                <w:tcPr>
                  <w:tcW w:w="1701"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.30</w:t>
                  </w:r>
                </w:p>
              </w:tc>
              <w:tc>
                <w:tcPr>
                  <w:tcW w:w="1560"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.47</w:t>
                  </w:r>
                </w:p>
              </w:tc>
              <w:tc>
                <w:tcPr>
                  <w:tcW w:w="1066" w:type="dxa"/>
                  <w:vMerge w:val="continue"/>
                  <w:vAlign w:val="center"/>
                </w:tcPr>
                <w:p>
                  <w:pPr>
                    <w:jc w:val="center"/>
                    <w:rPr>
                      <w:rFonts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8" w:type="dxa"/>
                  <w:vMerge w:val="continue"/>
                  <w:vAlign w:val="center"/>
                </w:tcPr>
                <w:p>
                  <w:pPr>
                    <w:jc w:val="center"/>
                    <w:rPr>
                      <w:rFonts w:ascii="Times New Roman" w:hAnsi="Times New Roman" w:eastAsia="宋体" w:cs="Times New Roman"/>
                      <w:color w:val="auto"/>
                      <w:szCs w:val="21"/>
                      <w:highlight w:val="none"/>
                    </w:rPr>
                  </w:pPr>
                </w:p>
              </w:tc>
              <w:tc>
                <w:tcPr>
                  <w:tcW w:w="829" w:type="dxa"/>
                  <w:vMerge w:val="continue"/>
                  <w:vAlign w:val="center"/>
                </w:tcPr>
                <w:p>
                  <w:pPr>
                    <w:jc w:val="center"/>
                    <w:rPr>
                      <w:rFonts w:ascii="Times New Roman" w:hAnsi="Times New Roman" w:eastAsia="宋体" w:cs="Times New Roman"/>
                      <w:color w:val="auto"/>
                      <w:szCs w:val="21"/>
                      <w:highlight w:val="none"/>
                    </w:rPr>
                  </w:pPr>
                </w:p>
              </w:tc>
              <w:tc>
                <w:tcPr>
                  <w:tcW w:w="1477"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第</w:t>
                  </w:r>
                  <w:r>
                    <w:rPr>
                      <w:rFonts w:ascii="Times New Roman" w:hAnsi="Times New Roman" w:eastAsia="宋体" w:cs="Times New Roman"/>
                      <w:color w:val="auto"/>
                      <w:szCs w:val="21"/>
                      <w:highlight w:val="none"/>
                    </w:rPr>
                    <w:t>4</w:t>
                  </w:r>
                  <w:r>
                    <w:rPr>
                      <w:rFonts w:hint="eastAsia" w:ascii="Times New Roman" w:hAnsi="Times New Roman" w:eastAsia="宋体" w:cs="Times New Roman"/>
                      <w:color w:val="auto"/>
                      <w:szCs w:val="21"/>
                      <w:highlight w:val="none"/>
                    </w:rPr>
                    <w:t>次</w:t>
                  </w:r>
                </w:p>
              </w:tc>
              <w:tc>
                <w:tcPr>
                  <w:tcW w:w="1701"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.32</w:t>
                  </w:r>
                </w:p>
              </w:tc>
              <w:tc>
                <w:tcPr>
                  <w:tcW w:w="1560"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.45</w:t>
                  </w:r>
                </w:p>
              </w:tc>
              <w:tc>
                <w:tcPr>
                  <w:tcW w:w="1066" w:type="dxa"/>
                  <w:vMerge w:val="continue"/>
                  <w:vAlign w:val="center"/>
                </w:tcPr>
                <w:p>
                  <w:pPr>
                    <w:jc w:val="center"/>
                    <w:rPr>
                      <w:rFonts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8" w:type="dxa"/>
                  <w:vMerge w:val="continue"/>
                  <w:vAlign w:val="center"/>
                </w:tcPr>
                <w:p>
                  <w:pPr>
                    <w:jc w:val="center"/>
                    <w:rPr>
                      <w:rFonts w:ascii="Times New Roman" w:hAnsi="Times New Roman" w:eastAsia="宋体" w:cs="Times New Roman"/>
                      <w:color w:val="auto"/>
                      <w:szCs w:val="21"/>
                      <w:highlight w:val="none"/>
                    </w:rPr>
                  </w:pPr>
                </w:p>
              </w:tc>
              <w:tc>
                <w:tcPr>
                  <w:tcW w:w="829" w:type="dxa"/>
                  <w:vMerge w:val="continue"/>
                  <w:vAlign w:val="center"/>
                </w:tcPr>
                <w:p>
                  <w:pPr>
                    <w:jc w:val="center"/>
                    <w:rPr>
                      <w:rFonts w:ascii="Times New Roman" w:hAnsi="Times New Roman" w:eastAsia="宋体" w:cs="Times New Roman"/>
                      <w:color w:val="auto"/>
                      <w:szCs w:val="21"/>
                      <w:highlight w:val="none"/>
                    </w:rPr>
                  </w:pPr>
                </w:p>
              </w:tc>
              <w:tc>
                <w:tcPr>
                  <w:tcW w:w="1477"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浓度最高值</w:t>
                  </w:r>
                </w:p>
              </w:tc>
              <w:tc>
                <w:tcPr>
                  <w:tcW w:w="1701"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.32</w:t>
                  </w:r>
                </w:p>
              </w:tc>
              <w:tc>
                <w:tcPr>
                  <w:tcW w:w="1560"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.48</w:t>
                  </w:r>
                </w:p>
              </w:tc>
              <w:tc>
                <w:tcPr>
                  <w:tcW w:w="1066" w:type="dxa"/>
                  <w:vMerge w:val="continue"/>
                  <w:vAlign w:val="center"/>
                </w:tcPr>
                <w:p>
                  <w:pPr>
                    <w:jc w:val="center"/>
                    <w:rPr>
                      <w:rFonts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8" w:type="dxa"/>
                  <w:vMerge w:val="restart"/>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2</w:t>
                  </w:r>
                  <w:r>
                    <w:rPr>
                      <w:rFonts w:ascii="Times New Roman" w:hAnsi="Times New Roman" w:eastAsia="宋体" w:cs="Times New Roman"/>
                      <w:color w:val="auto"/>
                      <w:szCs w:val="21"/>
                      <w:highlight w:val="none"/>
                    </w:rPr>
                    <w:t>019.09.04</w:t>
                  </w:r>
                </w:p>
              </w:tc>
              <w:tc>
                <w:tcPr>
                  <w:tcW w:w="829" w:type="dxa"/>
                  <w:vMerge w:val="continue"/>
                  <w:vAlign w:val="center"/>
                </w:tcPr>
                <w:p>
                  <w:pPr>
                    <w:jc w:val="center"/>
                    <w:rPr>
                      <w:rFonts w:ascii="Times New Roman" w:hAnsi="Times New Roman" w:eastAsia="宋体" w:cs="Times New Roman"/>
                      <w:color w:val="auto"/>
                      <w:szCs w:val="21"/>
                      <w:highlight w:val="none"/>
                    </w:rPr>
                  </w:pPr>
                </w:p>
              </w:tc>
              <w:tc>
                <w:tcPr>
                  <w:tcW w:w="1477"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第1次</w:t>
                  </w:r>
                </w:p>
              </w:tc>
              <w:tc>
                <w:tcPr>
                  <w:tcW w:w="1701"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.22</w:t>
                  </w:r>
                </w:p>
              </w:tc>
              <w:tc>
                <w:tcPr>
                  <w:tcW w:w="1560"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.40</w:t>
                  </w:r>
                </w:p>
              </w:tc>
              <w:tc>
                <w:tcPr>
                  <w:tcW w:w="1066" w:type="dxa"/>
                  <w:vMerge w:val="continue"/>
                  <w:vAlign w:val="center"/>
                </w:tcPr>
                <w:p>
                  <w:pPr>
                    <w:jc w:val="center"/>
                    <w:rPr>
                      <w:rFonts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8" w:type="dxa"/>
                  <w:vMerge w:val="continue"/>
                  <w:vAlign w:val="center"/>
                </w:tcPr>
                <w:p>
                  <w:pPr>
                    <w:jc w:val="center"/>
                    <w:rPr>
                      <w:rFonts w:ascii="Times New Roman" w:hAnsi="Times New Roman" w:eastAsia="宋体" w:cs="Times New Roman"/>
                      <w:color w:val="auto"/>
                      <w:szCs w:val="21"/>
                      <w:highlight w:val="none"/>
                    </w:rPr>
                  </w:pPr>
                </w:p>
              </w:tc>
              <w:tc>
                <w:tcPr>
                  <w:tcW w:w="829" w:type="dxa"/>
                  <w:vMerge w:val="continue"/>
                  <w:vAlign w:val="center"/>
                </w:tcPr>
                <w:p>
                  <w:pPr>
                    <w:jc w:val="center"/>
                    <w:rPr>
                      <w:rFonts w:ascii="Times New Roman" w:hAnsi="Times New Roman" w:eastAsia="宋体" w:cs="Times New Roman"/>
                      <w:color w:val="auto"/>
                      <w:szCs w:val="21"/>
                      <w:highlight w:val="none"/>
                    </w:rPr>
                  </w:pPr>
                </w:p>
              </w:tc>
              <w:tc>
                <w:tcPr>
                  <w:tcW w:w="1477"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第</w:t>
                  </w:r>
                  <w:r>
                    <w:rPr>
                      <w:rFonts w:ascii="Times New Roman" w:hAnsi="Times New Roman" w:eastAsia="宋体" w:cs="Times New Roman"/>
                      <w:color w:val="auto"/>
                      <w:szCs w:val="21"/>
                      <w:highlight w:val="none"/>
                    </w:rPr>
                    <w:t>2</w:t>
                  </w:r>
                  <w:r>
                    <w:rPr>
                      <w:rFonts w:hint="eastAsia" w:ascii="Times New Roman" w:hAnsi="Times New Roman" w:eastAsia="宋体" w:cs="Times New Roman"/>
                      <w:color w:val="auto"/>
                      <w:szCs w:val="21"/>
                      <w:highlight w:val="none"/>
                    </w:rPr>
                    <w:t>次</w:t>
                  </w:r>
                </w:p>
              </w:tc>
              <w:tc>
                <w:tcPr>
                  <w:tcW w:w="1701"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.21</w:t>
                  </w:r>
                </w:p>
              </w:tc>
              <w:tc>
                <w:tcPr>
                  <w:tcW w:w="1560"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.41</w:t>
                  </w:r>
                </w:p>
              </w:tc>
              <w:tc>
                <w:tcPr>
                  <w:tcW w:w="1066" w:type="dxa"/>
                  <w:vMerge w:val="continue"/>
                  <w:vAlign w:val="center"/>
                </w:tcPr>
                <w:p>
                  <w:pPr>
                    <w:jc w:val="center"/>
                    <w:rPr>
                      <w:rFonts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8" w:type="dxa"/>
                  <w:vMerge w:val="continue"/>
                  <w:vAlign w:val="center"/>
                </w:tcPr>
                <w:p>
                  <w:pPr>
                    <w:jc w:val="center"/>
                    <w:rPr>
                      <w:rFonts w:ascii="Times New Roman" w:hAnsi="Times New Roman" w:eastAsia="宋体" w:cs="Times New Roman"/>
                      <w:color w:val="auto"/>
                      <w:szCs w:val="21"/>
                      <w:highlight w:val="none"/>
                    </w:rPr>
                  </w:pPr>
                </w:p>
              </w:tc>
              <w:tc>
                <w:tcPr>
                  <w:tcW w:w="829" w:type="dxa"/>
                  <w:vMerge w:val="continue"/>
                  <w:vAlign w:val="center"/>
                </w:tcPr>
                <w:p>
                  <w:pPr>
                    <w:jc w:val="center"/>
                    <w:rPr>
                      <w:rFonts w:ascii="Times New Roman" w:hAnsi="Times New Roman" w:eastAsia="宋体" w:cs="Times New Roman"/>
                      <w:color w:val="auto"/>
                      <w:szCs w:val="21"/>
                      <w:highlight w:val="none"/>
                    </w:rPr>
                  </w:pPr>
                </w:p>
              </w:tc>
              <w:tc>
                <w:tcPr>
                  <w:tcW w:w="1477"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第</w:t>
                  </w:r>
                  <w:r>
                    <w:rPr>
                      <w:rFonts w:ascii="Times New Roman" w:hAnsi="Times New Roman" w:eastAsia="宋体" w:cs="Times New Roman"/>
                      <w:color w:val="auto"/>
                      <w:szCs w:val="21"/>
                      <w:highlight w:val="none"/>
                    </w:rPr>
                    <w:t>3</w:t>
                  </w:r>
                  <w:r>
                    <w:rPr>
                      <w:rFonts w:hint="eastAsia" w:ascii="Times New Roman" w:hAnsi="Times New Roman" w:eastAsia="宋体" w:cs="Times New Roman"/>
                      <w:color w:val="auto"/>
                      <w:szCs w:val="21"/>
                      <w:highlight w:val="none"/>
                    </w:rPr>
                    <w:t>次</w:t>
                  </w:r>
                </w:p>
              </w:tc>
              <w:tc>
                <w:tcPr>
                  <w:tcW w:w="1701"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.25</w:t>
                  </w:r>
                </w:p>
              </w:tc>
              <w:tc>
                <w:tcPr>
                  <w:tcW w:w="1560"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.40</w:t>
                  </w:r>
                </w:p>
              </w:tc>
              <w:tc>
                <w:tcPr>
                  <w:tcW w:w="1066" w:type="dxa"/>
                  <w:vMerge w:val="continue"/>
                  <w:vAlign w:val="center"/>
                </w:tcPr>
                <w:p>
                  <w:pPr>
                    <w:jc w:val="center"/>
                    <w:rPr>
                      <w:rFonts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8" w:type="dxa"/>
                  <w:vMerge w:val="continue"/>
                  <w:vAlign w:val="center"/>
                </w:tcPr>
                <w:p>
                  <w:pPr>
                    <w:jc w:val="center"/>
                    <w:rPr>
                      <w:rFonts w:ascii="Times New Roman" w:hAnsi="Times New Roman" w:eastAsia="宋体" w:cs="Times New Roman"/>
                      <w:color w:val="auto"/>
                      <w:szCs w:val="21"/>
                      <w:highlight w:val="none"/>
                    </w:rPr>
                  </w:pPr>
                </w:p>
              </w:tc>
              <w:tc>
                <w:tcPr>
                  <w:tcW w:w="829" w:type="dxa"/>
                  <w:vMerge w:val="continue"/>
                  <w:vAlign w:val="center"/>
                </w:tcPr>
                <w:p>
                  <w:pPr>
                    <w:jc w:val="center"/>
                    <w:rPr>
                      <w:rFonts w:ascii="Times New Roman" w:hAnsi="Times New Roman" w:eastAsia="宋体" w:cs="Times New Roman"/>
                      <w:color w:val="auto"/>
                      <w:szCs w:val="21"/>
                      <w:highlight w:val="none"/>
                    </w:rPr>
                  </w:pPr>
                </w:p>
              </w:tc>
              <w:tc>
                <w:tcPr>
                  <w:tcW w:w="1477"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第</w:t>
                  </w:r>
                  <w:r>
                    <w:rPr>
                      <w:rFonts w:ascii="Times New Roman" w:hAnsi="Times New Roman" w:eastAsia="宋体" w:cs="Times New Roman"/>
                      <w:color w:val="auto"/>
                      <w:szCs w:val="21"/>
                      <w:highlight w:val="none"/>
                    </w:rPr>
                    <w:t>4</w:t>
                  </w:r>
                  <w:r>
                    <w:rPr>
                      <w:rFonts w:hint="eastAsia" w:ascii="Times New Roman" w:hAnsi="Times New Roman" w:eastAsia="宋体" w:cs="Times New Roman"/>
                      <w:color w:val="auto"/>
                      <w:szCs w:val="21"/>
                      <w:highlight w:val="none"/>
                    </w:rPr>
                    <w:t>次</w:t>
                  </w:r>
                </w:p>
              </w:tc>
              <w:tc>
                <w:tcPr>
                  <w:tcW w:w="1701"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.28</w:t>
                  </w:r>
                </w:p>
              </w:tc>
              <w:tc>
                <w:tcPr>
                  <w:tcW w:w="1560"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.43</w:t>
                  </w:r>
                </w:p>
              </w:tc>
              <w:tc>
                <w:tcPr>
                  <w:tcW w:w="1066" w:type="dxa"/>
                  <w:vMerge w:val="continue"/>
                  <w:vAlign w:val="center"/>
                </w:tcPr>
                <w:p>
                  <w:pPr>
                    <w:jc w:val="center"/>
                    <w:rPr>
                      <w:rFonts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8" w:type="dxa"/>
                  <w:vMerge w:val="continue"/>
                  <w:vAlign w:val="center"/>
                </w:tcPr>
                <w:p>
                  <w:pPr>
                    <w:jc w:val="center"/>
                    <w:rPr>
                      <w:rFonts w:ascii="Times New Roman" w:hAnsi="Times New Roman" w:eastAsia="宋体" w:cs="Times New Roman"/>
                      <w:color w:val="auto"/>
                      <w:szCs w:val="21"/>
                      <w:highlight w:val="none"/>
                    </w:rPr>
                  </w:pPr>
                </w:p>
              </w:tc>
              <w:tc>
                <w:tcPr>
                  <w:tcW w:w="829" w:type="dxa"/>
                  <w:vMerge w:val="continue"/>
                  <w:vAlign w:val="center"/>
                </w:tcPr>
                <w:p>
                  <w:pPr>
                    <w:jc w:val="center"/>
                    <w:rPr>
                      <w:rFonts w:ascii="Times New Roman" w:hAnsi="Times New Roman" w:eastAsia="宋体" w:cs="Times New Roman"/>
                      <w:color w:val="auto"/>
                      <w:szCs w:val="21"/>
                      <w:highlight w:val="none"/>
                    </w:rPr>
                  </w:pPr>
                </w:p>
              </w:tc>
              <w:tc>
                <w:tcPr>
                  <w:tcW w:w="1477"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浓度最高值</w:t>
                  </w:r>
                </w:p>
              </w:tc>
              <w:tc>
                <w:tcPr>
                  <w:tcW w:w="1701"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.28</w:t>
                  </w:r>
                </w:p>
              </w:tc>
              <w:tc>
                <w:tcPr>
                  <w:tcW w:w="1560"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.43</w:t>
                  </w:r>
                </w:p>
              </w:tc>
              <w:tc>
                <w:tcPr>
                  <w:tcW w:w="1066" w:type="dxa"/>
                  <w:vMerge w:val="continue"/>
                  <w:vAlign w:val="center"/>
                </w:tcPr>
                <w:p>
                  <w:pPr>
                    <w:jc w:val="center"/>
                    <w:rPr>
                      <w:rFonts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8" w:type="dxa"/>
                  <w:vMerge w:val="restart"/>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2</w:t>
                  </w:r>
                  <w:r>
                    <w:rPr>
                      <w:rFonts w:ascii="Times New Roman" w:hAnsi="Times New Roman" w:eastAsia="宋体" w:cs="Times New Roman"/>
                      <w:color w:val="auto"/>
                      <w:szCs w:val="21"/>
                      <w:highlight w:val="none"/>
                    </w:rPr>
                    <w:t>019.09.05</w:t>
                  </w:r>
                </w:p>
              </w:tc>
              <w:tc>
                <w:tcPr>
                  <w:tcW w:w="829" w:type="dxa"/>
                  <w:vMerge w:val="continue"/>
                  <w:vAlign w:val="center"/>
                </w:tcPr>
                <w:p>
                  <w:pPr>
                    <w:jc w:val="center"/>
                    <w:rPr>
                      <w:rFonts w:ascii="Times New Roman" w:hAnsi="Times New Roman" w:eastAsia="宋体" w:cs="Times New Roman"/>
                      <w:color w:val="auto"/>
                      <w:szCs w:val="21"/>
                      <w:highlight w:val="none"/>
                    </w:rPr>
                  </w:pPr>
                </w:p>
              </w:tc>
              <w:tc>
                <w:tcPr>
                  <w:tcW w:w="1477"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第1次</w:t>
                  </w:r>
                </w:p>
              </w:tc>
              <w:tc>
                <w:tcPr>
                  <w:tcW w:w="1701"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.32</w:t>
                  </w:r>
                </w:p>
              </w:tc>
              <w:tc>
                <w:tcPr>
                  <w:tcW w:w="1560"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.40</w:t>
                  </w:r>
                </w:p>
              </w:tc>
              <w:tc>
                <w:tcPr>
                  <w:tcW w:w="1066" w:type="dxa"/>
                  <w:vMerge w:val="continue"/>
                  <w:vAlign w:val="center"/>
                </w:tcPr>
                <w:p>
                  <w:pPr>
                    <w:jc w:val="center"/>
                    <w:rPr>
                      <w:rFonts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8" w:type="dxa"/>
                  <w:vMerge w:val="continue"/>
                  <w:vAlign w:val="center"/>
                </w:tcPr>
                <w:p>
                  <w:pPr>
                    <w:jc w:val="center"/>
                    <w:rPr>
                      <w:rFonts w:ascii="Times New Roman" w:hAnsi="Times New Roman" w:eastAsia="宋体" w:cs="Times New Roman"/>
                      <w:color w:val="auto"/>
                      <w:szCs w:val="21"/>
                      <w:highlight w:val="none"/>
                    </w:rPr>
                  </w:pPr>
                </w:p>
              </w:tc>
              <w:tc>
                <w:tcPr>
                  <w:tcW w:w="829" w:type="dxa"/>
                  <w:vMerge w:val="continue"/>
                  <w:vAlign w:val="center"/>
                </w:tcPr>
                <w:p>
                  <w:pPr>
                    <w:jc w:val="center"/>
                    <w:rPr>
                      <w:rFonts w:ascii="Times New Roman" w:hAnsi="Times New Roman" w:eastAsia="宋体" w:cs="Times New Roman"/>
                      <w:color w:val="auto"/>
                      <w:szCs w:val="21"/>
                      <w:highlight w:val="none"/>
                    </w:rPr>
                  </w:pPr>
                </w:p>
              </w:tc>
              <w:tc>
                <w:tcPr>
                  <w:tcW w:w="1477"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第</w:t>
                  </w:r>
                  <w:r>
                    <w:rPr>
                      <w:rFonts w:ascii="Times New Roman" w:hAnsi="Times New Roman" w:eastAsia="宋体" w:cs="Times New Roman"/>
                      <w:color w:val="auto"/>
                      <w:szCs w:val="21"/>
                      <w:highlight w:val="none"/>
                    </w:rPr>
                    <w:t>2</w:t>
                  </w:r>
                  <w:r>
                    <w:rPr>
                      <w:rFonts w:hint="eastAsia" w:ascii="Times New Roman" w:hAnsi="Times New Roman" w:eastAsia="宋体" w:cs="Times New Roman"/>
                      <w:color w:val="auto"/>
                      <w:szCs w:val="21"/>
                      <w:highlight w:val="none"/>
                    </w:rPr>
                    <w:t>次</w:t>
                  </w:r>
                </w:p>
              </w:tc>
              <w:tc>
                <w:tcPr>
                  <w:tcW w:w="1701"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.33</w:t>
                  </w:r>
                </w:p>
              </w:tc>
              <w:tc>
                <w:tcPr>
                  <w:tcW w:w="1560"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.41</w:t>
                  </w:r>
                </w:p>
              </w:tc>
              <w:tc>
                <w:tcPr>
                  <w:tcW w:w="1066" w:type="dxa"/>
                  <w:vMerge w:val="continue"/>
                  <w:vAlign w:val="center"/>
                </w:tcPr>
                <w:p>
                  <w:pPr>
                    <w:jc w:val="center"/>
                    <w:rPr>
                      <w:rFonts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8" w:type="dxa"/>
                  <w:vMerge w:val="continue"/>
                  <w:vAlign w:val="center"/>
                </w:tcPr>
                <w:p>
                  <w:pPr>
                    <w:jc w:val="center"/>
                    <w:rPr>
                      <w:rFonts w:ascii="Times New Roman" w:hAnsi="Times New Roman" w:eastAsia="宋体" w:cs="Times New Roman"/>
                      <w:color w:val="auto"/>
                      <w:szCs w:val="21"/>
                      <w:highlight w:val="none"/>
                    </w:rPr>
                  </w:pPr>
                </w:p>
              </w:tc>
              <w:tc>
                <w:tcPr>
                  <w:tcW w:w="829" w:type="dxa"/>
                  <w:vMerge w:val="continue"/>
                  <w:vAlign w:val="center"/>
                </w:tcPr>
                <w:p>
                  <w:pPr>
                    <w:jc w:val="center"/>
                    <w:rPr>
                      <w:rFonts w:ascii="Times New Roman" w:hAnsi="Times New Roman" w:eastAsia="宋体" w:cs="Times New Roman"/>
                      <w:color w:val="auto"/>
                      <w:szCs w:val="21"/>
                      <w:highlight w:val="none"/>
                    </w:rPr>
                  </w:pPr>
                </w:p>
              </w:tc>
              <w:tc>
                <w:tcPr>
                  <w:tcW w:w="1477"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第</w:t>
                  </w:r>
                  <w:r>
                    <w:rPr>
                      <w:rFonts w:ascii="Times New Roman" w:hAnsi="Times New Roman" w:eastAsia="宋体" w:cs="Times New Roman"/>
                      <w:color w:val="auto"/>
                      <w:szCs w:val="21"/>
                      <w:highlight w:val="none"/>
                    </w:rPr>
                    <w:t>3</w:t>
                  </w:r>
                  <w:r>
                    <w:rPr>
                      <w:rFonts w:hint="eastAsia" w:ascii="Times New Roman" w:hAnsi="Times New Roman" w:eastAsia="宋体" w:cs="Times New Roman"/>
                      <w:color w:val="auto"/>
                      <w:szCs w:val="21"/>
                      <w:highlight w:val="none"/>
                    </w:rPr>
                    <w:t>次</w:t>
                  </w:r>
                </w:p>
              </w:tc>
              <w:tc>
                <w:tcPr>
                  <w:tcW w:w="1701"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.33</w:t>
                  </w:r>
                </w:p>
              </w:tc>
              <w:tc>
                <w:tcPr>
                  <w:tcW w:w="1560"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.43</w:t>
                  </w:r>
                </w:p>
              </w:tc>
              <w:tc>
                <w:tcPr>
                  <w:tcW w:w="1066" w:type="dxa"/>
                  <w:vMerge w:val="continue"/>
                  <w:vAlign w:val="center"/>
                </w:tcPr>
                <w:p>
                  <w:pPr>
                    <w:jc w:val="center"/>
                    <w:rPr>
                      <w:rFonts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8" w:type="dxa"/>
                  <w:vMerge w:val="continue"/>
                  <w:vAlign w:val="center"/>
                </w:tcPr>
                <w:p>
                  <w:pPr>
                    <w:jc w:val="center"/>
                    <w:rPr>
                      <w:rFonts w:ascii="Times New Roman" w:hAnsi="Times New Roman" w:eastAsia="宋体" w:cs="Times New Roman"/>
                      <w:color w:val="auto"/>
                      <w:szCs w:val="21"/>
                      <w:highlight w:val="none"/>
                    </w:rPr>
                  </w:pPr>
                </w:p>
              </w:tc>
              <w:tc>
                <w:tcPr>
                  <w:tcW w:w="829" w:type="dxa"/>
                  <w:vMerge w:val="continue"/>
                  <w:vAlign w:val="center"/>
                </w:tcPr>
                <w:p>
                  <w:pPr>
                    <w:jc w:val="center"/>
                    <w:rPr>
                      <w:rFonts w:ascii="Times New Roman" w:hAnsi="Times New Roman" w:eastAsia="宋体" w:cs="Times New Roman"/>
                      <w:color w:val="auto"/>
                      <w:szCs w:val="21"/>
                      <w:highlight w:val="none"/>
                    </w:rPr>
                  </w:pPr>
                </w:p>
              </w:tc>
              <w:tc>
                <w:tcPr>
                  <w:tcW w:w="1477"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第</w:t>
                  </w:r>
                  <w:r>
                    <w:rPr>
                      <w:rFonts w:ascii="Times New Roman" w:hAnsi="Times New Roman" w:eastAsia="宋体" w:cs="Times New Roman"/>
                      <w:color w:val="auto"/>
                      <w:szCs w:val="21"/>
                      <w:highlight w:val="none"/>
                    </w:rPr>
                    <w:t>4</w:t>
                  </w:r>
                  <w:r>
                    <w:rPr>
                      <w:rFonts w:hint="eastAsia" w:ascii="Times New Roman" w:hAnsi="Times New Roman" w:eastAsia="宋体" w:cs="Times New Roman"/>
                      <w:color w:val="auto"/>
                      <w:szCs w:val="21"/>
                      <w:highlight w:val="none"/>
                    </w:rPr>
                    <w:t>次</w:t>
                  </w:r>
                </w:p>
              </w:tc>
              <w:tc>
                <w:tcPr>
                  <w:tcW w:w="1701"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.34</w:t>
                  </w:r>
                </w:p>
              </w:tc>
              <w:tc>
                <w:tcPr>
                  <w:tcW w:w="1560"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.44</w:t>
                  </w:r>
                </w:p>
              </w:tc>
              <w:tc>
                <w:tcPr>
                  <w:tcW w:w="1066" w:type="dxa"/>
                  <w:vMerge w:val="continue"/>
                  <w:vAlign w:val="center"/>
                </w:tcPr>
                <w:p>
                  <w:pPr>
                    <w:jc w:val="center"/>
                    <w:rPr>
                      <w:rFonts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8" w:type="dxa"/>
                  <w:vMerge w:val="continue"/>
                  <w:vAlign w:val="center"/>
                </w:tcPr>
                <w:p>
                  <w:pPr>
                    <w:jc w:val="center"/>
                    <w:rPr>
                      <w:rFonts w:ascii="Times New Roman" w:hAnsi="Times New Roman" w:eastAsia="宋体" w:cs="Times New Roman"/>
                      <w:color w:val="auto"/>
                      <w:szCs w:val="21"/>
                      <w:highlight w:val="none"/>
                    </w:rPr>
                  </w:pPr>
                </w:p>
              </w:tc>
              <w:tc>
                <w:tcPr>
                  <w:tcW w:w="829" w:type="dxa"/>
                  <w:vMerge w:val="continue"/>
                  <w:vAlign w:val="center"/>
                </w:tcPr>
                <w:p>
                  <w:pPr>
                    <w:jc w:val="center"/>
                    <w:rPr>
                      <w:rFonts w:ascii="Times New Roman" w:hAnsi="Times New Roman" w:eastAsia="宋体" w:cs="Times New Roman"/>
                      <w:color w:val="auto"/>
                      <w:szCs w:val="21"/>
                      <w:highlight w:val="none"/>
                    </w:rPr>
                  </w:pPr>
                </w:p>
              </w:tc>
              <w:tc>
                <w:tcPr>
                  <w:tcW w:w="1477"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浓度最高值</w:t>
                  </w:r>
                </w:p>
              </w:tc>
              <w:tc>
                <w:tcPr>
                  <w:tcW w:w="1701"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.34</w:t>
                  </w:r>
                </w:p>
              </w:tc>
              <w:tc>
                <w:tcPr>
                  <w:tcW w:w="1560"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.44</w:t>
                  </w:r>
                </w:p>
              </w:tc>
              <w:tc>
                <w:tcPr>
                  <w:tcW w:w="1066" w:type="dxa"/>
                  <w:vMerge w:val="continue"/>
                  <w:vAlign w:val="center"/>
                </w:tcPr>
                <w:p>
                  <w:pPr>
                    <w:jc w:val="center"/>
                    <w:rPr>
                      <w:rFonts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8" w:type="dxa"/>
                  <w:vMerge w:val="restart"/>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2</w:t>
                  </w:r>
                  <w:r>
                    <w:rPr>
                      <w:rFonts w:ascii="Times New Roman" w:hAnsi="Times New Roman" w:eastAsia="宋体" w:cs="Times New Roman"/>
                      <w:color w:val="auto"/>
                      <w:szCs w:val="21"/>
                      <w:highlight w:val="none"/>
                    </w:rPr>
                    <w:t>019.09.06</w:t>
                  </w:r>
                </w:p>
              </w:tc>
              <w:tc>
                <w:tcPr>
                  <w:tcW w:w="829" w:type="dxa"/>
                  <w:vMerge w:val="continue"/>
                  <w:vAlign w:val="center"/>
                </w:tcPr>
                <w:p>
                  <w:pPr>
                    <w:jc w:val="center"/>
                    <w:rPr>
                      <w:rFonts w:ascii="Times New Roman" w:hAnsi="Times New Roman" w:eastAsia="宋体" w:cs="Times New Roman"/>
                      <w:color w:val="auto"/>
                      <w:szCs w:val="21"/>
                      <w:highlight w:val="none"/>
                    </w:rPr>
                  </w:pPr>
                </w:p>
              </w:tc>
              <w:tc>
                <w:tcPr>
                  <w:tcW w:w="1477"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第1次</w:t>
                  </w:r>
                </w:p>
              </w:tc>
              <w:tc>
                <w:tcPr>
                  <w:tcW w:w="1701"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.31</w:t>
                  </w:r>
                </w:p>
              </w:tc>
              <w:tc>
                <w:tcPr>
                  <w:tcW w:w="1560"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.46</w:t>
                  </w:r>
                </w:p>
              </w:tc>
              <w:tc>
                <w:tcPr>
                  <w:tcW w:w="1066" w:type="dxa"/>
                  <w:vMerge w:val="continue"/>
                  <w:vAlign w:val="center"/>
                </w:tcPr>
                <w:p>
                  <w:pPr>
                    <w:jc w:val="center"/>
                    <w:rPr>
                      <w:rFonts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8" w:type="dxa"/>
                  <w:vMerge w:val="continue"/>
                  <w:vAlign w:val="center"/>
                </w:tcPr>
                <w:p>
                  <w:pPr>
                    <w:jc w:val="center"/>
                    <w:rPr>
                      <w:rFonts w:ascii="Times New Roman" w:hAnsi="Times New Roman" w:eastAsia="宋体" w:cs="Times New Roman"/>
                      <w:color w:val="auto"/>
                      <w:szCs w:val="21"/>
                      <w:highlight w:val="none"/>
                    </w:rPr>
                  </w:pPr>
                </w:p>
              </w:tc>
              <w:tc>
                <w:tcPr>
                  <w:tcW w:w="829" w:type="dxa"/>
                  <w:vMerge w:val="continue"/>
                  <w:vAlign w:val="center"/>
                </w:tcPr>
                <w:p>
                  <w:pPr>
                    <w:jc w:val="center"/>
                    <w:rPr>
                      <w:rFonts w:ascii="Times New Roman" w:hAnsi="Times New Roman" w:eastAsia="宋体" w:cs="Times New Roman"/>
                      <w:color w:val="auto"/>
                      <w:szCs w:val="21"/>
                      <w:highlight w:val="none"/>
                    </w:rPr>
                  </w:pPr>
                </w:p>
              </w:tc>
              <w:tc>
                <w:tcPr>
                  <w:tcW w:w="1477"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第</w:t>
                  </w:r>
                  <w:r>
                    <w:rPr>
                      <w:rFonts w:ascii="Times New Roman" w:hAnsi="Times New Roman" w:eastAsia="宋体" w:cs="Times New Roman"/>
                      <w:color w:val="auto"/>
                      <w:szCs w:val="21"/>
                      <w:highlight w:val="none"/>
                    </w:rPr>
                    <w:t>2</w:t>
                  </w:r>
                  <w:r>
                    <w:rPr>
                      <w:rFonts w:hint="eastAsia" w:ascii="Times New Roman" w:hAnsi="Times New Roman" w:eastAsia="宋体" w:cs="Times New Roman"/>
                      <w:color w:val="auto"/>
                      <w:szCs w:val="21"/>
                      <w:highlight w:val="none"/>
                    </w:rPr>
                    <w:t>次</w:t>
                  </w:r>
                </w:p>
              </w:tc>
              <w:tc>
                <w:tcPr>
                  <w:tcW w:w="1701"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.33</w:t>
                  </w:r>
                </w:p>
              </w:tc>
              <w:tc>
                <w:tcPr>
                  <w:tcW w:w="1560"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.47</w:t>
                  </w:r>
                </w:p>
              </w:tc>
              <w:tc>
                <w:tcPr>
                  <w:tcW w:w="1066" w:type="dxa"/>
                  <w:vMerge w:val="continue"/>
                  <w:vAlign w:val="center"/>
                </w:tcPr>
                <w:p>
                  <w:pPr>
                    <w:jc w:val="center"/>
                    <w:rPr>
                      <w:rFonts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8" w:type="dxa"/>
                  <w:vMerge w:val="continue"/>
                  <w:vAlign w:val="center"/>
                </w:tcPr>
                <w:p>
                  <w:pPr>
                    <w:jc w:val="center"/>
                    <w:rPr>
                      <w:rFonts w:ascii="Times New Roman" w:hAnsi="Times New Roman" w:eastAsia="宋体" w:cs="Times New Roman"/>
                      <w:color w:val="auto"/>
                      <w:szCs w:val="21"/>
                      <w:highlight w:val="none"/>
                    </w:rPr>
                  </w:pPr>
                </w:p>
              </w:tc>
              <w:tc>
                <w:tcPr>
                  <w:tcW w:w="829" w:type="dxa"/>
                  <w:vMerge w:val="continue"/>
                  <w:vAlign w:val="center"/>
                </w:tcPr>
                <w:p>
                  <w:pPr>
                    <w:jc w:val="center"/>
                    <w:rPr>
                      <w:rFonts w:ascii="Times New Roman" w:hAnsi="Times New Roman" w:eastAsia="宋体" w:cs="Times New Roman"/>
                      <w:color w:val="auto"/>
                      <w:szCs w:val="21"/>
                      <w:highlight w:val="none"/>
                    </w:rPr>
                  </w:pPr>
                </w:p>
              </w:tc>
              <w:tc>
                <w:tcPr>
                  <w:tcW w:w="1477"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第</w:t>
                  </w:r>
                  <w:r>
                    <w:rPr>
                      <w:rFonts w:ascii="Times New Roman" w:hAnsi="Times New Roman" w:eastAsia="宋体" w:cs="Times New Roman"/>
                      <w:color w:val="auto"/>
                      <w:szCs w:val="21"/>
                      <w:highlight w:val="none"/>
                    </w:rPr>
                    <w:t>3</w:t>
                  </w:r>
                  <w:r>
                    <w:rPr>
                      <w:rFonts w:hint="eastAsia" w:ascii="Times New Roman" w:hAnsi="Times New Roman" w:eastAsia="宋体" w:cs="Times New Roman"/>
                      <w:color w:val="auto"/>
                      <w:szCs w:val="21"/>
                      <w:highlight w:val="none"/>
                    </w:rPr>
                    <w:t>次</w:t>
                  </w:r>
                </w:p>
              </w:tc>
              <w:tc>
                <w:tcPr>
                  <w:tcW w:w="1701"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.32</w:t>
                  </w:r>
                </w:p>
              </w:tc>
              <w:tc>
                <w:tcPr>
                  <w:tcW w:w="1560"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.45</w:t>
                  </w:r>
                </w:p>
              </w:tc>
              <w:tc>
                <w:tcPr>
                  <w:tcW w:w="1066" w:type="dxa"/>
                  <w:vMerge w:val="continue"/>
                  <w:vAlign w:val="center"/>
                </w:tcPr>
                <w:p>
                  <w:pPr>
                    <w:jc w:val="center"/>
                    <w:rPr>
                      <w:rFonts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8" w:type="dxa"/>
                  <w:vMerge w:val="continue"/>
                  <w:vAlign w:val="center"/>
                </w:tcPr>
                <w:p>
                  <w:pPr>
                    <w:jc w:val="center"/>
                    <w:rPr>
                      <w:rFonts w:ascii="Times New Roman" w:hAnsi="Times New Roman" w:eastAsia="宋体" w:cs="Times New Roman"/>
                      <w:color w:val="auto"/>
                      <w:szCs w:val="21"/>
                      <w:highlight w:val="none"/>
                    </w:rPr>
                  </w:pPr>
                </w:p>
              </w:tc>
              <w:tc>
                <w:tcPr>
                  <w:tcW w:w="829" w:type="dxa"/>
                  <w:vMerge w:val="continue"/>
                  <w:vAlign w:val="center"/>
                </w:tcPr>
                <w:p>
                  <w:pPr>
                    <w:jc w:val="center"/>
                    <w:rPr>
                      <w:rFonts w:ascii="Times New Roman" w:hAnsi="Times New Roman" w:eastAsia="宋体" w:cs="Times New Roman"/>
                      <w:color w:val="auto"/>
                      <w:szCs w:val="21"/>
                      <w:highlight w:val="none"/>
                    </w:rPr>
                  </w:pPr>
                </w:p>
              </w:tc>
              <w:tc>
                <w:tcPr>
                  <w:tcW w:w="1477"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第</w:t>
                  </w:r>
                  <w:r>
                    <w:rPr>
                      <w:rFonts w:ascii="Times New Roman" w:hAnsi="Times New Roman" w:eastAsia="宋体" w:cs="Times New Roman"/>
                      <w:color w:val="auto"/>
                      <w:szCs w:val="21"/>
                      <w:highlight w:val="none"/>
                    </w:rPr>
                    <w:t>4</w:t>
                  </w:r>
                  <w:r>
                    <w:rPr>
                      <w:rFonts w:hint="eastAsia" w:ascii="Times New Roman" w:hAnsi="Times New Roman" w:eastAsia="宋体" w:cs="Times New Roman"/>
                      <w:color w:val="auto"/>
                      <w:szCs w:val="21"/>
                      <w:highlight w:val="none"/>
                    </w:rPr>
                    <w:t>次</w:t>
                  </w:r>
                </w:p>
              </w:tc>
              <w:tc>
                <w:tcPr>
                  <w:tcW w:w="1701"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.35</w:t>
                  </w:r>
                </w:p>
              </w:tc>
              <w:tc>
                <w:tcPr>
                  <w:tcW w:w="1560"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.48</w:t>
                  </w:r>
                </w:p>
              </w:tc>
              <w:tc>
                <w:tcPr>
                  <w:tcW w:w="1066" w:type="dxa"/>
                  <w:vMerge w:val="continue"/>
                  <w:vAlign w:val="center"/>
                </w:tcPr>
                <w:p>
                  <w:pPr>
                    <w:jc w:val="center"/>
                    <w:rPr>
                      <w:rFonts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8" w:type="dxa"/>
                  <w:vMerge w:val="continue"/>
                  <w:vAlign w:val="center"/>
                </w:tcPr>
                <w:p>
                  <w:pPr>
                    <w:jc w:val="center"/>
                    <w:rPr>
                      <w:rFonts w:ascii="Times New Roman" w:hAnsi="Times New Roman" w:eastAsia="宋体" w:cs="Times New Roman"/>
                      <w:color w:val="auto"/>
                      <w:szCs w:val="21"/>
                      <w:highlight w:val="none"/>
                    </w:rPr>
                  </w:pPr>
                </w:p>
              </w:tc>
              <w:tc>
                <w:tcPr>
                  <w:tcW w:w="829" w:type="dxa"/>
                  <w:vMerge w:val="continue"/>
                  <w:vAlign w:val="center"/>
                </w:tcPr>
                <w:p>
                  <w:pPr>
                    <w:jc w:val="center"/>
                    <w:rPr>
                      <w:rFonts w:ascii="Times New Roman" w:hAnsi="Times New Roman" w:eastAsia="宋体" w:cs="Times New Roman"/>
                      <w:color w:val="auto"/>
                      <w:szCs w:val="21"/>
                      <w:highlight w:val="none"/>
                    </w:rPr>
                  </w:pPr>
                </w:p>
              </w:tc>
              <w:tc>
                <w:tcPr>
                  <w:tcW w:w="1477"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浓度最高值</w:t>
                  </w:r>
                </w:p>
              </w:tc>
              <w:tc>
                <w:tcPr>
                  <w:tcW w:w="1701"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.35</w:t>
                  </w:r>
                </w:p>
              </w:tc>
              <w:tc>
                <w:tcPr>
                  <w:tcW w:w="1560" w:type="dxa"/>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0.48</w:t>
                  </w:r>
                </w:p>
              </w:tc>
              <w:tc>
                <w:tcPr>
                  <w:tcW w:w="1066" w:type="dxa"/>
                  <w:vMerge w:val="continue"/>
                  <w:vAlign w:val="center"/>
                </w:tcPr>
                <w:p>
                  <w:pPr>
                    <w:jc w:val="center"/>
                    <w:rPr>
                      <w:rFonts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8" w:type="dxa"/>
                  <w:vMerge w:val="restart"/>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2</w:t>
                  </w:r>
                  <w:r>
                    <w:rPr>
                      <w:rFonts w:ascii="Times New Roman" w:hAnsi="Times New Roman" w:eastAsia="宋体" w:cs="Times New Roman"/>
                      <w:color w:val="auto"/>
                      <w:szCs w:val="21"/>
                      <w:highlight w:val="none"/>
                    </w:rPr>
                    <w:t>019.09.07</w:t>
                  </w:r>
                </w:p>
              </w:tc>
              <w:tc>
                <w:tcPr>
                  <w:tcW w:w="829" w:type="dxa"/>
                  <w:vMerge w:val="continue"/>
                  <w:vAlign w:val="center"/>
                </w:tcPr>
                <w:p>
                  <w:pPr>
                    <w:jc w:val="center"/>
                    <w:rPr>
                      <w:rFonts w:ascii="Times New Roman" w:hAnsi="Times New Roman" w:eastAsia="宋体" w:cs="Times New Roman"/>
                      <w:color w:val="auto"/>
                      <w:szCs w:val="21"/>
                      <w:highlight w:val="none"/>
                    </w:rPr>
                  </w:pPr>
                </w:p>
              </w:tc>
              <w:tc>
                <w:tcPr>
                  <w:tcW w:w="1477"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第1次</w:t>
                  </w:r>
                </w:p>
              </w:tc>
              <w:tc>
                <w:tcPr>
                  <w:tcW w:w="1701"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.32</w:t>
                  </w:r>
                </w:p>
              </w:tc>
              <w:tc>
                <w:tcPr>
                  <w:tcW w:w="1560"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.43</w:t>
                  </w:r>
                </w:p>
              </w:tc>
              <w:tc>
                <w:tcPr>
                  <w:tcW w:w="1066" w:type="dxa"/>
                  <w:vMerge w:val="continue"/>
                  <w:vAlign w:val="center"/>
                </w:tcPr>
                <w:p>
                  <w:pPr>
                    <w:jc w:val="center"/>
                    <w:rPr>
                      <w:rFonts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8" w:type="dxa"/>
                  <w:vMerge w:val="continue"/>
                  <w:vAlign w:val="center"/>
                </w:tcPr>
                <w:p>
                  <w:pPr>
                    <w:jc w:val="center"/>
                    <w:rPr>
                      <w:rFonts w:ascii="Times New Roman" w:hAnsi="Times New Roman" w:eastAsia="宋体" w:cs="Times New Roman"/>
                      <w:color w:val="auto"/>
                      <w:szCs w:val="21"/>
                      <w:highlight w:val="none"/>
                    </w:rPr>
                  </w:pPr>
                </w:p>
              </w:tc>
              <w:tc>
                <w:tcPr>
                  <w:tcW w:w="829" w:type="dxa"/>
                  <w:vMerge w:val="continue"/>
                  <w:vAlign w:val="center"/>
                </w:tcPr>
                <w:p>
                  <w:pPr>
                    <w:jc w:val="center"/>
                    <w:rPr>
                      <w:rFonts w:ascii="Times New Roman" w:hAnsi="Times New Roman" w:eastAsia="宋体" w:cs="Times New Roman"/>
                      <w:color w:val="auto"/>
                      <w:szCs w:val="21"/>
                      <w:highlight w:val="none"/>
                    </w:rPr>
                  </w:pPr>
                </w:p>
              </w:tc>
              <w:tc>
                <w:tcPr>
                  <w:tcW w:w="1477"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第</w:t>
                  </w:r>
                  <w:r>
                    <w:rPr>
                      <w:rFonts w:ascii="Times New Roman" w:hAnsi="Times New Roman" w:eastAsia="宋体" w:cs="Times New Roman"/>
                      <w:color w:val="auto"/>
                      <w:szCs w:val="21"/>
                      <w:highlight w:val="none"/>
                    </w:rPr>
                    <w:t>2</w:t>
                  </w:r>
                  <w:r>
                    <w:rPr>
                      <w:rFonts w:hint="eastAsia" w:ascii="Times New Roman" w:hAnsi="Times New Roman" w:eastAsia="宋体" w:cs="Times New Roman"/>
                      <w:color w:val="auto"/>
                      <w:szCs w:val="21"/>
                      <w:highlight w:val="none"/>
                    </w:rPr>
                    <w:t>次</w:t>
                  </w:r>
                </w:p>
              </w:tc>
              <w:tc>
                <w:tcPr>
                  <w:tcW w:w="1701"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.33</w:t>
                  </w:r>
                </w:p>
              </w:tc>
              <w:tc>
                <w:tcPr>
                  <w:tcW w:w="1560"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.45</w:t>
                  </w:r>
                </w:p>
              </w:tc>
              <w:tc>
                <w:tcPr>
                  <w:tcW w:w="1066" w:type="dxa"/>
                  <w:vMerge w:val="continue"/>
                  <w:vAlign w:val="center"/>
                </w:tcPr>
                <w:p>
                  <w:pPr>
                    <w:jc w:val="center"/>
                    <w:rPr>
                      <w:rFonts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8" w:type="dxa"/>
                  <w:vMerge w:val="continue"/>
                  <w:vAlign w:val="center"/>
                </w:tcPr>
                <w:p>
                  <w:pPr>
                    <w:jc w:val="center"/>
                    <w:rPr>
                      <w:rFonts w:ascii="Times New Roman" w:hAnsi="Times New Roman" w:eastAsia="宋体" w:cs="Times New Roman"/>
                      <w:color w:val="auto"/>
                      <w:szCs w:val="21"/>
                      <w:highlight w:val="none"/>
                    </w:rPr>
                  </w:pPr>
                </w:p>
              </w:tc>
              <w:tc>
                <w:tcPr>
                  <w:tcW w:w="829" w:type="dxa"/>
                  <w:vMerge w:val="continue"/>
                  <w:vAlign w:val="center"/>
                </w:tcPr>
                <w:p>
                  <w:pPr>
                    <w:jc w:val="center"/>
                    <w:rPr>
                      <w:rFonts w:ascii="Times New Roman" w:hAnsi="Times New Roman" w:eastAsia="宋体" w:cs="Times New Roman"/>
                      <w:color w:val="auto"/>
                      <w:szCs w:val="21"/>
                      <w:highlight w:val="none"/>
                    </w:rPr>
                  </w:pPr>
                </w:p>
              </w:tc>
              <w:tc>
                <w:tcPr>
                  <w:tcW w:w="1477"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第</w:t>
                  </w:r>
                  <w:r>
                    <w:rPr>
                      <w:rFonts w:ascii="Times New Roman" w:hAnsi="Times New Roman" w:eastAsia="宋体" w:cs="Times New Roman"/>
                      <w:color w:val="auto"/>
                      <w:szCs w:val="21"/>
                      <w:highlight w:val="none"/>
                    </w:rPr>
                    <w:t>3</w:t>
                  </w:r>
                  <w:r>
                    <w:rPr>
                      <w:rFonts w:hint="eastAsia" w:ascii="Times New Roman" w:hAnsi="Times New Roman" w:eastAsia="宋体" w:cs="Times New Roman"/>
                      <w:color w:val="auto"/>
                      <w:szCs w:val="21"/>
                      <w:highlight w:val="none"/>
                    </w:rPr>
                    <w:t>次</w:t>
                  </w:r>
                </w:p>
              </w:tc>
              <w:tc>
                <w:tcPr>
                  <w:tcW w:w="1701"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.31</w:t>
                  </w:r>
                </w:p>
              </w:tc>
              <w:tc>
                <w:tcPr>
                  <w:tcW w:w="1560"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.44</w:t>
                  </w:r>
                </w:p>
              </w:tc>
              <w:tc>
                <w:tcPr>
                  <w:tcW w:w="1066" w:type="dxa"/>
                  <w:vMerge w:val="continue"/>
                  <w:vAlign w:val="center"/>
                </w:tcPr>
                <w:p>
                  <w:pPr>
                    <w:jc w:val="center"/>
                    <w:rPr>
                      <w:rFonts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8" w:type="dxa"/>
                  <w:vMerge w:val="continue"/>
                  <w:vAlign w:val="center"/>
                </w:tcPr>
                <w:p>
                  <w:pPr>
                    <w:jc w:val="center"/>
                    <w:rPr>
                      <w:rFonts w:ascii="Times New Roman" w:hAnsi="Times New Roman" w:eastAsia="宋体" w:cs="Times New Roman"/>
                      <w:color w:val="auto"/>
                      <w:szCs w:val="21"/>
                      <w:highlight w:val="none"/>
                    </w:rPr>
                  </w:pPr>
                </w:p>
              </w:tc>
              <w:tc>
                <w:tcPr>
                  <w:tcW w:w="829" w:type="dxa"/>
                  <w:vMerge w:val="continue"/>
                  <w:vAlign w:val="center"/>
                </w:tcPr>
                <w:p>
                  <w:pPr>
                    <w:jc w:val="center"/>
                    <w:rPr>
                      <w:rFonts w:ascii="Times New Roman" w:hAnsi="Times New Roman" w:eastAsia="宋体" w:cs="Times New Roman"/>
                      <w:color w:val="auto"/>
                      <w:szCs w:val="21"/>
                      <w:highlight w:val="none"/>
                    </w:rPr>
                  </w:pPr>
                </w:p>
              </w:tc>
              <w:tc>
                <w:tcPr>
                  <w:tcW w:w="1477"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第</w:t>
                  </w:r>
                  <w:r>
                    <w:rPr>
                      <w:rFonts w:ascii="Times New Roman" w:hAnsi="Times New Roman" w:eastAsia="宋体" w:cs="Times New Roman"/>
                      <w:color w:val="auto"/>
                      <w:szCs w:val="21"/>
                      <w:highlight w:val="none"/>
                    </w:rPr>
                    <w:t>4</w:t>
                  </w:r>
                  <w:r>
                    <w:rPr>
                      <w:rFonts w:hint="eastAsia" w:ascii="Times New Roman" w:hAnsi="Times New Roman" w:eastAsia="宋体" w:cs="Times New Roman"/>
                      <w:color w:val="auto"/>
                      <w:szCs w:val="21"/>
                      <w:highlight w:val="none"/>
                    </w:rPr>
                    <w:t>次</w:t>
                  </w:r>
                </w:p>
              </w:tc>
              <w:tc>
                <w:tcPr>
                  <w:tcW w:w="1701"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.34</w:t>
                  </w:r>
                </w:p>
              </w:tc>
              <w:tc>
                <w:tcPr>
                  <w:tcW w:w="1560"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.42</w:t>
                  </w:r>
                </w:p>
              </w:tc>
              <w:tc>
                <w:tcPr>
                  <w:tcW w:w="1066" w:type="dxa"/>
                  <w:vMerge w:val="continue"/>
                  <w:vAlign w:val="center"/>
                </w:tcPr>
                <w:p>
                  <w:pPr>
                    <w:jc w:val="center"/>
                    <w:rPr>
                      <w:rFonts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8" w:type="dxa"/>
                  <w:vMerge w:val="continue"/>
                  <w:vAlign w:val="center"/>
                </w:tcPr>
                <w:p>
                  <w:pPr>
                    <w:jc w:val="center"/>
                    <w:rPr>
                      <w:rFonts w:ascii="Times New Roman" w:hAnsi="Times New Roman" w:eastAsia="宋体" w:cs="Times New Roman"/>
                      <w:color w:val="auto"/>
                      <w:szCs w:val="21"/>
                      <w:highlight w:val="none"/>
                    </w:rPr>
                  </w:pPr>
                </w:p>
              </w:tc>
              <w:tc>
                <w:tcPr>
                  <w:tcW w:w="829" w:type="dxa"/>
                  <w:vMerge w:val="continue"/>
                  <w:vAlign w:val="center"/>
                </w:tcPr>
                <w:p>
                  <w:pPr>
                    <w:jc w:val="center"/>
                    <w:rPr>
                      <w:rFonts w:ascii="Times New Roman" w:hAnsi="Times New Roman" w:eastAsia="宋体" w:cs="Times New Roman"/>
                      <w:color w:val="auto"/>
                      <w:szCs w:val="21"/>
                      <w:highlight w:val="none"/>
                    </w:rPr>
                  </w:pPr>
                </w:p>
              </w:tc>
              <w:tc>
                <w:tcPr>
                  <w:tcW w:w="1477"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浓度最高值</w:t>
                  </w:r>
                </w:p>
              </w:tc>
              <w:tc>
                <w:tcPr>
                  <w:tcW w:w="1701"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.34</w:t>
                  </w:r>
                </w:p>
              </w:tc>
              <w:tc>
                <w:tcPr>
                  <w:tcW w:w="1560" w:type="dxa"/>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.45</w:t>
                  </w:r>
                </w:p>
              </w:tc>
              <w:tc>
                <w:tcPr>
                  <w:tcW w:w="1066" w:type="dxa"/>
                  <w:vMerge w:val="continue"/>
                  <w:vAlign w:val="center"/>
                </w:tcPr>
                <w:p>
                  <w:pPr>
                    <w:jc w:val="center"/>
                    <w:rPr>
                      <w:rFonts w:ascii="Times New Roman" w:hAnsi="Times New Roman" w:eastAsia="宋体" w:cs="Times New Roman"/>
                      <w:color w:val="auto"/>
                      <w:szCs w:val="21"/>
                      <w:highlight w:val="none"/>
                    </w:rPr>
                  </w:pPr>
                </w:p>
              </w:tc>
            </w:tr>
          </w:tbl>
          <w:p>
            <w:pPr>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根据以上监测结果可知，</w:t>
            </w:r>
            <w:r>
              <w:rPr>
                <w:rFonts w:hint="eastAsia" w:ascii="Times New Roman" w:hAnsi="Times New Roman" w:eastAsia="宋体" w:cs="Times New Roman"/>
                <w:color w:val="auto"/>
                <w:sz w:val="24"/>
                <w:highlight w:val="none"/>
              </w:rPr>
              <w:t>非甲烷总烃</w:t>
            </w:r>
            <w:r>
              <w:rPr>
                <w:rFonts w:ascii="Times New Roman" w:hAnsi="Times New Roman" w:eastAsia="宋体" w:cs="Times New Roman"/>
                <w:color w:val="auto"/>
                <w:sz w:val="24"/>
                <w:highlight w:val="none"/>
              </w:rPr>
              <w:t>浓度达到《</w:t>
            </w:r>
            <w:r>
              <w:rPr>
                <w:rFonts w:hint="eastAsia" w:ascii="Times New Roman" w:hAnsi="Times New Roman" w:eastAsia="宋体" w:cs="Times New Roman"/>
                <w:color w:val="auto"/>
                <w:sz w:val="24"/>
                <w:highlight w:val="none"/>
              </w:rPr>
              <w:t>环境影响评价技术导则-大气环境</w:t>
            </w:r>
            <w:r>
              <w:rPr>
                <w:rFonts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rPr>
              <w:t>H</w:t>
            </w:r>
            <w:r>
              <w:rPr>
                <w:rFonts w:ascii="Times New Roman" w:hAnsi="Times New Roman" w:eastAsia="宋体" w:cs="Times New Roman"/>
                <w:color w:val="auto"/>
                <w:sz w:val="24"/>
                <w:highlight w:val="none"/>
              </w:rPr>
              <w:t>J2.2-2018）</w:t>
            </w:r>
            <w:r>
              <w:rPr>
                <w:rFonts w:hint="eastAsia" w:ascii="Times New Roman" w:hAnsi="Times New Roman" w:eastAsia="宋体" w:cs="Times New Roman"/>
                <w:color w:val="auto"/>
                <w:sz w:val="24"/>
                <w:highlight w:val="none"/>
              </w:rPr>
              <w:t>附录D表D</w:t>
            </w:r>
            <w:r>
              <w:rPr>
                <w:rFonts w:ascii="Times New Roman" w:hAnsi="Times New Roman" w:eastAsia="宋体" w:cs="Times New Roman"/>
                <w:color w:val="auto"/>
                <w:sz w:val="24"/>
                <w:highlight w:val="none"/>
              </w:rPr>
              <w:t>.1</w:t>
            </w:r>
            <w:r>
              <w:rPr>
                <w:rFonts w:hint="eastAsia" w:ascii="Times New Roman" w:hAnsi="Times New Roman" w:eastAsia="宋体" w:cs="Times New Roman"/>
                <w:color w:val="auto"/>
                <w:sz w:val="24"/>
                <w:highlight w:val="none"/>
              </w:rPr>
              <w:t>中T</w:t>
            </w:r>
            <w:r>
              <w:rPr>
                <w:rFonts w:ascii="Times New Roman" w:hAnsi="Times New Roman" w:eastAsia="宋体" w:cs="Times New Roman"/>
                <w:color w:val="auto"/>
                <w:sz w:val="24"/>
                <w:highlight w:val="none"/>
              </w:rPr>
              <w:t>VOC</w:t>
            </w:r>
            <w:r>
              <w:rPr>
                <w:rFonts w:hint="eastAsia" w:ascii="Times New Roman" w:hAnsi="Times New Roman" w:eastAsia="宋体" w:cs="Times New Roman"/>
                <w:color w:val="auto"/>
                <w:sz w:val="24"/>
                <w:highlight w:val="none"/>
              </w:rPr>
              <w:t>参考限值</w:t>
            </w:r>
            <w:r>
              <w:rPr>
                <w:rFonts w:ascii="Times New Roman" w:hAnsi="Times New Roman" w:eastAsia="宋体" w:cs="Times New Roman"/>
                <w:color w:val="auto"/>
                <w:sz w:val="24"/>
                <w:highlight w:val="none"/>
              </w:rPr>
              <w:t>，表明项目所在地环境空气质量良好。</w:t>
            </w:r>
          </w:p>
          <w:p>
            <w:pPr>
              <w:pStyle w:val="10"/>
              <w:spacing w:line="360" w:lineRule="auto"/>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二、地表水环境质量现状</w:t>
            </w:r>
          </w:p>
          <w:p>
            <w:pPr>
              <w:spacing w:line="360" w:lineRule="auto"/>
              <w:ind w:firstLine="480" w:firstLineChars="200"/>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项目镇海水执行国家执行《地表水环境质量标准》（GB3838-2002）III 类标准。本次评价引用开平市东南纸箱有限公司的《开平市东南纸箱有限公司建设项目》环评报告于</w:t>
            </w:r>
            <w:r>
              <w:rPr>
                <w:rFonts w:ascii="Times New Roman" w:hAnsi="Times New Roman" w:cs="Times New Roman"/>
                <w:color w:val="auto"/>
                <w:sz w:val="24"/>
                <w:highlight w:val="none"/>
              </w:rPr>
              <w:t>2019年6月5日</w:t>
            </w:r>
            <w:r>
              <w:rPr>
                <w:rFonts w:ascii="Times New Roman" w:hAnsi="Times New Roman" w:eastAsia="宋体" w:cs="Times New Roman"/>
                <w:bCs/>
                <w:color w:val="auto"/>
                <w:sz w:val="24"/>
                <w:highlight w:val="none"/>
              </w:rPr>
              <w:t>委托</w:t>
            </w:r>
            <w:r>
              <w:rPr>
                <w:rFonts w:ascii="Times New Roman" w:hAnsi="Times New Roman" w:cs="Times New Roman"/>
                <w:color w:val="auto"/>
                <w:sz w:val="24"/>
                <w:highlight w:val="none"/>
              </w:rPr>
              <w:t>广东恒畅环保节能检测科技有限公司</w:t>
            </w:r>
            <w:r>
              <w:rPr>
                <w:rFonts w:ascii="Times New Roman" w:hAnsi="Times New Roman" w:eastAsia="宋体" w:cs="Times New Roman"/>
                <w:bCs/>
                <w:color w:val="auto"/>
                <w:sz w:val="24"/>
                <w:highlight w:val="none"/>
              </w:rPr>
              <w:t>对开平市镇海水上游500m（W1）、排污口下游1500m（W2）进行水质监测的监测数据，监测数据如下表。</w:t>
            </w:r>
          </w:p>
          <w:p>
            <w:pPr>
              <w:spacing w:line="276" w:lineRule="auto"/>
              <w:jc w:val="center"/>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表</w:t>
            </w:r>
            <w:r>
              <w:rPr>
                <w:rFonts w:hint="eastAsia" w:ascii="Times New Roman" w:hAnsi="Times New Roman" w:eastAsia="宋体" w:cs="Times New Roman"/>
                <w:b/>
                <w:color w:val="auto"/>
                <w:sz w:val="24"/>
                <w:highlight w:val="none"/>
              </w:rPr>
              <w:t>3-</w:t>
            </w:r>
            <w:r>
              <w:rPr>
                <w:rFonts w:ascii="Times New Roman" w:hAnsi="Times New Roman" w:eastAsia="宋体" w:cs="Times New Roman"/>
                <w:b/>
                <w:color w:val="auto"/>
                <w:sz w:val="24"/>
                <w:highlight w:val="none"/>
              </w:rPr>
              <w:t>4水质监测数据污染指数一览表</w:t>
            </w:r>
          </w:p>
          <w:tbl>
            <w:tblPr>
              <w:tblStyle w:val="22"/>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50"/>
              <w:gridCol w:w="1426"/>
              <w:gridCol w:w="834"/>
              <w:gridCol w:w="744"/>
              <w:gridCol w:w="770"/>
              <w:gridCol w:w="741"/>
              <w:gridCol w:w="875"/>
              <w:gridCol w:w="959"/>
              <w:gridCol w:w="9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50" w:type="dxa"/>
                  <w:tcBorders>
                    <w:tl2br w:val="nil"/>
                    <w:tr2bl w:val="nil"/>
                  </w:tcBorders>
                  <w:vAlign w:val="center"/>
                </w:tcPr>
                <w:p>
                  <w:pPr>
                    <w:overflowPunct w:val="0"/>
                    <w:adjustRightInd w:val="0"/>
                    <w:snapToGrid w:val="0"/>
                    <w:jc w:val="center"/>
                    <w:rPr>
                      <w:rFonts w:ascii="Times New Roman" w:hAnsi="Times New Roman" w:cs="Times New Roman"/>
                      <w:b/>
                      <w:color w:val="auto"/>
                      <w:spacing w:val="-20"/>
                      <w:kern w:val="0"/>
                      <w:szCs w:val="21"/>
                      <w:highlight w:val="none"/>
                    </w:rPr>
                  </w:pPr>
                  <w:r>
                    <w:rPr>
                      <w:rFonts w:ascii="Times New Roman" w:hAnsi="Times New Roman" w:cs="Times New Roman"/>
                      <w:b/>
                      <w:color w:val="auto"/>
                      <w:spacing w:val="-20"/>
                      <w:kern w:val="0"/>
                      <w:szCs w:val="21"/>
                      <w:highlight w:val="none"/>
                    </w:rPr>
                    <w:t>监测日期</w:t>
                  </w:r>
                </w:p>
              </w:tc>
              <w:tc>
                <w:tcPr>
                  <w:tcW w:w="1426" w:type="dxa"/>
                  <w:tcBorders>
                    <w:tl2br w:val="nil"/>
                    <w:tr2bl w:val="nil"/>
                  </w:tcBorders>
                  <w:vAlign w:val="center"/>
                </w:tcPr>
                <w:p>
                  <w:pPr>
                    <w:overflowPunct w:val="0"/>
                    <w:adjustRightInd w:val="0"/>
                    <w:snapToGrid w:val="0"/>
                    <w:jc w:val="center"/>
                    <w:rPr>
                      <w:rFonts w:ascii="Times New Roman" w:hAnsi="Times New Roman" w:cs="Times New Roman"/>
                      <w:b/>
                      <w:color w:val="auto"/>
                      <w:spacing w:val="-20"/>
                      <w:kern w:val="0"/>
                      <w:szCs w:val="21"/>
                      <w:highlight w:val="none"/>
                    </w:rPr>
                  </w:pPr>
                  <w:r>
                    <w:rPr>
                      <w:rFonts w:ascii="Times New Roman" w:hAnsi="Times New Roman" w:cs="Times New Roman"/>
                      <w:b/>
                      <w:color w:val="auto"/>
                      <w:spacing w:val="-20"/>
                      <w:kern w:val="0"/>
                      <w:szCs w:val="21"/>
                      <w:highlight w:val="none"/>
                    </w:rPr>
                    <w:t>采样断面</w:t>
                  </w:r>
                </w:p>
              </w:tc>
              <w:tc>
                <w:tcPr>
                  <w:tcW w:w="834" w:type="dxa"/>
                  <w:tcBorders>
                    <w:tl2br w:val="nil"/>
                    <w:tr2bl w:val="nil"/>
                  </w:tcBorders>
                  <w:vAlign w:val="center"/>
                </w:tcPr>
                <w:p>
                  <w:pPr>
                    <w:overflowPunct w:val="0"/>
                    <w:adjustRightInd w:val="0"/>
                    <w:snapToGrid w:val="0"/>
                    <w:jc w:val="center"/>
                    <w:rPr>
                      <w:rFonts w:ascii="Times New Roman" w:hAnsi="Times New Roman" w:cs="Times New Roman"/>
                      <w:b/>
                      <w:color w:val="auto"/>
                      <w:spacing w:val="-20"/>
                      <w:kern w:val="0"/>
                      <w:szCs w:val="21"/>
                      <w:highlight w:val="none"/>
                    </w:rPr>
                  </w:pPr>
                  <w:r>
                    <w:rPr>
                      <w:rFonts w:ascii="Times New Roman" w:hAnsi="Times New Roman" w:cs="Times New Roman"/>
                      <w:b/>
                      <w:color w:val="auto"/>
                      <w:spacing w:val="-20"/>
                      <w:kern w:val="0"/>
                      <w:szCs w:val="21"/>
                      <w:highlight w:val="none"/>
                    </w:rPr>
                    <w:t>pH</w:t>
                  </w:r>
                </w:p>
              </w:tc>
              <w:tc>
                <w:tcPr>
                  <w:tcW w:w="744" w:type="dxa"/>
                  <w:tcBorders>
                    <w:tl2br w:val="nil"/>
                    <w:tr2bl w:val="nil"/>
                  </w:tcBorders>
                  <w:vAlign w:val="center"/>
                </w:tcPr>
                <w:p>
                  <w:pPr>
                    <w:overflowPunct w:val="0"/>
                    <w:adjustRightInd w:val="0"/>
                    <w:snapToGrid w:val="0"/>
                    <w:jc w:val="center"/>
                    <w:rPr>
                      <w:rFonts w:ascii="Times New Roman" w:hAnsi="Times New Roman" w:cs="Times New Roman"/>
                      <w:b/>
                      <w:color w:val="auto"/>
                      <w:spacing w:val="-20"/>
                      <w:kern w:val="0"/>
                      <w:szCs w:val="21"/>
                      <w:highlight w:val="none"/>
                    </w:rPr>
                  </w:pPr>
                  <w:r>
                    <w:rPr>
                      <w:rFonts w:ascii="Times New Roman" w:hAnsi="Times New Roman" w:cs="Times New Roman"/>
                      <w:b/>
                      <w:color w:val="auto"/>
                      <w:spacing w:val="-20"/>
                      <w:kern w:val="0"/>
                      <w:szCs w:val="21"/>
                      <w:highlight w:val="none"/>
                    </w:rPr>
                    <w:t>DO</w:t>
                  </w:r>
                </w:p>
              </w:tc>
              <w:tc>
                <w:tcPr>
                  <w:tcW w:w="770" w:type="dxa"/>
                  <w:tcBorders>
                    <w:tl2br w:val="nil"/>
                    <w:tr2bl w:val="nil"/>
                  </w:tcBorders>
                  <w:vAlign w:val="center"/>
                </w:tcPr>
                <w:p>
                  <w:pPr>
                    <w:overflowPunct w:val="0"/>
                    <w:adjustRightInd w:val="0"/>
                    <w:snapToGrid w:val="0"/>
                    <w:jc w:val="center"/>
                    <w:rPr>
                      <w:rFonts w:ascii="Times New Roman" w:hAnsi="Times New Roman" w:cs="Times New Roman"/>
                      <w:b/>
                      <w:color w:val="auto"/>
                      <w:spacing w:val="-20"/>
                      <w:kern w:val="0"/>
                      <w:szCs w:val="21"/>
                      <w:highlight w:val="none"/>
                    </w:rPr>
                  </w:pPr>
                  <w:r>
                    <w:rPr>
                      <w:rFonts w:ascii="Times New Roman" w:hAnsi="Times New Roman" w:cs="Times New Roman"/>
                      <w:b/>
                      <w:color w:val="auto"/>
                      <w:spacing w:val="-20"/>
                      <w:kern w:val="0"/>
                      <w:szCs w:val="21"/>
                      <w:highlight w:val="none"/>
                    </w:rPr>
                    <w:t>CODcr</w:t>
                  </w:r>
                </w:p>
              </w:tc>
              <w:tc>
                <w:tcPr>
                  <w:tcW w:w="741" w:type="dxa"/>
                  <w:tcBorders>
                    <w:tl2br w:val="nil"/>
                    <w:tr2bl w:val="nil"/>
                  </w:tcBorders>
                  <w:vAlign w:val="center"/>
                </w:tcPr>
                <w:p>
                  <w:pPr>
                    <w:overflowPunct w:val="0"/>
                    <w:adjustRightInd w:val="0"/>
                    <w:snapToGrid w:val="0"/>
                    <w:jc w:val="center"/>
                    <w:rPr>
                      <w:rFonts w:ascii="Times New Roman" w:hAnsi="Times New Roman" w:cs="Times New Roman"/>
                      <w:b/>
                      <w:color w:val="auto"/>
                      <w:spacing w:val="-20"/>
                      <w:kern w:val="0"/>
                      <w:szCs w:val="21"/>
                      <w:highlight w:val="none"/>
                    </w:rPr>
                  </w:pPr>
                  <w:r>
                    <w:rPr>
                      <w:rFonts w:ascii="Times New Roman" w:hAnsi="Times New Roman" w:cs="Times New Roman"/>
                      <w:b/>
                      <w:color w:val="auto"/>
                      <w:spacing w:val="-20"/>
                      <w:kern w:val="0"/>
                      <w:szCs w:val="21"/>
                      <w:highlight w:val="none"/>
                    </w:rPr>
                    <w:t>BOD</w:t>
                  </w:r>
                  <w:r>
                    <w:rPr>
                      <w:rFonts w:ascii="Times New Roman" w:hAnsi="Times New Roman" w:cs="Times New Roman"/>
                      <w:b/>
                      <w:color w:val="auto"/>
                      <w:spacing w:val="-20"/>
                      <w:kern w:val="0"/>
                      <w:szCs w:val="21"/>
                      <w:highlight w:val="none"/>
                      <w:vertAlign w:val="subscript"/>
                    </w:rPr>
                    <w:t>5</w:t>
                  </w:r>
                </w:p>
              </w:tc>
              <w:tc>
                <w:tcPr>
                  <w:tcW w:w="875" w:type="dxa"/>
                  <w:tcBorders>
                    <w:tl2br w:val="nil"/>
                    <w:tr2bl w:val="nil"/>
                  </w:tcBorders>
                  <w:vAlign w:val="center"/>
                </w:tcPr>
                <w:p>
                  <w:pPr>
                    <w:overflowPunct w:val="0"/>
                    <w:adjustRightInd w:val="0"/>
                    <w:snapToGrid w:val="0"/>
                    <w:jc w:val="center"/>
                    <w:rPr>
                      <w:rFonts w:ascii="Times New Roman" w:hAnsi="Times New Roman" w:cs="Times New Roman"/>
                      <w:b/>
                      <w:color w:val="auto"/>
                      <w:spacing w:val="-20"/>
                      <w:kern w:val="0"/>
                      <w:szCs w:val="21"/>
                      <w:highlight w:val="none"/>
                    </w:rPr>
                  </w:pPr>
                  <w:r>
                    <w:rPr>
                      <w:rFonts w:ascii="Times New Roman" w:hAnsi="Times New Roman" w:cs="Times New Roman"/>
                      <w:b/>
                      <w:color w:val="auto"/>
                      <w:spacing w:val="-20"/>
                      <w:kern w:val="0"/>
                      <w:szCs w:val="21"/>
                      <w:highlight w:val="none"/>
                    </w:rPr>
                    <w:t>氨氮</w:t>
                  </w:r>
                </w:p>
              </w:tc>
              <w:tc>
                <w:tcPr>
                  <w:tcW w:w="959" w:type="dxa"/>
                  <w:tcBorders>
                    <w:tl2br w:val="nil"/>
                    <w:tr2bl w:val="nil"/>
                  </w:tcBorders>
                  <w:vAlign w:val="center"/>
                </w:tcPr>
                <w:p>
                  <w:pPr>
                    <w:overflowPunct w:val="0"/>
                    <w:adjustRightInd w:val="0"/>
                    <w:snapToGrid w:val="0"/>
                    <w:jc w:val="center"/>
                    <w:rPr>
                      <w:rFonts w:ascii="Times New Roman" w:hAnsi="Times New Roman" w:cs="Times New Roman"/>
                      <w:b/>
                      <w:color w:val="auto"/>
                      <w:spacing w:val="-20"/>
                      <w:kern w:val="0"/>
                      <w:szCs w:val="21"/>
                      <w:highlight w:val="none"/>
                    </w:rPr>
                  </w:pPr>
                  <w:r>
                    <w:rPr>
                      <w:rFonts w:ascii="Times New Roman" w:hAnsi="Times New Roman" w:cs="Times New Roman"/>
                      <w:b/>
                      <w:color w:val="auto"/>
                      <w:spacing w:val="-20"/>
                      <w:kern w:val="0"/>
                      <w:szCs w:val="21"/>
                      <w:highlight w:val="none"/>
                    </w:rPr>
                    <w:t>总磷</w:t>
                  </w:r>
                </w:p>
              </w:tc>
              <w:tc>
                <w:tcPr>
                  <w:tcW w:w="977" w:type="dxa"/>
                  <w:tcBorders>
                    <w:tl2br w:val="nil"/>
                    <w:tr2bl w:val="nil"/>
                  </w:tcBorders>
                  <w:vAlign w:val="center"/>
                </w:tcPr>
                <w:p>
                  <w:pPr>
                    <w:overflowPunct w:val="0"/>
                    <w:adjustRightInd w:val="0"/>
                    <w:snapToGrid w:val="0"/>
                    <w:jc w:val="center"/>
                    <w:rPr>
                      <w:rFonts w:ascii="Times New Roman" w:hAnsi="Times New Roman" w:cs="Times New Roman"/>
                      <w:b/>
                      <w:color w:val="auto"/>
                      <w:spacing w:val="-20"/>
                      <w:kern w:val="0"/>
                      <w:szCs w:val="21"/>
                      <w:highlight w:val="none"/>
                    </w:rPr>
                  </w:pPr>
                  <w:r>
                    <w:rPr>
                      <w:rFonts w:ascii="Times New Roman" w:hAnsi="Times New Roman" w:cs="Times New Roman"/>
                      <w:b/>
                      <w:color w:val="auto"/>
                      <w:spacing w:val="-20"/>
                      <w:kern w:val="0"/>
                      <w:szCs w:val="21"/>
                      <w:highlight w:val="none"/>
                    </w:rPr>
                    <w:t>SS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50" w:type="dxa"/>
                  <w:vMerge w:val="restart"/>
                  <w:tcBorders>
                    <w:tl2br w:val="nil"/>
                    <w:tr2bl w:val="nil"/>
                  </w:tcBorders>
                  <w:vAlign w:val="center"/>
                </w:tcPr>
                <w:p>
                  <w:pPr>
                    <w:overflowPunct w:val="0"/>
                    <w:adjustRightInd w:val="0"/>
                    <w:snapToGrid w:val="0"/>
                    <w:jc w:val="center"/>
                    <w:rPr>
                      <w:rFonts w:ascii="Times New Roman" w:hAnsi="Times New Roman" w:cs="Times New Roman"/>
                      <w:bCs/>
                      <w:color w:val="auto"/>
                      <w:spacing w:val="-20"/>
                      <w:kern w:val="0"/>
                      <w:szCs w:val="21"/>
                      <w:highlight w:val="none"/>
                    </w:rPr>
                  </w:pPr>
                  <w:r>
                    <w:rPr>
                      <w:rFonts w:ascii="Times New Roman" w:hAnsi="Times New Roman" w:cs="Times New Roman"/>
                      <w:bCs/>
                      <w:color w:val="auto"/>
                      <w:spacing w:val="-20"/>
                      <w:kern w:val="0"/>
                      <w:szCs w:val="21"/>
                      <w:highlight w:val="none"/>
                    </w:rPr>
                    <w:t>2019年6月5日</w:t>
                  </w:r>
                </w:p>
              </w:tc>
              <w:tc>
                <w:tcPr>
                  <w:tcW w:w="1426" w:type="dxa"/>
                  <w:tcBorders>
                    <w:tl2br w:val="nil"/>
                    <w:tr2bl w:val="nil"/>
                  </w:tcBorders>
                  <w:vAlign w:val="center"/>
                </w:tcPr>
                <w:p>
                  <w:pPr>
                    <w:overflowPunct w:val="0"/>
                    <w:adjustRightInd w:val="0"/>
                    <w:snapToGrid w:val="0"/>
                    <w:jc w:val="center"/>
                    <w:rPr>
                      <w:rFonts w:ascii="Times New Roman" w:hAnsi="Times New Roman" w:cs="Times New Roman"/>
                      <w:bCs/>
                      <w:color w:val="auto"/>
                      <w:spacing w:val="-20"/>
                      <w:kern w:val="0"/>
                      <w:szCs w:val="21"/>
                      <w:highlight w:val="none"/>
                    </w:rPr>
                  </w:pPr>
                  <w:r>
                    <w:rPr>
                      <w:rFonts w:ascii="Times New Roman" w:hAnsi="Times New Roman" w:cs="Times New Roman"/>
                      <w:bCs/>
                      <w:color w:val="auto"/>
                      <w:spacing w:val="-20"/>
                      <w:kern w:val="0"/>
                      <w:szCs w:val="21"/>
                      <w:highlight w:val="none"/>
                    </w:rPr>
                    <w:t>排污口上游500mW1</w:t>
                  </w:r>
                </w:p>
              </w:tc>
              <w:tc>
                <w:tcPr>
                  <w:tcW w:w="834" w:type="dxa"/>
                  <w:tcBorders>
                    <w:tl2br w:val="nil"/>
                    <w:tr2bl w:val="nil"/>
                  </w:tcBorders>
                  <w:vAlign w:val="center"/>
                </w:tcPr>
                <w:p>
                  <w:pPr>
                    <w:overflowPunct w:val="0"/>
                    <w:adjustRightInd w:val="0"/>
                    <w:snapToGrid w:val="0"/>
                    <w:jc w:val="center"/>
                    <w:rPr>
                      <w:rFonts w:ascii="Times New Roman" w:hAnsi="Times New Roman" w:eastAsia="宋体" w:cs="Times New Roman"/>
                      <w:bCs/>
                      <w:color w:val="auto"/>
                      <w:spacing w:val="-20"/>
                      <w:kern w:val="0"/>
                      <w:szCs w:val="21"/>
                      <w:highlight w:val="none"/>
                    </w:rPr>
                  </w:pPr>
                  <w:r>
                    <w:rPr>
                      <w:rFonts w:ascii="Times New Roman" w:hAnsi="Times New Roman" w:cs="Times New Roman"/>
                      <w:bCs/>
                      <w:color w:val="auto"/>
                      <w:spacing w:val="-20"/>
                      <w:kern w:val="0"/>
                      <w:szCs w:val="21"/>
                      <w:highlight w:val="none"/>
                    </w:rPr>
                    <w:t>6.57</w:t>
                  </w:r>
                </w:p>
              </w:tc>
              <w:tc>
                <w:tcPr>
                  <w:tcW w:w="744" w:type="dxa"/>
                  <w:tcBorders>
                    <w:tl2br w:val="nil"/>
                    <w:tr2bl w:val="nil"/>
                  </w:tcBorders>
                  <w:vAlign w:val="center"/>
                </w:tcPr>
                <w:p>
                  <w:pPr>
                    <w:overflowPunct w:val="0"/>
                    <w:adjustRightInd w:val="0"/>
                    <w:snapToGrid w:val="0"/>
                    <w:jc w:val="center"/>
                    <w:rPr>
                      <w:rFonts w:ascii="Times New Roman" w:hAnsi="Times New Roman" w:eastAsia="宋体" w:cs="Times New Roman"/>
                      <w:bCs/>
                      <w:color w:val="auto"/>
                      <w:spacing w:val="-20"/>
                      <w:kern w:val="0"/>
                      <w:szCs w:val="21"/>
                      <w:highlight w:val="none"/>
                    </w:rPr>
                  </w:pPr>
                  <w:r>
                    <w:rPr>
                      <w:rFonts w:ascii="Times New Roman" w:hAnsi="Times New Roman" w:cs="Times New Roman"/>
                      <w:bCs/>
                      <w:color w:val="auto"/>
                      <w:spacing w:val="-20"/>
                      <w:kern w:val="0"/>
                      <w:szCs w:val="21"/>
                      <w:highlight w:val="none"/>
                    </w:rPr>
                    <w:t>6.0</w:t>
                  </w:r>
                </w:p>
              </w:tc>
              <w:tc>
                <w:tcPr>
                  <w:tcW w:w="770" w:type="dxa"/>
                  <w:tcBorders>
                    <w:tl2br w:val="nil"/>
                    <w:tr2bl w:val="nil"/>
                  </w:tcBorders>
                  <w:vAlign w:val="center"/>
                </w:tcPr>
                <w:p>
                  <w:pPr>
                    <w:overflowPunct w:val="0"/>
                    <w:adjustRightInd w:val="0"/>
                    <w:snapToGrid w:val="0"/>
                    <w:jc w:val="center"/>
                    <w:rPr>
                      <w:rFonts w:ascii="Times New Roman" w:hAnsi="Times New Roman" w:eastAsia="宋体" w:cs="Times New Roman"/>
                      <w:bCs/>
                      <w:color w:val="auto"/>
                      <w:spacing w:val="-20"/>
                      <w:kern w:val="0"/>
                      <w:szCs w:val="21"/>
                      <w:highlight w:val="none"/>
                    </w:rPr>
                  </w:pPr>
                  <w:r>
                    <w:rPr>
                      <w:rFonts w:ascii="Times New Roman" w:hAnsi="Times New Roman" w:cs="Times New Roman"/>
                      <w:bCs/>
                      <w:color w:val="auto"/>
                      <w:spacing w:val="-20"/>
                      <w:kern w:val="0"/>
                      <w:szCs w:val="21"/>
                      <w:highlight w:val="none"/>
                    </w:rPr>
                    <w:t>12</w:t>
                  </w:r>
                </w:p>
              </w:tc>
              <w:tc>
                <w:tcPr>
                  <w:tcW w:w="741" w:type="dxa"/>
                  <w:tcBorders>
                    <w:tl2br w:val="nil"/>
                    <w:tr2bl w:val="nil"/>
                  </w:tcBorders>
                  <w:vAlign w:val="center"/>
                </w:tcPr>
                <w:p>
                  <w:pPr>
                    <w:overflowPunct w:val="0"/>
                    <w:adjustRightInd w:val="0"/>
                    <w:snapToGrid w:val="0"/>
                    <w:jc w:val="center"/>
                    <w:rPr>
                      <w:rFonts w:ascii="Times New Roman" w:hAnsi="Times New Roman" w:eastAsia="宋体" w:cs="Times New Roman"/>
                      <w:bCs/>
                      <w:color w:val="auto"/>
                      <w:spacing w:val="-20"/>
                      <w:kern w:val="0"/>
                      <w:szCs w:val="21"/>
                      <w:highlight w:val="none"/>
                    </w:rPr>
                  </w:pPr>
                  <w:r>
                    <w:rPr>
                      <w:rFonts w:ascii="Times New Roman" w:hAnsi="Times New Roman" w:cs="Times New Roman"/>
                      <w:bCs/>
                      <w:color w:val="auto"/>
                      <w:spacing w:val="-20"/>
                      <w:kern w:val="0"/>
                      <w:szCs w:val="21"/>
                      <w:highlight w:val="none"/>
                    </w:rPr>
                    <w:t>3.2</w:t>
                  </w:r>
                </w:p>
              </w:tc>
              <w:tc>
                <w:tcPr>
                  <w:tcW w:w="875" w:type="dxa"/>
                  <w:tcBorders>
                    <w:tl2br w:val="nil"/>
                    <w:tr2bl w:val="nil"/>
                  </w:tcBorders>
                  <w:vAlign w:val="center"/>
                </w:tcPr>
                <w:p>
                  <w:pPr>
                    <w:overflowPunct w:val="0"/>
                    <w:adjustRightInd w:val="0"/>
                    <w:snapToGrid w:val="0"/>
                    <w:jc w:val="center"/>
                    <w:rPr>
                      <w:rFonts w:ascii="Times New Roman" w:hAnsi="Times New Roman" w:eastAsia="宋体" w:cs="Times New Roman"/>
                      <w:bCs/>
                      <w:color w:val="auto"/>
                      <w:spacing w:val="-20"/>
                      <w:kern w:val="0"/>
                      <w:szCs w:val="21"/>
                      <w:highlight w:val="none"/>
                    </w:rPr>
                  </w:pPr>
                  <w:r>
                    <w:rPr>
                      <w:rFonts w:ascii="Times New Roman" w:hAnsi="Times New Roman" w:cs="Times New Roman"/>
                      <w:bCs/>
                      <w:color w:val="auto"/>
                      <w:spacing w:val="-20"/>
                      <w:kern w:val="0"/>
                      <w:szCs w:val="21"/>
                      <w:highlight w:val="none"/>
                    </w:rPr>
                    <w:t>0.202</w:t>
                  </w:r>
                </w:p>
              </w:tc>
              <w:tc>
                <w:tcPr>
                  <w:tcW w:w="959" w:type="dxa"/>
                  <w:tcBorders>
                    <w:tl2br w:val="nil"/>
                    <w:tr2bl w:val="nil"/>
                  </w:tcBorders>
                  <w:vAlign w:val="center"/>
                </w:tcPr>
                <w:p>
                  <w:pPr>
                    <w:overflowPunct w:val="0"/>
                    <w:adjustRightInd w:val="0"/>
                    <w:snapToGrid w:val="0"/>
                    <w:jc w:val="center"/>
                    <w:rPr>
                      <w:rFonts w:ascii="Times New Roman" w:hAnsi="Times New Roman" w:eastAsia="宋体" w:cs="Times New Roman"/>
                      <w:bCs/>
                      <w:color w:val="auto"/>
                      <w:spacing w:val="-20"/>
                      <w:kern w:val="0"/>
                      <w:szCs w:val="21"/>
                      <w:highlight w:val="none"/>
                    </w:rPr>
                  </w:pPr>
                  <w:r>
                    <w:rPr>
                      <w:rFonts w:ascii="Times New Roman" w:hAnsi="Times New Roman" w:cs="Times New Roman"/>
                      <w:bCs/>
                      <w:color w:val="auto"/>
                      <w:spacing w:val="-20"/>
                      <w:kern w:val="0"/>
                      <w:szCs w:val="21"/>
                      <w:highlight w:val="none"/>
                    </w:rPr>
                    <w:t>0.008</w:t>
                  </w:r>
                </w:p>
              </w:tc>
              <w:tc>
                <w:tcPr>
                  <w:tcW w:w="977" w:type="dxa"/>
                  <w:tcBorders>
                    <w:tl2br w:val="nil"/>
                    <w:tr2bl w:val="nil"/>
                  </w:tcBorders>
                  <w:vAlign w:val="center"/>
                </w:tcPr>
                <w:p>
                  <w:pPr>
                    <w:overflowPunct w:val="0"/>
                    <w:adjustRightInd w:val="0"/>
                    <w:snapToGrid w:val="0"/>
                    <w:jc w:val="center"/>
                    <w:rPr>
                      <w:rFonts w:ascii="Times New Roman" w:hAnsi="Times New Roman" w:eastAsia="宋体" w:cs="Times New Roman"/>
                      <w:bCs/>
                      <w:color w:val="auto"/>
                      <w:spacing w:val="-20"/>
                      <w:kern w:val="0"/>
                      <w:szCs w:val="21"/>
                      <w:highlight w:val="none"/>
                    </w:rPr>
                  </w:pPr>
                  <w:r>
                    <w:rPr>
                      <w:rFonts w:ascii="Times New Roman" w:hAnsi="Times New Roman" w:cs="Times New Roman"/>
                      <w:bCs/>
                      <w:color w:val="auto"/>
                      <w:spacing w:val="-20"/>
                      <w:kern w:val="0"/>
                      <w:szCs w:val="21"/>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50" w:type="dxa"/>
                  <w:vMerge w:val="continue"/>
                  <w:tcBorders>
                    <w:tl2br w:val="nil"/>
                    <w:tr2bl w:val="nil"/>
                  </w:tcBorders>
                  <w:vAlign w:val="center"/>
                </w:tcPr>
                <w:p>
                  <w:pPr>
                    <w:overflowPunct w:val="0"/>
                    <w:adjustRightInd w:val="0"/>
                    <w:snapToGrid w:val="0"/>
                    <w:jc w:val="center"/>
                    <w:rPr>
                      <w:rFonts w:ascii="Times New Roman" w:hAnsi="Times New Roman" w:cs="Times New Roman"/>
                      <w:bCs/>
                      <w:color w:val="auto"/>
                      <w:spacing w:val="-20"/>
                      <w:kern w:val="0"/>
                      <w:szCs w:val="21"/>
                      <w:highlight w:val="none"/>
                    </w:rPr>
                  </w:pPr>
                </w:p>
              </w:tc>
              <w:tc>
                <w:tcPr>
                  <w:tcW w:w="1426" w:type="dxa"/>
                  <w:tcBorders>
                    <w:tl2br w:val="nil"/>
                    <w:tr2bl w:val="nil"/>
                  </w:tcBorders>
                  <w:vAlign w:val="center"/>
                </w:tcPr>
                <w:p>
                  <w:pPr>
                    <w:overflowPunct w:val="0"/>
                    <w:adjustRightInd w:val="0"/>
                    <w:snapToGrid w:val="0"/>
                    <w:jc w:val="center"/>
                    <w:rPr>
                      <w:rFonts w:ascii="Times New Roman" w:hAnsi="Times New Roman" w:eastAsia="宋体" w:cs="Times New Roman"/>
                      <w:bCs/>
                      <w:color w:val="auto"/>
                      <w:spacing w:val="-20"/>
                      <w:kern w:val="0"/>
                      <w:szCs w:val="21"/>
                      <w:highlight w:val="none"/>
                    </w:rPr>
                  </w:pPr>
                  <w:r>
                    <w:rPr>
                      <w:rFonts w:ascii="Times New Roman" w:hAnsi="Times New Roman" w:cs="Times New Roman"/>
                      <w:bCs/>
                      <w:color w:val="auto"/>
                      <w:spacing w:val="-20"/>
                      <w:kern w:val="0"/>
                      <w:szCs w:val="21"/>
                      <w:highlight w:val="none"/>
                    </w:rPr>
                    <w:t>排污口下游1500mW2</w:t>
                  </w:r>
                </w:p>
              </w:tc>
              <w:tc>
                <w:tcPr>
                  <w:tcW w:w="834" w:type="dxa"/>
                  <w:tcBorders>
                    <w:tl2br w:val="nil"/>
                    <w:tr2bl w:val="nil"/>
                  </w:tcBorders>
                  <w:vAlign w:val="center"/>
                </w:tcPr>
                <w:p>
                  <w:pPr>
                    <w:overflowPunct w:val="0"/>
                    <w:adjustRightInd w:val="0"/>
                    <w:snapToGrid w:val="0"/>
                    <w:jc w:val="center"/>
                    <w:rPr>
                      <w:rFonts w:ascii="Times New Roman" w:hAnsi="Times New Roman" w:eastAsia="宋体" w:cs="Times New Roman"/>
                      <w:bCs/>
                      <w:color w:val="auto"/>
                      <w:spacing w:val="-20"/>
                      <w:kern w:val="0"/>
                      <w:szCs w:val="21"/>
                      <w:highlight w:val="none"/>
                    </w:rPr>
                  </w:pPr>
                  <w:r>
                    <w:rPr>
                      <w:rFonts w:ascii="Times New Roman" w:hAnsi="Times New Roman" w:cs="Times New Roman"/>
                      <w:bCs/>
                      <w:color w:val="auto"/>
                      <w:spacing w:val="-20"/>
                      <w:kern w:val="0"/>
                      <w:szCs w:val="21"/>
                      <w:highlight w:val="none"/>
                    </w:rPr>
                    <w:t>6.84</w:t>
                  </w:r>
                </w:p>
              </w:tc>
              <w:tc>
                <w:tcPr>
                  <w:tcW w:w="744" w:type="dxa"/>
                  <w:tcBorders>
                    <w:tl2br w:val="nil"/>
                    <w:tr2bl w:val="nil"/>
                  </w:tcBorders>
                  <w:vAlign w:val="center"/>
                </w:tcPr>
                <w:p>
                  <w:pPr>
                    <w:overflowPunct w:val="0"/>
                    <w:adjustRightInd w:val="0"/>
                    <w:snapToGrid w:val="0"/>
                    <w:jc w:val="center"/>
                    <w:rPr>
                      <w:rFonts w:ascii="Times New Roman" w:hAnsi="Times New Roman" w:eastAsia="宋体" w:cs="Times New Roman"/>
                      <w:bCs/>
                      <w:color w:val="auto"/>
                      <w:spacing w:val="-20"/>
                      <w:kern w:val="0"/>
                      <w:szCs w:val="21"/>
                      <w:highlight w:val="none"/>
                    </w:rPr>
                  </w:pPr>
                  <w:r>
                    <w:rPr>
                      <w:rFonts w:ascii="Times New Roman" w:hAnsi="Times New Roman" w:cs="Times New Roman"/>
                      <w:bCs/>
                      <w:color w:val="auto"/>
                      <w:spacing w:val="-20"/>
                      <w:kern w:val="0"/>
                      <w:szCs w:val="21"/>
                      <w:highlight w:val="none"/>
                    </w:rPr>
                    <w:t>5.7</w:t>
                  </w:r>
                </w:p>
              </w:tc>
              <w:tc>
                <w:tcPr>
                  <w:tcW w:w="770" w:type="dxa"/>
                  <w:tcBorders>
                    <w:tl2br w:val="nil"/>
                    <w:tr2bl w:val="nil"/>
                  </w:tcBorders>
                  <w:vAlign w:val="center"/>
                </w:tcPr>
                <w:p>
                  <w:pPr>
                    <w:overflowPunct w:val="0"/>
                    <w:adjustRightInd w:val="0"/>
                    <w:snapToGrid w:val="0"/>
                    <w:jc w:val="center"/>
                    <w:rPr>
                      <w:rFonts w:ascii="Times New Roman" w:hAnsi="Times New Roman" w:eastAsia="宋体" w:cs="Times New Roman"/>
                      <w:bCs/>
                      <w:color w:val="auto"/>
                      <w:spacing w:val="-20"/>
                      <w:kern w:val="0"/>
                      <w:szCs w:val="21"/>
                      <w:highlight w:val="none"/>
                    </w:rPr>
                  </w:pPr>
                  <w:r>
                    <w:rPr>
                      <w:rFonts w:ascii="Times New Roman" w:hAnsi="Times New Roman" w:cs="Times New Roman"/>
                      <w:bCs/>
                      <w:color w:val="auto"/>
                      <w:spacing w:val="-20"/>
                      <w:kern w:val="0"/>
                      <w:szCs w:val="21"/>
                      <w:highlight w:val="none"/>
                    </w:rPr>
                    <w:t>17</w:t>
                  </w:r>
                </w:p>
              </w:tc>
              <w:tc>
                <w:tcPr>
                  <w:tcW w:w="741" w:type="dxa"/>
                  <w:tcBorders>
                    <w:tl2br w:val="nil"/>
                    <w:tr2bl w:val="nil"/>
                  </w:tcBorders>
                  <w:vAlign w:val="center"/>
                </w:tcPr>
                <w:p>
                  <w:pPr>
                    <w:overflowPunct w:val="0"/>
                    <w:adjustRightInd w:val="0"/>
                    <w:snapToGrid w:val="0"/>
                    <w:jc w:val="center"/>
                    <w:rPr>
                      <w:rFonts w:ascii="Times New Roman" w:hAnsi="Times New Roman" w:eastAsia="宋体" w:cs="Times New Roman"/>
                      <w:bCs/>
                      <w:color w:val="auto"/>
                      <w:spacing w:val="-20"/>
                      <w:kern w:val="0"/>
                      <w:szCs w:val="21"/>
                      <w:highlight w:val="none"/>
                    </w:rPr>
                  </w:pPr>
                  <w:r>
                    <w:rPr>
                      <w:rFonts w:ascii="Times New Roman" w:hAnsi="Times New Roman" w:cs="Times New Roman"/>
                      <w:bCs/>
                      <w:color w:val="auto"/>
                      <w:spacing w:val="-20"/>
                      <w:kern w:val="0"/>
                      <w:szCs w:val="21"/>
                      <w:highlight w:val="none"/>
                    </w:rPr>
                    <w:t>3.5</w:t>
                  </w:r>
                </w:p>
              </w:tc>
              <w:tc>
                <w:tcPr>
                  <w:tcW w:w="875" w:type="dxa"/>
                  <w:tcBorders>
                    <w:tl2br w:val="nil"/>
                    <w:tr2bl w:val="nil"/>
                  </w:tcBorders>
                  <w:vAlign w:val="center"/>
                </w:tcPr>
                <w:p>
                  <w:pPr>
                    <w:overflowPunct w:val="0"/>
                    <w:adjustRightInd w:val="0"/>
                    <w:snapToGrid w:val="0"/>
                    <w:jc w:val="center"/>
                    <w:rPr>
                      <w:rFonts w:ascii="Times New Roman" w:hAnsi="Times New Roman" w:eastAsia="宋体" w:cs="Times New Roman"/>
                      <w:bCs/>
                      <w:color w:val="auto"/>
                      <w:spacing w:val="-20"/>
                      <w:kern w:val="0"/>
                      <w:szCs w:val="21"/>
                      <w:highlight w:val="none"/>
                    </w:rPr>
                  </w:pPr>
                  <w:r>
                    <w:rPr>
                      <w:rFonts w:ascii="Times New Roman" w:hAnsi="Times New Roman" w:cs="Times New Roman"/>
                      <w:bCs/>
                      <w:color w:val="auto"/>
                      <w:spacing w:val="-20"/>
                      <w:kern w:val="0"/>
                      <w:szCs w:val="21"/>
                      <w:highlight w:val="none"/>
                    </w:rPr>
                    <w:t>0.688</w:t>
                  </w:r>
                </w:p>
              </w:tc>
              <w:tc>
                <w:tcPr>
                  <w:tcW w:w="959" w:type="dxa"/>
                  <w:tcBorders>
                    <w:tl2br w:val="nil"/>
                    <w:tr2bl w:val="nil"/>
                  </w:tcBorders>
                  <w:vAlign w:val="center"/>
                </w:tcPr>
                <w:p>
                  <w:pPr>
                    <w:overflowPunct w:val="0"/>
                    <w:adjustRightInd w:val="0"/>
                    <w:snapToGrid w:val="0"/>
                    <w:jc w:val="center"/>
                    <w:rPr>
                      <w:rFonts w:ascii="Times New Roman" w:hAnsi="Times New Roman" w:eastAsia="宋体" w:cs="Times New Roman"/>
                      <w:bCs/>
                      <w:color w:val="auto"/>
                      <w:spacing w:val="-20"/>
                      <w:kern w:val="0"/>
                      <w:szCs w:val="21"/>
                      <w:highlight w:val="none"/>
                    </w:rPr>
                  </w:pPr>
                  <w:r>
                    <w:rPr>
                      <w:rFonts w:ascii="Times New Roman" w:hAnsi="Times New Roman" w:cs="Times New Roman"/>
                      <w:bCs/>
                      <w:color w:val="auto"/>
                      <w:spacing w:val="-20"/>
                      <w:kern w:val="0"/>
                      <w:szCs w:val="21"/>
                      <w:highlight w:val="none"/>
                    </w:rPr>
                    <w:t>0.14</w:t>
                  </w:r>
                </w:p>
              </w:tc>
              <w:tc>
                <w:tcPr>
                  <w:tcW w:w="977" w:type="dxa"/>
                  <w:tcBorders>
                    <w:tl2br w:val="nil"/>
                    <w:tr2bl w:val="nil"/>
                  </w:tcBorders>
                  <w:vAlign w:val="center"/>
                </w:tcPr>
                <w:p>
                  <w:pPr>
                    <w:overflowPunct w:val="0"/>
                    <w:adjustRightInd w:val="0"/>
                    <w:snapToGrid w:val="0"/>
                    <w:jc w:val="center"/>
                    <w:rPr>
                      <w:rFonts w:ascii="Times New Roman" w:hAnsi="Times New Roman" w:eastAsia="宋体" w:cs="Times New Roman"/>
                      <w:bCs/>
                      <w:color w:val="auto"/>
                      <w:spacing w:val="-20"/>
                      <w:kern w:val="0"/>
                      <w:szCs w:val="21"/>
                      <w:highlight w:val="none"/>
                    </w:rPr>
                  </w:pPr>
                  <w:r>
                    <w:rPr>
                      <w:rFonts w:ascii="Times New Roman" w:hAnsi="Times New Roman" w:cs="Times New Roman"/>
                      <w:bCs/>
                      <w:color w:val="auto"/>
                      <w:spacing w:val="-20"/>
                      <w:kern w:val="0"/>
                      <w:szCs w:val="21"/>
                      <w:highlight w:val="none"/>
                    </w:rPr>
                    <w:t>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376" w:type="dxa"/>
                  <w:gridSpan w:val="2"/>
                  <w:tcBorders>
                    <w:tl2br w:val="nil"/>
                    <w:tr2bl w:val="nil"/>
                  </w:tcBorders>
                  <w:vAlign w:val="center"/>
                </w:tcPr>
                <w:p>
                  <w:pPr>
                    <w:overflowPunct w:val="0"/>
                    <w:adjustRightInd w:val="0"/>
                    <w:snapToGrid w:val="0"/>
                    <w:jc w:val="center"/>
                    <w:rPr>
                      <w:rFonts w:ascii="Times New Roman" w:hAnsi="Times New Roman" w:cs="Times New Roman"/>
                      <w:bCs/>
                      <w:color w:val="auto"/>
                      <w:spacing w:val="-20"/>
                      <w:kern w:val="0"/>
                      <w:szCs w:val="21"/>
                      <w:highlight w:val="none"/>
                    </w:rPr>
                  </w:pPr>
                  <w:r>
                    <w:rPr>
                      <w:rFonts w:ascii="Times New Roman" w:hAnsi="Times New Roman" w:cs="Times New Roman"/>
                      <w:bCs/>
                      <w:color w:val="auto"/>
                      <w:spacing w:val="-20"/>
                      <w:kern w:val="0"/>
                      <w:szCs w:val="21"/>
                      <w:highlight w:val="none"/>
                    </w:rPr>
                    <w:t>Ⅲ类标准</w:t>
                  </w:r>
                </w:p>
              </w:tc>
              <w:tc>
                <w:tcPr>
                  <w:tcW w:w="834" w:type="dxa"/>
                  <w:tcBorders>
                    <w:tl2br w:val="nil"/>
                    <w:tr2bl w:val="nil"/>
                  </w:tcBorders>
                  <w:vAlign w:val="center"/>
                </w:tcPr>
                <w:p>
                  <w:pPr>
                    <w:overflowPunct w:val="0"/>
                    <w:adjustRightInd w:val="0"/>
                    <w:snapToGrid w:val="0"/>
                    <w:jc w:val="center"/>
                    <w:rPr>
                      <w:rFonts w:ascii="Times New Roman" w:hAnsi="Times New Roman" w:cs="Times New Roman"/>
                      <w:bCs/>
                      <w:color w:val="auto"/>
                      <w:spacing w:val="-20"/>
                      <w:kern w:val="0"/>
                      <w:szCs w:val="21"/>
                      <w:highlight w:val="none"/>
                    </w:rPr>
                  </w:pPr>
                  <w:r>
                    <w:rPr>
                      <w:rFonts w:ascii="Times New Roman" w:hAnsi="Times New Roman" w:cs="Times New Roman"/>
                      <w:bCs/>
                      <w:color w:val="auto"/>
                      <w:spacing w:val="-20"/>
                      <w:kern w:val="0"/>
                      <w:szCs w:val="21"/>
                      <w:highlight w:val="none"/>
                    </w:rPr>
                    <w:t>6-9</w:t>
                  </w:r>
                </w:p>
              </w:tc>
              <w:tc>
                <w:tcPr>
                  <w:tcW w:w="744" w:type="dxa"/>
                  <w:tcBorders>
                    <w:tl2br w:val="nil"/>
                    <w:tr2bl w:val="nil"/>
                  </w:tcBorders>
                  <w:vAlign w:val="center"/>
                </w:tcPr>
                <w:p>
                  <w:pPr>
                    <w:overflowPunct w:val="0"/>
                    <w:adjustRightInd w:val="0"/>
                    <w:snapToGrid w:val="0"/>
                    <w:jc w:val="center"/>
                    <w:rPr>
                      <w:rFonts w:ascii="Times New Roman" w:hAnsi="Times New Roman" w:cs="Times New Roman"/>
                      <w:bCs/>
                      <w:color w:val="auto"/>
                      <w:spacing w:val="-20"/>
                      <w:kern w:val="0"/>
                      <w:szCs w:val="21"/>
                      <w:highlight w:val="none"/>
                    </w:rPr>
                  </w:pPr>
                  <w:r>
                    <w:rPr>
                      <w:rFonts w:ascii="Times New Roman" w:hAnsi="Times New Roman" w:cs="Times New Roman"/>
                      <w:bCs/>
                      <w:color w:val="auto"/>
                      <w:spacing w:val="-20"/>
                      <w:kern w:val="0"/>
                      <w:szCs w:val="21"/>
                      <w:highlight w:val="none"/>
                    </w:rPr>
                    <w:t>≥5</w:t>
                  </w:r>
                </w:p>
              </w:tc>
              <w:tc>
                <w:tcPr>
                  <w:tcW w:w="770" w:type="dxa"/>
                  <w:tcBorders>
                    <w:tl2br w:val="nil"/>
                    <w:tr2bl w:val="nil"/>
                  </w:tcBorders>
                  <w:vAlign w:val="center"/>
                </w:tcPr>
                <w:p>
                  <w:pPr>
                    <w:overflowPunct w:val="0"/>
                    <w:adjustRightInd w:val="0"/>
                    <w:snapToGrid w:val="0"/>
                    <w:jc w:val="center"/>
                    <w:rPr>
                      <w:rFonts w:ascii="Times New Roman" w:hAnsi="Times New Roman" w:cs="Times New Roman"/>
                      <w:bCs/>
                      <w:color w:val="auto"/>
                      <w:spacing w:val="-20"/>
                      <w:kern w:val="0"/>
                      <w:szCs w:val="21"/>
                      <w:highlight w:val="none"/>
                    </w:rPr>
                  </w:pPr>
                  <w:r>
                    <w:rPr>
                      <w:rFonts w:ascii="Times New Roman" w:hAnsi="Times New Roman" w:cs="Times New Roman"/>
                      <w:bCs/>
                      <w:color w:val="auto"/>
                      <w:spacing w:val="-20"/>
                      <w:kern w:val="0"/>
                      <w:szCs w:val="21"/>
                      <w:highlight w:val="none"/>
                    </w:rPr>
                    <w:t>≤20</w:t>
                  </w:r>
                </w:p>
              </w:tc>
              <w:tc>
                <w:tcPr>
                  <w:tcW w:w="741" w:type="dxa"/>
                  <w:tcBorders>
                    <w:tl2br w:val="nil"/>
                    <w:tr2bl w:val="nil"/>
                  </w:tcBorders>
                  <w:vAlign w:val="center"/>
                </w:tcPr>
                <w:p>
                  <w:pPr>
                    <w:overflowPunct w:val="0"/>
                    <w:adjustRightInd w:val="0"/>
                    <w:snapToGrid w:val="0"/>
                    <w:jc w:val="center"/>
                    <w:rPr>
                      <w:rFonts w:ascii="Times New Roman" w:hAnsi="Times New Roman" w:cs="Times New Roman"/>
                      <w:bCs/>
                      <w:color w:val="auto"/>
                      <w:spacing w:val="-20"/>
                      <w:kern w:val="0"/>
                      <w:szCs w:val="21"/>
                      <w:highlight w:val="none"/>
                    </w:rPr>
                  </w:pPr>
                  <w:r>
                    <w:rPr>
                      <w:rFonts w:ascii="Times New Roman" w:hAnsi="Times New Roman" w:cs="Times New Roman"/>
                      <w:bCs/>
                      <w:color w:val="auto"/>
                      <w:spacing w:val="-20"/>
                      <w:kern w:val="0"/>
                      <w:szCs w:val="21"/>
                      <w:highlight w:val="none"/>
                    </w:rPr>
                    <w:t>≤4</w:t>
                  </w:r>
                </w:p>
              </w:tc>
              <w:tc>
                <w:tcPr>
                  <w:tcW w:w="875" w:type="dxa"/>
                  <w:tcBorders>
                    <w:tl2br w:val="nil"/>
                    <w:tr2bl w:val="nil"/>
                  </w:tcBorders>
                  <w:vAlign w:val="center"/>
                </w:tcPr>
                <w:p>
                  <w:pPr>
                    <w:overflowPunct w:val="0"/>
                    <w:adjustRightInd w:val="0"/>
                    <w:snapToGrid w:val="0"/>
                    <w:jc w:val="center"/>
                    <w:rPr>
                      <w:rFonts w:ascii="Times New Roman" w:hAnsi="Times New Roman" w:cs="Times New Roman"/>
                      <w:bCs/>
                      <w:color w:val="auto"/>
                      <w:spacing w:val="-20"/>
                      <w:kern w:val="0"/>
                      <w:szCs w:val="21"/>
                      <w:highlight w:val="none"/>
                    </w:rPr>
                  </w:pPr>
                  <w:r>
                    <w:rPr>
                      <w:rFonts w:ascii="Times New Roman" w:hAnsi="Times New Roman" w:cs="Times New Roman"/>
                      <w:bCs/>
                      <w:color w:val="auto"/>
                      <w:spacing w:val="-20"/>
                      <w:kern w:val="0"/>
                      <w:szCs w:val="21"/>
                      <w:highlight w:val="none"/>
                    </w:rPr>
                    <w:t>≤1.0</w:t>
                  </w:r>
                </w:p>
              </w:tc>
              <w:tc>
                <w:tcPr>
                  <w:tcW w:w="959" w:type="dxa"/>
                  <w:tcBorders>
                    <w:tl2br w:val="nil"/>
                    <w:tr2bl w:val="nil"/>
                  </w:tcBorders>
                  <w:vAlign w:val="center"/>
                </w:tcPr>
                <w:p>
                  <w:pPr>
                    <w:overflowPunct w:val="0"/>
                    <w:adjustRightInd w:val="0"/>
                    <w:snapToGrid w:val="0"/>
                    <w:jc w:val="center"/>
                    <w:rPr>
                      <w:rFonts w:ascii="Times New Roman" w:hAnsi="Times New Roman" w:cs="Times New Roman"/>
                      <w:bCs/>
                      <w:color w:val="auto"/>
                      <w:spacing w:val="-20"/>
                      <w:kern w:val="0"/>
                      <w:szCs w:val="21"/>
                      <w:highlight w:val="none"/>
                    </w:rPr>
                  </w:pPr>
                  <w:r>
                    <w:rPr>
                      <w:rFonts w:ascii="Times New Roman" w:hAnsi="Times New Roman" w:cs="Times New Roman"/>
                      <w:bCs/>
                      <w:color w:val="auto"/>
                      <w:spacing w:val="-20"/>
                      <w:kern w:val="0"/>
                      <w:szCs w:val="21"/>
                      <w:highlight w:val="none"/>
                    </w:rPr>
                    <w:t>≤0.2</w:t>
                  </w:r>
                </w:p>
              </w:tc>
              <w:tc>
                <w:tcPr>
                  <w:tcW w:w="977" w:type="dxa"/>
                  <w:tcBorders>
                    <w:tl2br w:val="nil"/>
                    <w:tr2bl w:val="nil"/>
                  </w:tcBorders>
                  <w:vAlign w:val="center"/>
                </w:tcPr>
                <w:p>
                  <w:pPr>
                    <w:overflowPunct w:val="0"/>
                    <w:adjustRightInd w:val="0"/>
                    <w:snapToGrid w:val="0"/>
                    <w:jc w:val="center"/>
                    <w:rPr>
                      <w:rFonts w:ascii="Times New Roman" w:hAnsi="Times New Roman" w:cs="Times New Roman"/>
                      <w:bCs/>
                      <w:color w:val="auto"/>
                      <w:spacing w:val="-20"/>
                      <w:kern w:val="0"/>
                      <w:szCs w:val="21"/>
                      <w:highlight w:val="none"/>
                    </w:rPr>
                  </w:pPr>
                  <w:r>
                    <w:rPr>
                      <w:rFonts w:ascii="Times New Roman" w:hAnsi="Times New Roman" w:cs="Times New Roman"/>
                      <w:bCs/>
                      <w:color w:val="auto"/>
                      <w:spacing w:val="-20"/>
                      <w:kern w:val="0"/>
                      <w:szCs w:val="21"/>
                      <w:highlight w:val="none"/>
                    </w:rPr>
                    <w:t>--</w:t>
                  </w:r>
                </w:p>
              </w:tc>
            </w:tr>
          </w:tbl>
          <w:p>
            <w:pPr>
              <w:pStyle w:val="24"/>
              <w:jc w:val="both"/>
              <w:rPr>
                <w:rFonts w:ascii="Times New Roman" w:hAnsi="Times New Roman" w:cs="Times New Roman"/>
                <w:color w:val="auto"/>
                <w:highlight w:val="none"/>
              </w:rPr>
            </w:pPr>
          </w:p>
          <w:p>
            <w:pPr>
              <w:adjustRightInd w:val="0"/>
              <w:snapToGrid w:val="0"/>
              <w:spacing w:line="360" w:lineRule="auto"/>
              <w:ind w:firstLine="480" w:firstLineChars="200"/>
              <w:rPr>
                <w:rFonts w:ascii="Times New Roman" w:hAnsi="Times New Roman" w:cs="Times New Roman"/>
                <w:b/>
                <w:bCs/>
                <w:color w:val="auto"/>
                <w:sz w:val="24"/>
                <w:highlight w:val="none"/>
              </w:rPr>
            </w:pPr>
            <w:r>
              <w:rPr>
                <w:rFonts w:ascii="Times New Roman" w:hAnsi="Times New Roman" w:cs="Times New Roman"/>
                <w:color w:val="auto"/>
                <w:sz w:val="24"/>
                <w:highlight w:val="none"/>
              </w:rPr>
              <w:t>由上表可见，在监测期间镇海水 W1、W2监测断面监测数据均达到《地表水环境质量标准》（GB3838-2002）的Ⅲ类标准的要求，评价河段镇海水水质较好。</w:t>
            </w:r>
          </w:p>
          <w:p>
            <w:pPr>
              <w:pStyle w:val="10"/>
              <w:spacing w:line="360" w:lineRule="auto"/>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三 、声环境质量现状</w:t>
            </w:r>
          </w:p>
          <w:p>
            <w:pPr>
              <w:spacing w:line="360" w:lineRule="auto"/>
              <w:ind w:firstLine="496"/>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本项目位于开平市长沙区金章大道12号5幢之二，该项目所在地属3类区。本项目环境噪声标准执行《声环境质量标准》(GB3096-2008)的3类标准[即昼间≤65dB(A)、夜间≤55dB(A)]。为了解本项目周围声环境现状，广东恒畅环保节能检测科技有限公司于2019年5月29日-30日对项目用地四周边界进行声环境质量现状监测。共布设4个环境噪声测点对项目所在地进行监测。监测结果见下表</w:t>
            </w:r>
            <w:r>
              <w:rPr>
                <w:rFonts w:hint="eastAsia" w:ascii="Times New Roman" w:hAnsi="Times New Roman" w:eastAsia="宋体" w:cs="Times New Roman"/>
                <w:color w:val="auto"/>
                <w:sz w:val="24"/>
                <w:highlight w:val="none"/>
              </w:rPr>
              <w:t>3-</w:t>
            </w:r>
            <w:r>
              <w:rPr>
                <w:rFonts w:ascii="Times New Roman" w:hAnsi="Times New Roman" w:eastAsia="宋体" w:cs="Times New Roman"/>
                <w:color w:val="auto"/>
                <w:sz w:val="24"/>
                <w:highlight w:val="none"/>
              </w:rPr>
              <w:t>5。</w:t>
            </w:r>
          </w:p>
          <w:p>
            <w:pPr>
              <w:pStyle w:val="33"/>
              <w:spacing w:line="360" w:lineRule="auto"/>
              <w:rPr>
                <w:color w:val="auto"/>
                <w:highlight w:val="none"/>
              </w:rPr>
            </w:pPr>
            <w:r>
              <w:rPr>
                <w:b/>
                <w:bCs/>
                <w:color w:val="auto"/>
                <w:highlight w:val="none"/>
              </w:rPr>
              <w:t>表</w:t>
            </w:r>
            <w:r>
              <w:rPr>
                <w:rFonts w:hint="eastAsia"/>
                <w:b/>
                <w:bCs/>
                <w:color w:val="auto"/>
                <w:highlight w:val="none"/>
              </w:rPr>
              <w:t>3-</w:t>
            </w:r>
            <w:r>
              <w:rPr>
                <w:b/>
                <w:bCs/>
                <w:color w:val="auto"/>
                <w:highlight w:val="none"/>
              </w:rPr>
              <w:t>5 环境噪声现状监测结果统计表（单位：dB(A)）</w:t>
            </w:r>
          </w:p>
          <w:tbl>
            <w:tblPr>
              <w:tblStyle w:val="22"/>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87"/>
              <w:gridCol w:w="1620"/>
              <w:gridCol w:w="1102"/>
              <w:gridCol w:w="1218"/>
              <w:gridCol w:w="1195"/>
              <w:gridCol w:w="11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87" w:type="dxa"/>
                  <w:vMerge w:val="restart"/>
                  <w:tcBorders>
                    <w:tl2br w:val="nil"/>
                    <w:tr2bl w:val="nil"/>
                  </w:tcBorders>
                  <w:vAlign w:val="center"/>
                </w:tcPr>
                <w:p>
                  <w:pPr>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监测点</w:t>
                  </w:r>
                </w:p>
              </w:tc>
              <w:tc>
                <w:tcPr>
                  <w:tcW w:w="1620" w:type="dxa"/>
                  <w:vMerge w:val="restart"/>
                  <w:tcBorders>
                    <w:tl2br w:val="nil"/>
                    <w:tr2bl w:val="nil"/>
                  </w:tcBorders>
                  <w:vAlign w:val="center"/>
                </w:tcPr>
                <w:p>
                  <w:pPr>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监测日期</w:t>
                  </w:r>
                </w:p>
              </w:tc>
              <w:tc>
                <w:tcPr>
                  <w:tcW w:w="2320" w:type="dxa"/>
                  <w:gridSpan w:val="2"/>
                  <w:tcBorders>
                    <w:tl2br w:val="nil"/>
                    <w:tr2bl w:val="nil"/>
                  </w:tcBorders>
                  <w:vAlign w:val="center"/>
                </w:tcPr>
                <w:p>
                  <w:pPr>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昼间</w:t>
                  </w:r>
                </w:p>
              </w:tc>
              <w:tc>
                <w:tcPr>
                  <w:tcW w:w="2349" w:type="dxa"/>
                  <w:gridSpan w:val="2"/>
                  <w:tcBorders>
                    <w:tl2br w:val="nil"/>
                    <w:tr2bl w:val="nil"/>
                  </w:tcBorders>
                  <w:vAlign w:val="center"/>
                </w:tcPr>
                <w:p>
                  <w:pPr>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87" w:type="dxa"/>
                  <w:vMerge w:val="continue"/>
                  <w:tcBorders>
                    <w:tl2br w:val="nil"/>
                    <w:tr2bl w:val="nil"/>
                  </w:tcBorders>
                  <w:vAlign w:val="center"/>
                </w:tcPr>
                <w:p>
                  <w:pPr>
                    <w:jc w:val="center"/>
                    <w:rPr>
                      <w:rFonts w:ascii="Times New Roman" w:hAnsi="Times New Roman" w:cs="Times New Roman"/>
                      <w:b/>
                      <w:color w:val="auto"/>
                      <w:szCs w:val="21"/>
                      <w:highlight w:val="none"/>
                    </w:rPr>
                  </w:pPr>
                </w:p>
              </w:tc>
              <w:tc>
                <w:tcPr>
                  <w:tcW w:w="1620" w:type="dxa"/>
                  <w:vMerge w:val="continue"/>
                  <w:tcBorders>
                    <w:tl2br w:val="nil"/>
                    <w:tr2bl w:val="nil"/>
                  </w:tcBorders>
                  <w:vAlign w:val="center"/>
                </w:tcPr>
                <w:p>
                  <w:pPr>
                    <w:jc w:val="center"/>
                    <w:rPr>
                      <w:rFonts w:ascii="Times New Roman" w:hAnsi="Times New Roman" w:cs="Times New Roman"/>
                      <w:b/>
                      <w:color w:val="auto"/>
                      <w:szCs w:val="21"/>
                      <w:highlight w:val="none"/>
                    </w:rPr>
                  </w:pPr>
                </w:p>
              </w:tc>
              <w:tc>
                <w:tcPr>
                  <w:tcW w:w="1102" w:type="dxa"/>
                  <w:tcBorders>
                    <w:tl2br w:val="nil"/>
                    <w:tr2bl w:val="nil"/>
                  </w:tcBorders>
                  <w:vAlign w:val="center"/>
                </w:tcPr>
                <w:p>
                  <w:pPr>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监测值</w:t>
                  </w:r>
                </w:p>
              </w:tc>
              <w:tc>
                <w:tcPr>
                  <w:tcW w:w="1218" w:type="dxa"/>
                  <w:tcBorders>
                    <w:tl2br w:val="nil"/>
                    <w:tr2bl w:val="nil"/>
                  </w:tcBorders>
                  <w:vAlign w:val="center"/>
                </w:tcPr>
                <w:p>
                  <w:pPr>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标准值</w:t>
                  </w:r>
                </w:p>
              </w:tc>
              <w:tc>
                <w:tcPr>
                  <w:tcW w:w="1195" w:type="dxa"/>
                  <w:tcBorders>
                    <w:tl2br w:val="nil"/>
                    <w:tr2bl w:val="nil"/>
                  </w:tcBorders>
                  <w:vAlign w:val="center"/>
                </w:tcPr>
                <w:p>
                  <w:pPr>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监测值</w:t>
                  </w:r>
                </w:p>
              </w:tc>
              <w:tc>
                <w:tcPr>
                  <w:tcW w:w="1154" w:type="dxa"/>
                  <w:tcBorders>
                    <w:tl2br w:val="nil"/>
                    <w:tr2bl w:val="nil"/>
                  </w:tcBorders>
                  <w:vAlign w:val="center"/>
                </w:tcPr>
                <w:p>
                  <w:pPr>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87" w:type="dxa"/>
                  <w:tcBorders>
                    <w:tl2br w:val="nil"/>
                    <w:tr2bl w:val="nil"/>
                  </w:tcBorders>
                  <w:vAlign w:val="center"/>
                </w:tcPr>
                <w:p>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厂界外西面1m处▲1</w:t>
                  </w:r>
                </w:p>
              </w:tc>
              <w:tc>
                <w:tcPr>
                  <w:tcW w:w="1620" w:type="dxa"/>
                  <w:tcBorders>
                    <w:tl2br w:val="nil"/>
                    <w:tr2bl w:val="nil"/>
                  </w:tcBorders>
                  <w:vAlign w:val="center"/>
                </w:tcPr>
                <w:p>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2019年5月29日</w:t>
                  </w:r>
                </w:p>
              </w:tc>
              <w:tc>
                <w:tcPr>
                  <w:tcW w:w="1102" w:type="dxa"/>
                  <w:tcBorders>
                    <w:tl2br w:val="nil"/>
                    <w:tr2bl w:val="nil"/>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58</w:t>
                  </w:r>
                </w:p>
              </w:tc>
              <w:tc>
                <w:tcPr>
                  <w:tcW w:w="1218" w:type="dxa"/>
                  <w:vMerge w:val="restart"/>
                  <w:tcBorders>
                    <w:tl2br w:val="nil"/>
                    <w:tr2bl w:val="nil"/>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65</w:t>
                  </w:r>
                </w:p>
              </w:tc>
              <w:tc>
                <w:tcPr>
                  <w:tcW w:w="1195" w:type="dxa"/>
                  <w:tcBorders>
                    <w:tl2br w:val="nil"/>
                    <w:tr2bl w:val="nil"/>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49</w:t>
                  </w:r>
                </w:p>
              </w:tc>
              <w:tc>
                <w:tcPr>
                  <w:tcW w:w="1154" w:type="dxa"/>
                  <w:vMerge w:val="restart"/>
                  <w:tcBorders>
                    <w:tl2br w:val="nil"/>
                    <w:tr2bl w:val="nil"/>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87" w:type="dxa"/>
                  <w:tcBorders>
                    <w:tl2br w:val="nil"/>
                    <w:tr2bl w:val="nil"/>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厂界外南面1m处▲2</w:t>
                  </w:r>
                </w:p>
              </w:tc>
              <w:tc>
                <w:tcPr>
                  <w:tcW w:w="1620" w:type="dxa"/>
                  <w:tcBorders>
                    <w:tl2br w:val="nil"/>
                    <w:tr2bl w:val="nil"/>
                  </w:tcBorders>
                  <w:vAlign w:val="center"/>
                </w:tcPr>
                <w:p>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2019年5月29日</w:t>
                  </w:r>
                </w:p>
              </w:tc>
              <w:tc>
                <w:tcPr>
                  <w:tcW w:w="1102" w:type="dxa"/>
                  <w:tcBorders>
                    <w:tl2br w:val="nil"/>
                    <w:tr2bl w:val="nil"/>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57</w:t>
                  </w:r>
                </w:p>
              </w:tc>
              <w:tc>
                <w:tcPr>
                  <w:tcW w:w="1218" w:type="dxa"/>
                  <w:vMerge w:val="continue"/>
                  <w:tcBorders>
                    <w:tl2br w:val="nil"/>
                    <w:tr2bl w:val="nil"/>
                  </w:tcBorders>
                  <w:vAlign w:val="center"/>
                </w:tcPr>
                <w:p>
                  <w:pPr>
                    <w:jc w:val="center"/>
                    <w:rPr>
                      <w:rFonts w:ascii="Times New Roman" w:hAnsi="Times New Roman" w:cs="Times New Roman"/>
                      <w:color w:val="auto"/>
                      <w:szCs w:val="21"/>
                      <w:highlight w:val="none"/>
                    </w:rPr>
                  </w:pPr>
                </w:p>
              </w:tc>
              <w:tc>
                <w:tcPr>
                  <w:tcW w:w="1195" w:type="dxa"/>
                  <w:tcBorders>
                    <w:tl2br w:val="nil"/>
                    <w:tr2bl w:val="nil"/>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51</w:t>
                  </w:r>
                </w:p>
              </w:tc>
              <w:tc>
                <w:tcPr>
                  <w:tcW w:w="1154" w:type="dxa"/>
                  <w:vMerge w:val="continue"/>
                  <w:tcBorders>
                    <w:tl2br w:val="nil"/>
                    <w:tr2bl w:val="nil"/>
                  </w:tcBorders>
                  <w:vAlign w:val="center"/>
                </w:tcPr>
                <w:p>
                  <w:pPr>
                    <w:jc w:val="center"/>
                    <w:rPr>
                      <w:rFonts w:ascii="Times New Roman" w:hAnsi="Times New Roman" w:cs="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87" w:type="dxa"/>
                  <w:tcBorders>
                    <w:tl2br w:val="nil"/>
                    <w:tr2bl w:val="nil"/>
                  </w:tcBorders>
                  <w:vAlign w:val="center"/>
                </w:tcPr>
                <w:p>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厂界外北面1m处▲3</w:t>
                  </w:r>
                </w:p>
              </w:tc>
              <w:tc>
                <w:tcPr>
                  <w:tcW w:w="1620" w:type="dxa"/>
                  <w:tcBorders>
                    <w:tl2br w:val="nil"/>
                    <w:tr2bl w:val="nil"/>
                  </w:tcBorders>
                  <w:vAlign w:val="center"/>
                </w:tcPr>
                <w:p>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2019年5月29日</w:t>
                  </w:r>
                </w:p>
              </w:tc>
              <w:tc>
                <w:tcPr>
                  <w:tcW w:w="1102" w:type="dxa"/>
                  <w:tcBorders>
                    <w:tl2br w:val="nil"/>
                    <w:tr2bl w:val="nil"/>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58</w:t>
                  </w:r>
                </w:p>
              </w:tc>
              <w:tc>
                <w:tcPr>
                  <w:tcW w:w="1218" w:type="dxa"/>
                  <w:vMerge w:val="continue"/>
                  <w:tcBorders>
                    <w:tl2br w:val="nil"/>
                    <w:tr2bl w:val="nil"/>
                  </w:tcBorders>
                  <w:vAlign w:val="center"/>
                </w:tcPr>
                <w:p>
                  <w:pPr>
                    <w:jc w:val="center"/>
                    <w:rPr>
                      <w:rFonts w:ascii="Times New Roman" w:hAnsi="Times New Roman" w:cs="Times New Roman"/>
                      <w:color w:val="auto"/>
                      <w:szCs w:val="21"/>
                      <w:highlight w:val="none"/>
                    </w:rPr>
                  </w:pPr>
                </w:p>
              </w:tc>
              <w:tc>
                <w:tcPr>
                  <w:tcW w:w="1195" w:type="dxa"/>
                  <w:tcBorders>
                    <w:tl2br w:val="nil"/>
                    <w:tr2bl w:val="nil"/>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50</w:t>
                  </w:r>
                </w:p>
              </w:tc>
              <w:tc>
                <w:tcPr>
                  <w:tcW w:w="1154" w:type="dxa"/>
                  <w:vMerge w:val="continue"/>
                  <w:tcBorders>
                    <w:tl2br w:val="nil"/>
                    <w:tr2bl w:val="nil"/>
                  </w:tcBorders>
                  <w:vAlign w:val="center"/>
                </w:tcPr>
                <w:p>
                  <w:pPr>
                    <w:jc w:val="center"/>
                    <w:rPr>
                      <w:rFonts w:ascii="Times New Roman" w:hAnsi="Times New Roman" w:cs="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87" w:type="dxa"/>
                  <w:tcBorders>
                    <w:tl2br w:val="nil"/>
                    <w:tr2bl w:val="nil"/>
                  </w:tcBorders>
                  <w:vAlign w:val="center"/>
                </w:tcPr>
                <w:p>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厂界外东面1m处▲4</w:t>
                  </w:r>
                </w:p>
              </w:tc>
              <w:tc>
                <w:tcPr>
                  <w:tcW w:w="1620" w:type="dxa"/>
                  <w:tcBorders>
                    <w:tl2br w:val="nil"/>
                    <w:tr2bl w:val="nil"/>
                  </w:tcBorders>
                  <w:vAlign w:val="center"/>
                </w:tcPr>
                <w:p>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2019年5月29日</w:t>
                  </w:r>
                </w:p>
              </w:tc>
              <w:tc>
                <w:tcPr>
                  <w:tcW w:w="1102" w:type="dxa"/>
                  <w:tcBorders>
                    <w:tl2br w:val="nil"/>
                    <w:tr2bl w:val="nil"/>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58</w:t>
                  </w:r>
                </w:p>
              </w:tc>
              <w:tc>
                <w:tcPr>
                  <w:tcW w:w="1218" w:type="dxa"/>
                  <w:vMerge w:val="continue"/>
                  <w:tcBorders>
                    <w:tl2br w:val="nil"/>
                    <w:tr2bl w:val="nil"/>
                  </w:tcBorders>
                  <w:vAlign w:val="center"/>
                </w:tcPr>
                <w:p>
                  <w:pPr>
                    <w:jc w:val="center"/>
                    <w:rPr>
                      <w:rFonts w:ascii="Times New Roman" w:hAnsi="Times New Roman" w:cs="Times New Roman"/>
                      <w:color w:val="auto"/>
                      <w:szCs w:val="21"/>
                      <w:highlight w:val="none"/>
                    </w:rPr>
                  </w:pPr>
                </w:p>
              </w:tc>
              <w:tc>
                <w:tcPr>
                  <w:tcW w:w="1195" w:type="dxa"/>
                  <w:tcBorders>
                    <w:tl2br w:val="nil"/>
                    <w:tr2bl w:val="nil"/>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49</w:t>
                  </w:r>
                </w:p>
              </w:tc>
              <w:tc>
                <w:tcPr>
                  <w:tcW w:w="1154" w:type="dxa"/>
                  <w:vMerge w:val="continue"/>
                  <w:tcBorders>
                    <w:tl2br w:val="nil"/>
                    <w:tr2bl w:val="nil"/>
                  </w:tcBorders>
                  <w:vAlign w:val="center"/>
                </w:tcPr>
                <w:p>
                  <w:pPr>
                    <w:jc w:val="center"/>
                    <w:rPr>
                      <w:rFonts w:ascii="Times New Roman" w:hAnsi="Times New Roman" w:cs="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87" w:type="dxa"/>
                  <w:vMerge w:val="restart"/>
                  <w:tcBorders>
                    <w:tl2br w:val="nil"/>
                    <w:tr2bl w:val="nil"/>
                  </w:tcBorders>
                  <w:vAlign w:val="center"/>
                </w:tcPr>
                <w:p>
                  <w:pPr>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监测点</w:t>
                  </w:r>
                </w:p>
              </w:tc>
              <w:tc>
                <w:tcPr>
                  <w:tcW w:w="1620" w:type="dxa"/>
                  <w:vMerge w:val="restart"/>
                  <w:tcBorders>
                    <w:tl2br w:val="nil"/>
                    <w:tr2bl w:val="nil"/>
                  </w:tcBorders>
                  <w:vAlign w:val="center"/>
                </w:tcPr>
                <w:p>
                  <w:pPr>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监测日期</w:t>
                  </w:r>
                </w:p>
              </w:tc>
              <w:tc>
                <w:tcPr>
                  <w:tcW w:w="2320" w:type="dxa"/>
                  <w:gridSpan w:val="2"/>
                  <w:tcBorders>
                    <w:tl2br w:val="nil"/>
                    <w:tr2bl w:val="nil"/>
                  </w:tcBorders>
                  <w:vAlign w:val="center"/>
                </w:tcPr>
                <w:p>
                  <w:pPr>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昼间</w:t>
                  </w:r>
                </w:p>
              </w:tc>
              <w:tc>
                <w:tcPr>
                  <w:tcW w:w="2349" w:type="dxa"/>
                  <w:gridSpan w:val="2"/>
                  <w:tcBorders>
                    <w:tl2br w:val="nil"/>
                    <w:tr2bl w:val="nil"/>
                  </w:tcBorders>
                  <w:vAlign w:val="center"/>
                </w:tcPr>
                <w:p>
                  <w:pPr>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87" w:type="dxa"/>
                  <w:vMerge w:val="continue"/>
                  <w:tcBorders>
                    <w:tl2br w:val="nil"/>
                    <w:tr2bl w:val="nil"/>
                  </w:tcBorders>
                  <w:vAlign w:val="center"/>
                </w:tcPr>
                <w:p>
                  <w:pPr>
                    <w:jc w:val="center"/>
                    <w:rPr>
                      <w:rFonts w:ascii="Times New Roman" w:hAnsi="Times New Roman" w:cs="Times New Roman"/>
                      <w:b/>
                      <w:color w:val="auto"/>
                      <w:szCs w:val="21"/>
                      <w:highlight w:val="none"/>
                    </w:rPr>
                  </w:pPr>
                </w:p>
              </w:tc>
              <w:tc>
                <w:tcPr>
                  <w:tcW w:w="1620" w:type="dxa"/>
                  <w:vMerge w:val="continue"/>
                  <w:tcBorders>
                    <w:tl2br w:val="nil"/>
                    <w:tr2bl w:val="nil"/>
                  </w:tcBorders>
                  <w:vAlign w:val="center"/>
                </w:tcPr>
                <w:p>
                  <w:pPr>
                    <w:jc w:val="center"/>
                    <w:rPr>
                      <w:rFonts w:ascii="Times New Roman" w:hAnsi="Times New Roman" w:cs="Times New Roman"/>
                      <w:b/>
                      <w:color w:val="auto"/>
                      <w:szCs w:val="21"/>
                      <w:highlight w:val="none"/>
                    </w:rPr>
                  </w:pPr>
                </w:p>
              </w:tc>
              <w:tc>
                <w:tcPr>
                  <w:tcW w:w="1102" w:type="dxa"/>
                  <w:tcBorders>
                    <w:tl2br w:val="nil"/>
                    <w:tr2bl w:val="nil"/>
                  </w:tcBorders>
                  <w:vAlign w:val="center"/>
                </w:tcPr>
                <w:p>
                  <w:pPr>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监测值</w:t>
                  </w:r>
                </w:p>
              </w:tc>
              <w:tc>
                <w:tcPr>
                  <w:tcW w:w="1218" w:type="dxa"/>
                  <w:tcBorders>
                    <w:tl2br w:val="nil"/>
                    <w:tr2bl w:val="nil"/>
                  </w:tcBorders>
                  <w:vAlign w:val="center"/>
                </w:tcPr>
                <w:p>
                  <w:pPr>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标准值</w:t>
                  </w:r>
                </w:p>
              </w:tc>
              <w:tc>
                <w:tcPr>
                  <w:tcW w:w="1195" w:type="dxa"/>
                  <w:tcBorders>
                    <w:tl2br w:val="nil"/>
                    <w:tr2bl w:val="nil"/>
                  </w:tcBorders>
                  <w:vAlign w:val="center"/>
                </w:tcPr>
                <w:p>
                  <w:pPr>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监测值</w:t>
                  </w:r>
                </w:p>
              </w:tc>
              <w:tc>
                <w:tcPr>
                  <w:tcW w:w="1154" w:type="dxa"/>
                  <w:tcBorders>
                    <w:tl2br w:val="nil"/>
                    <w:tr2bl w:val="nil"/>
                  </w:tcBorders>
                  <w:vAlign w:val="center"/>
                </w:tcPr>
                <w:p>
                  <w:pPr>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87" w:type="dxa"/>
                  <w:tcBorders>
                    <w:tl2br w:val="nil"/>
                    <w:tr2bl w:val="nil"/>
                  </w:tcBorders>
                  <w:vAlign w:val="center"/>
                </w:tcPr>
                <w:p>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厂界外西面1m处▲1</w:t>
                  </w:r>
                </w:p>
              </w:tc>
              <w:tc>
                <w:tcPr>
                  <w:tcW w:w="1620" w:type="dxa"/>
                  <w:tcBorders>
                    <w:tl2br w:val="nil"/>
                    <w:tr2bl w:val="nil"/>
                  </w:tcBorders>
                  <w:vAlign w:val="center"/>
                </w:tcPr>
                <w:p>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2019年5月30日</w:t>
                  </w:r>
                </w:p>
              </w:tc>
              <w:tc>
                <w:tcPr>
                  <w:tcW w:w="1102" w:type="dxa"/>
                  <w:tcBorders>
                    <w:tl2br w:val="nil"/>
                    <w:tr2bl w:val="nil"/>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61</w:t>
                  </w:r>
                </w:p>
              </w:tc>
              <w:tc>
                <w:tcPr>
                  <w:tcW w:w="1218" w:type="dxa"/>
                  <w:vMerge w:val="restart"/>
                  <w:tcBorders>
                    <w:tl2br w:val="nil"/>
                    <w:tr2bl w:val="nil"/>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65</w:t>
                  </w:r>
                </w:p>
              </w:tc>
              <w:tc>
                <w:tcPr>
                  <w:tcW w:w="1195" w:type="dxa"/>
                  <w:tcBorders>
                    <w:tl2br w:val="nil"/>
                    <w:tr2bl w:val="nil"/>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52</w:t>
                  </w:r>
                </w:p>
              </w:tc>
              <w:tc>
                <w:tcPr>
                  <w:tcW w:w="1154" w:type="dxa"/>
                  <w:vMerge w:val="restart"/>
                  <w:tcBorders>
                    <w:tl2br w:val="nil"/>
                    <w:tr2bl w:val="nil"/>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87" w:type="dxa"/>
                  <w:tcBorders>
                    <w:tl2br w:val="nil"/>
                    <w:tr2bl w:val="nil"/>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厂界外南面1m处▲2</w:t>
                  </w:r>
                </w:p>
              </w:tc>
              <w:tc>
                <w:tcPr>
                  <w:tcW w:w="1620" w:type="dxa"/>
                  <w:tcBorders>
                    <w:tl2br w:val="nil"/>
                    <w:tr2bl w:val="nil"/>
                  </w:tcBorders>
                  <w:vAlign w:val="center"/>
                </w:tcPr>
                <w:p>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2019年5月30日</w:t>
                  </w:r>
                </w:p>
              </w:tc>
              <w:tc>
                <w:tcPr>
                  <w:tcW w:w="1102" w:type="dxa"/>
                  <w:tcBorders>
                    <w:tl2br w:val="nil"/>
                    <w:tr2bl w:val="nil"/>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60</w:t>
                  </w:r>
                </w:p>
              </w:tc>
              <w:tc>
                <w:tcPr>
                  <w:tcW w:w="1218" w:type="dxa"/>
                  <w:vMerge w:val="continue"/>
                  <w:tcBorders>
                    <w:tl2br w:val="nil"/>
                    <w:tr2bl w:val="nil"/>
                  </w:tcBorders>
                  <w:vAlign w:val="center"/>
                </w:tcPr>
                <w:p>
                  <w:pPr>
                    <w:jc w:val="center"/>
                    <w:rPr>
                      <w:rFonts w:ascii="Times New Roman" w:hAnsi="Times New Roman" w:cs="Times New Roman"/>
                      <w:color w:val="auto"/>
                      <w:szCs w:val="21"/>
                      <w:highlight w:val="none"/>
                    </w:rPr>
                  </w:pPr>
                </w:p>
              </w:tc>
              <w:tc>
                <w:tcPr>
                  <w:tcW w:w="1195" w:type="dxa"/>
                  <w:tcBorders>
                    <w:tl2br w:val="nil"/>
                    <w:tr2bl w:val="nil"/>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48</w:t>
                  </w:r>
                </w:p>
              </w:tc>
              <w:tc>
                <w:tcPr>
                  <w:tcW w:w="1154" w:type="dxa"/>
                  <w:vMerge w:val="continue"/>
                  <w:tcBorders>
                    <w:tl2br w:val="nil"/>
                    <w:tr2bl w:val="nil"/>
                  </w:tcBorders>
                  <w:vAlign w:val="center"/>
                </w:tcPr>
                <w:p>
                  <w:pPr>
                    <w:jc w:val="center"/>
                    <w:rPr>
                      <w:rFonts w:ascii="Times New Roman" w:hAnsi="Times New Roman" w:cs="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87" w:type="dxa"/>
                  <w:tcBorders>
                    <w:tl2br w:val="nil"/>
                    <w:tr2bl w:val="nil"/>
                  </w:tcBorders>
                  <w:vAlign w:val="center"/>
                </w:tcPr>
                <w:p>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厂界外北面1m处▲3</w:t>
                  </w:r>
                </w:p>
              </w:tc>
              <w:tc>
                <w:tcPr>
                  <w:tcW w:w="1620" w:type="dxa"/>
                  <w:tcBorders>
                    <w:tl2br w:val="nil"/>
                    <w:tr2bl w:val="nil"/>
                  </w:tcBorders>
                  <w:vAlign w:val="center"/>
                </w:tcPr>
                <w:p>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2019年5月30日</w:t>
                  </w:r>
                </w:p>
              </w:tc>
              <w:tc>
                <w:tcPr>
                  <w:tcW w:w="1102" w:type="dxa"/>
                  <w:tcBorders>
                    <w:tl2br w:val="nil"/>
                    <w:tr2bl w:val="nil"/>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61</w:t>
                  </w:r>
                </w:p>
              </w:tc>
              <w:tc>
                <w:tcPr>
                  <w:tcW w:w="1218" w:type="dxa"/>
                  <w:vMerge w:val="continue"/>
                  <w:tcBorders>
                    <w:tl2br w:val="nil"/>
                    <w:tr2bl w:val="nil"/>
                  </w:tcBorders>
                  <w:vAlign w:val="center"/>
                </w:tcPr>
                <w:p>
                  <w:pPr>
                    <w:jc w:val="center"/>
                    <w:rPr>
                      <w:rFonts w:ascii="Times New Roman" w:hAnsi="Times New Roman" w:cs="Times New Roman"/>
                      <w:color w:val="auto"/>
                      <w:szCs w:val="21"/>
                      <w:highlight w:val="none"/>
                    </w:rPr>
                  </w:pPr>
                </w:p>
              </w:tc>
              <w:tc>
                <w:tcPr>
                  <w:tcW w:w="1195" w:type="dxa"/>
                  <w:tcBorders>
                    <w:tl2br w:val="nil"/>
                    <w:tr2bl w:val="nil"/>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46</w:t>
                  </w:r>
                </w:p>
              </w:tc>
              <w:tc>
                <w:tcPr>
                  <w:tcW w:w="1154" w:type="dxa"/>
                  <w:vMerge w:val="continue"/>
                  <w:tcBorders>
                    <w:tl2br w:val="nil"/>
                    <w:tr2bl w:val="nil"/>
                  </w:tcBorders>
                  <w:vAlign w:val="center"/>
                </w:tcPr>
                <w:p>
                  <w:pPr>
                    <w:jc w:val="center"/>
                    <w:rPr>
                      <w:rFonts w:ascii="Times New Roman" w:hAnsi="Times New Roman" w:cs="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87" w:type="dxa"/>
                  <w:tcBorders>
                    <w:tl2br w:val="nil"/>
                    <w:tr2bl w:val="nil"/>
                  </w:tcBorders>
                  <w:vAlign w:val="center"/>
                </w:tcPr>
                <w:p>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厂界外东面1m处▲4</w:t>
                  </w:r>
                </w:p>
              </w:tc>
              <w:tc>
                <w:tcPr>
                  <w:tcW w:w="1620" w:type="dxa"/>
                  <w:tcBorders>
                    <w:tl2br w:val="nil"/>
                    <w:tr2bl w:val="nil"/>
                  </w:tcBorders>
                  <w:vAlign w:val="center"/>
                </w:tcPr>
                <w:p>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2019年5月30日</w:t>
                  </w:r>
                </w:p>
              </w:tc>
              <w:tc>
                <w:tcPr>
                  <w:tcW w:w="1102" w:type="dxa"/>
                  <w:tcBorders>
                    <w:tl2br w:val="nil"/>
                    <w:tr2bl w:val="nil"/>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58</w:t>
                  </w:r>
                </w:p>
              </w:tc>
              <w:tc>
                <w:tcPr>
                  <w:tcW w:w="1218" w:type="dxa"/>
                  <w:vMerge w:val="continue"/>
                  <w:tcBorders>
                    <w:tl2br w:val="nil"/>
                    <w:tr2bl w:val="nil"/>
                  </w:tcBorders>
                  <w:vAlign w:val="center"/>
                </w:tcPr>
                <w:p>
                  <w:pPr>
                    <w:jc w:val="center"/>
                    <w:rPr>
                      <w:rFonts w:ascii="Times New Roman" w:hAnsi="Times New Roman" w:cs="Times New Roman"/>
                      <w:color w:val="auto"/>
                      <w:szCs w:val="21"/>
                      <w:highlight w:val="none"/>
                    </w:rPr>
                  </w:pPr>
                </w:p>
              </w:tc>
              <w:tc>
                <w:tcPr>
                  <w:tcW w:w="1195" w:type="dxa"/>
                  <w:tcBorders>
                    <w:tl2br w:val="nil"/>
                    <w:tr2bl w:val="nil"/>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48</w:t>
                  </w:r>
                </w:p>
              </w:tc>
              <w:tc>
                <w:tcPr>
                  <w:tcW w:w="1154" w:type="dxa"/>
                  <w:vMerge w:val="continue"/>
                  <w:tcBorders>
                    <w:tl2br w:val="nil"/>
                    <w:tr2bl w:val="nil"/>
                  </w:tcBorders>
                  <w:vAlign w:val="center"/>
                </w:tcPr>
                <w:p>
                  <w:pPr>
                    <w:jc w:val="center"/>
                    <w:rPr>
                      <w:rFonts w:ascii="Times New Roman" w:hAnsi="Times New Roman" w:cs="Times New Roman"/>
                      <w:color w:val="auto"/>
                      <w:szCs w:val="21"/>
                      <w:highlight w:val="none"/>
                    </w:rPr>
                  </w:pPr>
                </w:p>
              </w:tc>
            </w:tr>
          </w:tbl>
          <w:p>
            <w:pPr>
              <w:spacing w:line="360" w:lineRule="auto"/>
              <w:ind w:firstLine="480" w:firstLineChars="200"/>
              <w:rPr>
                <w:rFonts w:ascii="Times New Roman" w:hAnsi="Times New Roman" w:cs="Times New Roman"/>
                <w:color w:val="auto"/>
                <w:highlight w:val="none"/>
              </w:rPr>
            </w:pPr>
            <w:r>
              <w:rPr>
                <w:rFonts w:ascii="Times New Roman" w:hAnsi="Times New Roman" w:eastAsia="宋体" w:cs="Times New Roman"/>
                <w:color w:val="auto"/>
                <w:sz w:val="24"/>
                <w:highlight w:val="none"/>
              </w:rPr>
              <w:t xml:space="preserve">监测结果表明，本项目各边界噪声排放均能满足《声环境质量标准》（GB3096-2008）中3类标准[昼间≤65dB(A)、夜间≤55dB(A)]，建设项目所在区域声环境质量现状良好。 </w:t>
            </w:r>
            <w:r>
              <w:rPr>
                <w:rFonts w:ascii="Times New Roman" w:hAnsi="Times New Roman" w:eastAsia="宋体" w:cs="Times New Roman"/>
                <w:color w:val="auto"/>
                <w:highlight w:val="none"/>
              </w:rPr>
              <w:t xml:space="preserve">            </w:t>
            </w:r>
          </w:p>
          <w:p>
            <w:pPr>
              <w:pStyle w:val="10"/>
              <w:spacing w:line="360" w:lineRule="auto"/>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四、生态环境质量现状</w:t>
            </w:r>
          </w:p>
          <w:p>
            <w:pPr>
              <w:spacing w:line="360" w:lineRule="auto"/>
              <w:ind w:firstLine="480" w:firstLineChars="200"/>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本项目周边植被为人工植被，无重点保护的野生动植物、风景名胜区、自然保护区及文化遗产等特殊保护目标。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270" w:hRule="atLeast"/>
          <w:jc w:val="center"/>
        </w:trPr>
        <w:tc>
          <w:tcPr>
            <w:tcW w:w="8522" w:type="dxa"/>
          </w:tcPr>
          <w:p>
            <w:pPr>
              <w:pStyle w:val="10"/>
              <w:spacing w:line="360" w:lineRule="auto"/>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主要环境保护目标( 列出名单及保护级别):</w:t>
            </w:r>
          </w:p>
          <w:p>
            <w:pPr>
              <w:spacing w:line="360" w:lineRule="auto"/>
              <w:ind w:firstLine="482" w:firstLineChars="200"/>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1、水环境保护目标</w:t>
            </w:r>
          </w:p>
          <w:p>
            <w:pPr>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水环境保护目标是在该建设项目营业期间</w:t>
            </w:r>
            <w:r>
              <w:rPr>
                <w:rFonts w:hint="eastAsia" w:ascii="Times New Roman" w:hAnsi="Times New Roman" w:cs="Times New Roman"/>
                <w:color w:val="auto"/>
                <w:sz w:val="24"/>
                <w:highlight w:val="none"/>
              </w:rPr>
              <w:t>，</w:t>
            </w:r>
            <w:r>
              <w:rPr>
                <w:rFonts w:ascii="Times New Roman" w:hAnsi="Times New Roman" w:cs="Times New Roman"/>
                <w:color w:val="auto"/>
                <w:sz w:val="24"/>
                <w:highlight w:val="none"/>
              </w:rPr>
              <w:t>周围的河流水质不受明显的影响，控制废水排放对附近水环境的影响，使得附近镇海水的水环境质量达到《地表水环境质量标准》(GB3838-2002)Ⅲ类水质标准的保护要求。</w:t>
            </w:r>
          </w:p>
          <w:p>
            <w:pPr>
              <w:spacing w:line="360" w:lineRule="auto"/>
              <w:ind w:firstLine="482" w:firstLineChars="200"/>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2、大气环境保护目标</w:t>
            </w:r>
          </w:p>
          <w:p>
            <w:pPr>
              <w:spacing w:line="360" w:lineRule="auto"/>
              <w:ind w:firstLine="480" w:firstLineChars="200"/>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保护建设项目周围大气环境质量符合环境功能区的要求；环境空气质量符合《环境空气质量标准》(GB3095-2012)</w:t>
            </w:r>
            <w:r>
              <w:rPr>
                <w:rFonts w:ascii="Times New Roman" w:hAnsi="Times New Roman" w:cs="Times New Roman"/>
                <w:color w:val="auto"/>
                <w:sz w:val="24"/>
                <w:highlight w:val="none"/>
              </w:rPr>
              <w:t>及2018修改单二级标准要求</w:t>
            </w:r>
            <w:r>
              <w:rPr>
                <w:rFonts w:ascii="Times New Roman" w:hAnsi="Times New Roman" w:eastAsia="宋体" w:cs="Times New Roman"/>
                <w:bCs/>
                <w:color w:val="auto"/>
                <w:sz w:val="24"/>
                <w:highlight w:val="none"/>
              </w:rPr>
              <w:t>。</w:t>
            </w:r>
          </w:p>
          <w:p>
            <w:pPr>
              <w:spacing w:line="360" w:lineRule="auto"/>
              <w:ind w:firstLine="482" w:firstLineChars="200"/>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3、声环境保护目标</w:t>
            </w:r>
          </w:p>
          <w:p>
            <w:pPr>
              <w:pStyle w:val="10"/>
              <w:spacing w:line="360" w:lineRule="auto"/>
              <w:ind w:firstLine="496"/>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根据《</w:t>
            </w:r>
            <w:r>
              <w:rPr>
                <w:color w:val="auto"/>
                <w:highlight w:val="none"/>
              </w:rPr>
              <w:fldChar w:fldCharType="begin"/>
            </w:r>
            <w:r>
              <w:rPr>
                <w:color w:val="auto"/>
                <w:highlight w:val="none"/>
              </w:rPr>
              <w:instrText xml:space="preserve"> HYPERLINK "http://www.baidu.com/link?url=v68lB5pQO4EwwAXCwgfvI0XUMKmrh1rPkYP4q1Z-d1z_XBTNTvvUlWUuf72A19HO_Js4IfqDZRZkjLK6NnEPXkZRdbejL_qR9dxUwPWmild0uhCiJFoiP_ckLdTHTtLc" \t "_blank" </w:instrText>
            </w:r>
            <w:r>
              <w:rPr>
                <w:color w:val="auto"/>
                <w:highlight w:val="none"/>
              </w:rPr>
              <w:fldChar w:fldCharType="separate"/>
            </w:r>
            <w:r>
              <w:rPr>
                <w:rFonts w:ascii="Times New Roman" w:hAnsi="Times New Roman" w:eastAsia="宋体" w:cs="Times New Roman"/>
                <w:bCs/>
                <w:color w:val="auto"/>
                <w:sz w:val="24"/>
                <w:highlight w:val="none"/>
              </w:rPr>
              <w:t>声环境功能区划分技术规范》（GB/T15190-2014</w:t>
            </w:r>
            <w:r>
              <w:rPr>
                <w:rFonts w:ascii="Times New Roman" w:hAnsi="Times New Roman" w:eastAsia="宋体" w:cs="Times New Roman"/>
                <w:bCs/>
                <w:color w:val="auto"/>
                <w:sz w:val="24"/>
                <w:highlight w:val="none"/>
              </w:rPr>
              <w:fldChar w:fldCharType="end"/>
            </w:r>
            <w:r>
              <w:rPr>
                <w:rFonts w:ascii="Times New Roman" w:hAnsi="Times New Roman" w:eastAsia="宋体" w:cs="Times New Roman"/>
                <w:bCs/>
                <w:color w:val="auto"/>
                <w:sz w:val="24"/>
                <w:highlight w:val="none"/>
              </w:rPr>
              <w:t>），项目所在地属3类声环境功能区，执行《声环境质量标准》(GB3096-2008) 3类标准[昼间≤65dB(A)、夜间≤55dB(A)]。确保该项目周围环境不受本项目生产噪声干扰，使声环境质量符合《声环境质量标准》(GB3096-2008)3类限值要求。</w:t>
            </w:r>
          </w:p>
          <w:p>
            <w:pPr>
              <w:numPr>
                <w:ilvl w:val="0"/>
                <w:numId w:val="2"/>
              </w:numPr>
              <w:spacing w:line="360" w:lineRule="auto"/>
              <w:ind w:firstLine="482" w:firstLineChars="200"/>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环境敏感保护目标</w:t>
            </w:r>
          </w:p>
          <w:p>
            <w:pPr>
              <w:spacing w:line="360" w:lineRule="auto"/>
              <w:ind w:firstLine="480" w:firstLineChars="200"/>
              <w:rPr>
                <w:rFonts w:ascii="Times New Roman" w:hAnsi="Times New Roman" w:cs="Times New Roman"/>
                <w:bCs/>
                <w:color w:val="auto"/>
                <w:sz w:val="24"/>
                <w:highlight w:val="none"/>
              </w:rPr>
            </w:pPr>
            <w:r>
              <w:rPr>
                <w:rFonts w:hint="eastAsia" w:ascii="Times New Roman" w:hAnsi="Times New Roman" w:eastAsia="宋体" w:cs="Times New Roman"/>
                <w:bCs/>
                <w:color w:val="auto"/>
                <w:sz w:val="24"/>
                <w:highlight w:val="none"/>
              </w:rPr>
              <w:t>本项目大气评价工作等级为二级，大气环境影响评价范围为以项目厂址为中心区域，自厂界外延至边长为</w:t>
            </w:r>
            <w:r>
              <w:rPr>
                <w:rFonts w:ascii="Times New Roman" w:hAnsi="Times New Roman" w:eastAsia="宋体" w:cs="Times New Roman"/>
                <w:bCs/>
                <w:color w:val="auto"/>
                <w:sz w:val="24"/>
                <w:highlight w:val="none"/>
              </w:rPr>
              <w:t>5km</w:t>
            </w:r>
            <w:r>
              <w:rPr>
                <w:rFonts w:hint="eastAsia" w:ascii="Times New Roman" w:hAnsi="Times New Roman" w:eastAsia="宋体" w:cs="Times New Roman"/>
                <w:bCs/>
                <w:color w:val="auto"/>
                <w:sz w:val="24"/>
                <w:highlight w:val="none"/>
              </w:rPr>
              <w:t>的矩形区域，本项目</w:t>
            </w:r>
            <w:r>
              <w:rPr>
                <w:rFonts w:ascii="Times New Roman" w:hAnsi="Times New Roman" w:eastAsia="宋体" w:cs="Times New Roman"/>
                <w:bCs/>
                <w:color w:val="auto"/>
                <w:sz w:val="24"/>
                <w:highlight w:val="none"/>
              </w:rPr>
              <w:t>5km</w:t>
            </w:r>
            <w:r>
              <w:rPr>
                <w:rFonts w:hint="eastAsia" w:ascii="Times New Roman" w:hAnsi="Times New Roman" w:eastAsia="宋体" w:cs="Times New Roman"/>
                <w:bCs/>
                <w:color w:val="auto"/>
                <w:sz w:val="24"/>
                <w:highlight w:val="none"/>
              </w:rPr>
              <w:t>范围内敏感点见表3</w:t>
            </w:r>
            <w:r>
              <w:rPr>
                <w:rFonts w:ascii="Times New Roman" w:hAnsi="Times New Roman" w:eastAsia="宋体" w:cs="Times New Roman"/>
                <w:bCs/>
                <w:color w:val="auto"/>
                <w:sz w:val="24"/>
                <w:highlight w:val="none"/>
              </w:rPr>
              <w:t>-6</w:t>
            </w:r>
            <w:r>
              <w:rPr>
                <w:rFonts w:hint="eastAsia" w:ascii="Times New Roman" w:hAnsi="Times New Roman" w:eastAsia="宋体" w:cs="Times New Roman"/>
                <w:bCs/>
                <w:color w:val="auto"/>
                <w:sz w:val="24"/>
                <w:highlight w:val="none"/>
              </w:rPr>
              <w:t>。</w:t>
            </w:r>
            <w:r>
              <w:rPr>
                <w:rFonts w:ascii="Times New Roman" w:hAnsi="Times New Roman" w:cs="Times New Roman"/>
                <w:bCs/>
                <w:color w:val="auto"/>
                <w:sz w:val="24"/>
                <w:highlight w:val="none"/>
              </w:rPr>
              <w:t>根据现场踏勘，项目周围以厂房为主，附近无自然保护区、重要人文遗址、名胜古迹、珍惜动植物栖息地等环境敏感点</w:t>
            </w:r>
            <w:r>
              <w:rPr>
                <w:rFonts w:hint="eastAsia" w:ascii="Times New Roman" w:hAnsi="Times New Roman" w:cs="Times New Roman"/>
                <w:bCs/>
                <w:color w:val="auto"/>
                <w:sz w:val="24"/>
                <w:highlight w:val="none"/>
              </w:rPr>
              <w:t>。</w:t>
            </w:r>
          </w:p>
          <w:p>
            <w:pPr>
              <w:jc w:val="center"/>
              <w:rPr>
                <w:b/>
                <w:bCs/>
                <w:color w:val="auto"/>
                <w:highlight w:val="none"/>
              </w:rPr>
            </w:pPr>
            <w:r>
              <w:rPr>
                <w:rFonts w:hint="eastAsia"/>
                <w:b/>
                <w:bCs/>
                <w:color w:val="auto"/>
                <w:highlight w:val="none"/>
              </w:rPr>
              <w:t>表3</w:t>
            </w:r>
            <w:r>
              <w:rPr>
                <w:b/>
                <w:bCs/>
                <w:color w:val="auto"/>
                <w:highlight w:val="none"/>
              </w:rPr>
              <w:t xml:space="preserve">-6 </w:t>
            </w:r>
            <w:r>
              <w:rPr>
                <w:rFonts w:hint="eastAsia"/>
                <w:b/>
                <w:bCs/>
                <w:color w:val="auto"/>
                <w:highlight w:val="none"/>
              </w:rPr>
              <w:t>环境保护目标一览表</w:t>
            </w:r>
          </w:p>
          <w:tbl>
            <w:tblPr>
              <w:tblStyle w:val="22"/>
              <w:tblW w:w="8290" w:type="dxa"/>
              <w:tblInd w:w="0" w:type="dxa"/>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
            <w:tblGrid>
              <w:gridCol w:w="964"/>
              <w:gridCol w:w="959"/>
              <w:gridCol w:w="958"/>
              <w:gridCol w:w="958"/>
              <w:gridCol w:w="613"/>
              <w:gridCol w:w="1540"/>
              <w:gridCol w:w="1003"/>
              <w:gridCol w:w="1295"/>
            </w:tblGrid>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623" w:hRule="atLeast"/>
              </w:trPr>
              <w:tc>
                <w:tcPr>
                  <w:tcW w:w="964" w:type="dxa"/>
                  <w:vMerge w:val="restart"/>
                  <w:tcBorders>
                    <w:top w:val="single" w:color="auto" w:sz="12" w:space="0"/>
                    <w:left w:val="single" w:color="000000" w:sz="6" w:space="0"/>
                    <w:right w:val="single" w:color="000000" w:sz="6" w:space="0"/>
                  </w:tcBorders>
                  <w:vAlign w:val="center"/>
                </w:tcPr>
                <w:p>
                  <w:pPr>
                    <w:jc w:val="center"/>
                    <w:rPr>
                      <w:b/>
                      <w:bCs/>
                      <w:color w:val="auto"/>
                      <w:szCs w:val="21"/>
                      <w:highlight w:val="none"/>
                    </w:rPr>
                  </w:pPr>
                  <w:r>
                    <w:rPr>
                      <w:b/>
                      <w:bCs/>
                      <w:color w:val="auto"/>
                      <w:szCs w:val="21"/>
                      <w:highlight w:val="none"/>
                    </w:rPr>
                    <w:t>名称</w:t>
                  </w:r>
                </w:p>
              </w:tc>
              <w:tc>
                <w:tcPr>
                  <w:tcW w:w="1917" w:type="dxa"/>
                  <w:gridSpan w:val="2"/>
                  <w:tcBorders>
                    <w:top w:val="single" w:color="auto" w:sz="12" w:space="0"/>
                    <w:left w:val="single" w:color="000000" w:sz="6" w:space="0"/>
                    <w:bottom w:val="single" w:color="000000" w:sz="6" w:space="0"/>
                    <w:right w:val="single" w:color="000000" w:sz="6" w:space="0"/>
                  </w:tcBorders>
                  <w:vAlign w:val="center"/>
                </w:tcPr>
                <w:p>
                  <w:pPr>
                    <w:jc w:val="center"/>
                    <w:rPr>
                      <w:b/>
                      <w:bCs/>
                      <w:color w:val="auto"/>
                      <w:szCs w:val="21"/>
                      <w:highlight w:val="none"/>
                    </w:rPr>
                  </w:pPr>
                  <w:r>
                    <w:rPr>
                      <w:rFonts w:hint="eastAsia"/>
                      <w:b/>
                      <w:bCs/>
                      <w:color w:val="auto"/>
                      <w:szCs w:val="21"/>
                      <w:highlight w:val="none"/>
                    </w:rPr>
                    <w:t>坐标/m</w:t>
                  </w:r>
                </w:p>
              </w:tc>
              <w:tc>
                <w:tcPr>
                  <w:tcW w:w="958" w:type="dxa"/>
                  <w:vMerge w:val="restart"/>
                  <w:tcBorders>
                    <w:top w:val="single" w:color="auto" w:sz="12" w:space="0"/>
                    <w:left w:val="single" w:color="000000" w:sz="6" w:space="0"/>
                    <w:right w:val="single" w:color="000000" w:sz="6" w:space="0"/>
                  </w:tcBorders>
                  <w:vAlign w:val="center"/>
                </w:tcPr>
                <w:p>
                  <w:pPr>
                    <w:jc w:val="center"/>
                    <w:rPr>
                      <w:b/>
                      <w:bCs/>
                      <w:color w:val="auto"/>
                      <w:szCs w:val="21"/>
                      <w:highlight w:val="none"/>
                    </w:rPr>
                  </w:pPr>
                  <w:r>
                    <w:rPr>
                      <w:b/>
                      <w:bCs/>
                      <w:color w:val="auto"/>
                      <w:szCs w:val="21"/>
                      <w:highlight w:val="none"/>
                    </w:rPr>
                    <w:t>保护对象</w:t>
                  </w:r>
                </w:p>
              </w:tc>
              <w:tc>
                <w:tcPr>
                  <w:tcW w:w="613" w:type="dxa"/>
                  <w:vMerge w:val="restart"/>
                  <w:tcBorders>
                    <w:top w:val="single" w:color="auto" w:sz="12" w:space="0"/>
                    <w:left w:val="single" w:color="000000" w:sz="6" w:space="0"/>
                    <w:right w:val="single" w:color="000000" w:sz="6" w:space="0"/>
                  </w:tcBorders>
                </w:tcPr>
                <w:p>
                  <w:pPr>
                    <w:jc w:val="center"/>
                    <w:rPr>
                      <w:b/>
                      <w:bCs/>
                      <w:color w:val="auto"/>
                      <w:szCs w:val="21"/>
                      <w:highlight w:val="none"/>
                    </w:rPr>
                  </w:pPr>
                  <w:r>
                    <w:rPr>
                      <w:rFonts w:hint="eastAsia"/>
                      <w:b/>
                      <w:bCs/>
                      <w:color w:val="auto"/>
                      <w:szCs w:val="21"/>
                      <w:highlight w:val="none"/>
                    </w:rPr>
                    <w:t>保护内容</w:t>
                  </w:r>
                </w:p>
              </w:tc>
              <w:tc>
                <w:tcPr>
                  <w:tcW w:w="1540" w:type="dxa"/>
                  <w:vMerge w:val="restart"/>
                  <w:tcBorders>
                    <w:top w:val="single" w:color="auto" w:sz="12" w:space="0"/>
                    <w:left w:val="single" w:color="000000" w:sz="6" w:space="0"/>
                    <w:right w:val="single" w:color="000000" w:sz="6" w:space="0"/>
                  </w:tcBorders>
                  <w:vAlign w:val="center"/>
                </w:tcPr>
                <w:p>
                  <w:pPr>
                    <w:pStyle w:val="53"/>
                    <w:ind w:left="0" w:leftChars="0"/>
                    <w:jc w:val="center"/>
                    <w:rPr>
                      <w:b/>
                      <w:bCs/>
                      <w:color w:val="auto"/>
                      <w:sz w:val="21"/>
                      <w:szCs w:val="21"/>
                      <w:highlight w:val="none"/>
                    </w:rPr>
                  </w:pPr>
                  <w:r>
                    <w:rPr>
                      <w:b/>
                      <w:bCs/>
                      <w:color w:val="auto"/>
                      <w:sz w:val="21"/>
                      <w:szCs w:val="21"/>
                      <w:highlight w:val="none"/>
                    </w:rPr>
                    <w:t>环境功能</w:t>
                  </w:r>
                  <w:r>
                    <w:rPr>
                      <w:rFonts w:hint="eastAsia"/>
                      <w:b/>
                      <w:bCs/>
                      <w:color w:val="auto"/>
                      <w:sz w:val="21"/>
                      <w:szCs w:val="21"/>
                      <w:highlight w:val="none"/>
                    </w:rPr>
                    <w:t>区</w:t>
                  </w:r>
                </w:p>
              </w:tc>
              <w:tc>
                <w:tcPr>
                  <w:tcW w:w="1003" w:type="dxa"/>
                  <w:vMerge w:val="restart"/>
                  <w:tcBorders>
                    <w:top w:val="single" w:color="auto" w:sz="12" w:space="0"/>
                    <w:left w:val="single" w:color="000000" w:sz="6" w:space="0"/>
                    <w:right w:val="single" w:color="000000" w:sz="6" w:space="0"/>
                  </w:tcBorders>
                  <w:vAlign w:val="center"/>
                </w:tcPr>
                <w:p>
                  <w:pPr>
                    <w:pStyle w:val="53"/>
                    <w:ind w:left="0" w:leftChars="0"/>
                    <w:jc w:val="center"/>
                    <w:rPr>
                      <w:b/>
                      <w:bCs/>
                      <w:color w:val="auto"/>
                      <w:sz w:val="21"/>
                      <w:szCs w:val="21"/>
                      <w:highlight w:val="none"/>
                    </w:rPr>
                  </w:pPr>
                  <w:r>
                    <w:rPr>
                      <w:rFonts w:hint="eastAsia"/>
                      <w:b/>
                      <w:bCs/>
                      <w:color w:val="auto"/>
                      <w:sz w:val="21"/>
                      <w:szCs w:val="21"/>
                      <w:highlight w:val="none"/>
                    </w:rPr>
                    <w:t>相对厂址方位</w:t>
                  </w:r>
                </w:p>
              </w:tc>
              <w:tc>
                <w:tcPr>
                  <w:tcW w:w="1295" w:type="dxa"/>
                  <w:vMerge w:val="restart"/>
                  <w:tcBorders>
                    <w:top w:val="single" w:color="auto" w:sz="12" w:space="0"/>
                    <w:left w:val="single" w:color="000000" w:sz="6" w:space="0"/>
                    <w:right w:val="single" w:color="000000" w:sz="6" w:space="0"/>
                  </w:tcBorders>
                  <w:vAlign w:val="center"/>
                </w:tcPr>
                <w:p>
                  <w:pPr>
                    <w:pStyle w:val="52"/>
                    <w:rPr>
                      <w:b/>
                      <w:bCs/>
                      <w:caps w:val="0"/>
                      <w:color w:val="auto"/>
                      <w:kern w:val="2"/>
                      <w:sz w:val="21"/>
                      <w:szCs w:val="21"/>
                      <w:highlight w:val="none"/>
                    </w:rPr>
                  </w:pPr>
                  <w:r>
                    <w:rPr>
                      <w:rFonts w:hint="eastAsia"/>
                      <w:b/>
                      <w:bCs/>
                      <w:caps w:val="0"/>
                      <w:color w:val="auto"/>
                      <w:kern w:val="2"/>
                      <w:sz w:val="21"/>
                      <w:szCs w:val="21"/>
                      <w:highlight w:val="none"/>
                    </w:rPr>
                    <w:t>相对厂界距离（m）</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622" w:hRule="atLeast"/>
              </w:trPr>
              <w:tc>
                <w:tcPr>
                  <w:tcW w:w="964" w:type="dxa"/>
                  <w:vMerge w:val="continue"/>
                  <w:tcBorders>
                    <w:left w:val="single" w:color="000000" w:sz="6" w:space="0"/>
                    <w:bottom w:val="single" w:color="000000" w:sz="6" w:space="0"/>
                    <w:right w:val="single" w:color="000000" w:sz="6" w:space="0"/>
                  </w:tcBorders>
                  <w:vAlign w:val="center"/>
                </w:tcPr>
                <w:p>
                  <w:pPr>
                    <w:jc w:val="center"/>
                    <w:rPr>
                      <w:b/>
                      <w:bCs/>
                      <w:color w:val="auto"/>
                      <w:szCs w:val="21"/>
                      <w:highlight w:val="none"/>
                    </w:rPr>
                  </w:pPr>
                </w:p>
              </w:tc>
              <w:tc>
                <w:tcPr>
                  <w:tcW w:w="959" w:type="dxa"/>
                  <w:tcBorders>
                    <w:top w:val="single" w:color="auto" w:sz="12" w:space="0"/>
                    <w:left w:val="single" w:color="000000" w:sz="6" w:space="0"/>
                    <w:bottom w:val="single" w:color="000000" w:sz="6" w:space="0"/>
                    <w:right w:val="single" w:color="000000" w:sz="6" w:space="0"/>
                  </w:tcBorders>
                  <w:vAlign w:val="center"/>
                </w:tcPr>
                <w:p>
                  <w:pPr>
                    <w:jc w:val="center"/>
                    <w:rPr>
                      <w:b/>
                      <w:bCs/>
                      <w:color w:val="auto"/>
                      <w:szCs w:val="21"/>
                      <w:highlight w:val="none"/>
                    </w:rPr>
                  </w:pPr>
                  <w:r>
                    <w:rPr>
                      <w:rFonts w:hint="eastAsia"/>
                      <w:b/>
                      <w:bCs/>
                      <w:color w:val="auto"/>
                      <w:szCs w:val="21"/>
                      <w:highlight w:val="none"/>
                    </w:rPr>
                    <w:t>X</w:t>
                  </w:r>
                </w:p>
              </w:tc>
              <w:tc>
                <w:tcPr>
                  <w:tcW w:w="958" w:type="dxa"/>
                  <w:tcBorders>
                    <w:top w:val="single" w:color="auto" w:sz="12" w:space="0"/>
                    <w:left w:val="single" w:color="000000" w:sz="6" w:space="0"/>
                    <w:bottom w:val="single" w:color="000000" w:sz="6" w:space="0"/>
                    <w:right w:val="single" w:color="000000" w:sz="6" w:space="0"/>
                  </w:tcBorders>
                  <w:vAlign w:val="center"/>
                </w:tcPr>
                <w:p>
                  <w:pPr>
                    <w:jc w:val="center"/>
                    <w:rPr>
                      <w:b/>
                      <w:bCs/>
                      <w:color w:val="auto"/>
                      <w:szCs w:val="21"/>
                      <w:highlight w:val="none"/>
                    </w:rPr>
                  </w:pPr>
                  <w:r>
                    <w:rPr>
                      <w:rFonts w:hint="eastAsia"/>
                      <w:b/>
                      <w:bCs/>
                      <w:color w:val="auto"/>
                      <w:szCs w:val="21"/>
                      <w:highlight w:val="none"/>
                    </w:rPr>
                    <w:t>Y</w:t>
                  </w:r>
                </w:p>
              </w:tc>
              <w:tc>
                <w:tcPr>
                  <w:tcW w:w="958" w:type="dxa"/>
                  <w:vMerge w:val="continue"/>
                  <w:tcBorders>
                    <w:left w:val="single" w:color="000000" w:sz="6" w:space="0"/>
                    <w:bottom w:val="single" w:color="000000" w:sz="6" w:space="0"/>
                    <w:right w:val="single" w:color="000000" w:sz="6" w:space="0"/>
                  </w:tcBorders>
                  <w:vAlign w:val="center"/>
                </w:tcPr>
                <w:p>
                  <w:pPr>
                    <w:jc w:val="center"/>
                    <w:rPr>
                      <w:b/>
                      <w:bCs/>
                      <w:color w:val="auto"/>
                      <w:szCs w:val="21"/>
                      <w:highlight w:val="none"/>
                    </w:rPr>
                  </w:pPr>
                </w:p>
              </w:tc>
              <w:tc>
                <w:tcPr>
                  <w:tcW w:w="613" w:type="dxa"/>
                  <w:vMerge w:val="continue"/>
                  <w:tcBorders>
                    <w:left w:val="single" w:color="000000" w:sz="6" w:space="0"/>
                    <w:bottom w:val="single" w:color="000000" w:sz="6" w:space="0"/>
                    <w:right w:val="single" w:color="000000" w:sz="6" w:space="0"/>
                  </w:tcBorders>
                </w:tcPr>
                <w:p>
                  <w:pPr>
                    <w:jc w:val="center"/>
                    <w:rPr>
                      <w:b/>
                      <w:bCs/>
                      <w:color w:val="auto"/>
                      <w:szCs w:val="21"/>
                      <w:highlight w:val="none"/>
                    </w:rPr>
                  </w:pPr>
                </w:p>
              </w:tc>
              <w:tc>
                <w:tcPr>
                  <w:tcW w:w="1540" w:type="dxa"/>
                  <w:vMerge w:val="continue"/>
                  <w:tcBorders>
                    <w:left w:val="single" w:color="000000" w:sz="6" w:space="0"/>
                    <w:bottom w:val="single" w:color="000000" w:sz="6" w:space="0"/>
                    <w:right w:val="single" w:color="000000" w:sz="6" w:space="0"/>
                  </w:tcBorders>
                  <w:vAlign w:val="center"/>
                </w:tcPr>
                <w:p>
                  <w:pPr>
                    <w:pStyle w:val="53"/>
                    <w:ind w:left="0" w:leftChars="0"/>
                    <w:jc w:val="center"/>
                    <w:rPr>
                      <w:b/>
                      <w:bCs/>
                      <w:color w:val="auto"/>
                      <w:sz w:val="21"/>
                      <w:szCs w:val="21"/>
                      <w:highlight w:val="none"/>
                    </w:rPr>
                  </w:pPr>
                </w:p>
              </w:tc>
              <w:tc>
                <w:tcPr>
                  <w:tcW w:w="1003" w:type="dxa"/>
                  <w:vMerge w:val="continue"/>
                  <w:tcBorders>
                    <w:left w:val="single" w:color="000000" w:sz="6" w:space="0"/>
                    <w:bottom w:val="single" w:color="000000" w:sz="6" w:space="0"/>
                    <w:right w:val="single" w:color="000000" w:sz="6" w:space="0"/>
                  </w:tcBorders>
                  <w:vAlign w:val="center"/>
                </w:tcPr>
                <w:p>
                  <w:pPr>
                    <w:pStyle w:val="53"/>
                    <w:ind w:left="0" w:leftChars="0"/>
                    <w:jc w:val="center"/>
                    <w:rPr>
                      <w:b/>
                      <w:bCs/>
                      <w:color w:val="auto"/>
                      <w:sz w:val="21"/>
                      <w:szCs w:val="21"/>
                      <w:highlight w:val="none"/>
                    </w:rPr>
                  </w:pPr>
                </w:p>
              </w:tc>
              <w:tc>
                <w:tcPr>
                  <w:tcW w:w="1295" w:type="dxa"/>
                  <w:vMerge w:val="continue"/>
                  <w:tcBorders>
                    <w:left w:val="single" w:color="000000" w:sz="6" w:space="0"/>
                    <w:bottom w:val="single" w:color="000000" w:sz="6" w:space="0"/>
                    <w:right w:val="single" w:color="000000" w:sz="6" w:space="0"/>
                  </w:tcBorders>
                  <w:vAlign w:val="center"/>
                </w:tcPr>
                <w:p>
                  <w:pPr>
                    <w:pStyle w:val="52"/>
                    <w:rPr>
                      <w:b/>
                      <w:bCs/>
                      <w:caps w:val="0"/>
                      <w:color w:val="auto"/>
                      <w:kern w:val="2"/>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964" w:type="dxa"/>
                  <w:tcBorders>
                    <w:top w:val="single" w:color="000000" w:sz="6" w:space="0"/>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兴学</w:t>
                  </w:r>
                </w:p>
              </w:tc>
              <w:tc>
                <w:tcPr>
                  <w:tcW w:w="959" w:type="dxa"/>
                  <w:tcBorders>
                    <w:top w:val="single" w:color="000000" w:sz="6" w:space="0"/>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733</w:t>
                  </w:r>
                </w:p>
              </w:tc>
              <w:tc>
                <w:tcPr>
                  <w:tcW w:w="958" w:type="dxa"/>
                  <w:tcBorders>
                    <w:top w:val="single" w:color="000000" w:sz="6" w:space="0"/>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1</w:t>
                  </w:r>
                  <w:r>
                    <w:rPr>
                      <w:color w:val="auto"/>
                      <w:szCs w:val="21"/>
                      <w:highlight w:val="none"/>
                    </w:rPr>
                    <w:t>016</w:t>
                  </w:r>
                </w:p>
              </w:tc>
              <w:tc>
                <w:tcPr>
                  <w:tcW w:w="958"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color w:val="auto"/>
                      <w:szCs w:val="21"/>
                      <w:highlight w:val="none"/>
                    </w:rPr>
                    <w:t>村落，约200</w:t>
                  </w:r>
                  <w:r>
                    <w:rPr>
                      <w:rFonts w:ascii="宋体" w:hAnsi="宋体"/>
                      <w:color w:val="auto"/>
                      <w:szCs w:val="21"/>
                      <w:highlight w:val="none"/>
                    </w:rPr>
                    <w:t>人</w:t>
                  </w:r>
                </w:p>
              </w:tc>
              <w:tc>
                <w:tcPr>
                  <w:tcW w:w="613" w:type="dxa"/>
                  <w:vMerge w:val="restart"/>
                  <w:tcBorders>
                    <w:top w:val="single" w:color="000000" w:sz="6" w:space="0"/>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大气</w:t>
                  </w:r>
                </w:p>
              </w:tc>
              <w:tc>
                <w:tcPr>
                  <w:tcW w:w="1540" w:type="dxa"/>
                  <w:vMerge w:val="restart"/>
                  <w:tcBorders>
                    <w:top w:val="single" w:color="000000" w:sz="6" w:space="0"/>
                    <w:left w:val="single" w:color="000000" w:sz="6" w:space="0"/>
                    <w:right w:val="single" w:color="000000" w:sz="6" w:space="0"/>
                  </w:tcBorders>
                  <w:vAlign w:val="center"/>
                </w:tcPr>
                <w:p>
                  <w:pPr>
                    <w:jc w:val="center"/>
                    <w:rPr>
                      <w:color w:val="auto"/>
                      <w:szCs w:val="21"/>
                      <w:highlight w:val="none"/>
                    </w:rPr>
                  </w:pPr>
                  <w:r>
                    <w:rPr>
                      <w:color w:val="auto"/>
                      <w:szCs w:val="21"/>
                      <w:highlight w:val="none"/>
                    </w:rPr>
                    <w:t>《环境空气质量标准》(GB3095-2012)</w:t>
                  </w:r>
                  <w:r>
                    <w:rPr>
                      <w:rFonts w:ascii="宋体" w:hAnsi="宋体"/>
                      <w:color w:val="auto"/>
                      <w:szCs w:val="21"/>
                      <w:highlight w:val="none"/>
                    </w:rPr>
                    <w:t>二级标准</w:t>
                  </w:r>
                </w:p>
              </w:tc>
              <w:tc>
                <w:tcPr>
                  <w:tcW w:w="1003"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西北</w:t>
                  </w:r>
                </w:p>
              </w:tc>
              <w:tc>
                <w:tcPr>
                  <w:tcW w:w="1295"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1</w:t>
                  </w:r>
                  <w:r>
                    <w:rPr>
                      <w:color w:val="auto"/>
                      <w:szCs w:val="21"/>
                      <w:highlight w:val="none"/>
                    </w:rPr>
                    <w:t>210</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964"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顶村</w:t>
                  </w:r>
                </w:p>
              </w:tc>
              <w:tc>
                <w:tcPr>
                  <w:tcW w:w="959"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311</w:t>
                  </w:r>
                </w:p>
              </w:tc>
              <w:tc>
                <w:tcPr>
                  <w:tcW w:w="958"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1</w:t>
                  </w:r>
                  <w:r>
                    <w:rPr>
                      <w:color w:val="auto"/>
                      <w:szCs w:val="21"/>
                      <w:highlight w:val="none"/>
                    </w:rPr>
                    <w:t>740</w:t>
                  </w:r>
                </w:p>
              </w:tc>
              <w:tc>
                <w:tcPr>
                  <w:tcW w:w="958"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color w:val="auto"/>
                      <w:szCs w:val="21"/>
                      <w:highlight w:val="none"/>
                    </w:rPr>
                    <w:t>村落，约</w:t>
                  </w:r>
                  <w:r>
                    <w:rPr>
                      <w:rFonts w:hint="eastAsia"/>
                      <w:color w:val="auto"/>
                      <w:szCs w:val="21"/>
                      <w:highlight w:val="none"/>
                    </w:rPr>
                    <w:t>2</w:t>
                  </w:r>
                  <w:r>
                    <w:rPr>
                      <w:color w:val="auto"/>
                      <w:szCs w:val="21"/>
                      <w:highlight w:val="none"/>
                    </w:rPr>
                    <w:t>50</w:t>
                  </w:r>
                  <w:r>
                    <w:rPr>
                      <w:rFonts w:ascii="宋体" w:hAnsi="宋体"/>
                      <w:color w:val="auto"/>
                      <w:szCs w:val="21"/>
                      <w:highlight w:val="none"/>
                    </w:rPr>
                    <w:t>人</w:t>
                  </w:r>
                </w:p>
              </w:tc>
              <w:tc>
                <w:tcPr>
                  <w:tcW w:w="613" w:type="dxa"/>
                  <w:vMerge w:val="continue"/>
                  <w:tcBorders>
                    <w:left w:val="single" w:color="000000" w:sz="6" w:space="0"/>
                    <w:right w:val="single" w:color="000000" w:sz="6" w:space="0"/>
                  </w:tcBorders>
                </w:tcPr>
                <w:p>
                  <w:pPr>
                    <w:jc w:val="center"/>
                    <w:rPr>
                      <w:color w:val="auto"/>
                      <w:szCs w:val="21"/>
                      <w:highlight w:val="none"/>
                    </w:rPr>
                  </w:pPr>
                </w:p>
              </w:tc>
              <w:tc>
                <w:tcPr>
                  <w:tcW w:w="1540" w:type="dxa"/>
                  <w:vMerge w:val="continue"/>
                  <w:tcBorders>
                    <w:left w:val="single" w:color="000000" w:sz="6" w:space="0"/>
                    <w:right w:val="single" w:color="000000" w:sz="6" w:space="0"/>
                  </w:tcBorders>
                </w:tcPr>
                <w:p>
                  <w:pPr>
                    <w:jc w:val="center"/>
                    <w:rPr>
                      <w:color w:val="auto"/>
                      <w:szCs w:val="21"/>
                      <w:highlight w:val="none"/>
                    </w:rPr>
                  </w:pPr>
                </w:p>
              </w:tc>
              <w:tc>
                <w:tcPr>
                  <w:tcW w:w="1003"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西北</w:t>
                  </w:r>
                </w:p>
              </w:tc>
              <w:tc>
                <w:tcPr>
                  <w:tcW w:w="1295"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1</w:t>
                  </w:r>
                  <w:r>
                    <w:rPr>
                      <w:color w:val="auto"/>
                      <w:szCs w:val="21"/>
                      <w:highlight w:val="none"/>
                    </w:rPr>
                    <w:t>710</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964"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沙塘</w:t>
                  </w:r>
                </w:p>
              </w:tc>
              <w:tc>
                <w:tcPr>
                  <w:tcW w:w="959"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943</w:t>
                  </w:r>
                </w:p>
              </w:tc>
              <w:tc>
                <w:tcPr>
                  <w:tcW w:w="958"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1</w:t>
                  </w:r>
                  <w:r>
                    <w:rPr>
                      <w:color w:val="auto"/>
                      <w:szCs w:val="21"/>
                      <w:highlight w:val="none"/>
                    </w:rPr>
                    <w:t>941</w:t>
                  </w:r>
                </w:p>
              </w:tc>
              <w:tc>
                <w:tcPr>
                  <w:tcW w:w="958"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color w:val="auto"/>
                      <w:szCs w:val="21"/>
                      <w:highlight w:val="none"/>
                    </w:rPr>
                    <w:t>村落，约200</w:t>
                  </w:r>
                  <w:r>
                    <w:rPr>
                      <w:rFonts w:ascii="宋体" w:hAnsi="宋体"/>
                      <w:color w:val="auto"/>
                      <w:szCs w:val="21"/>
                      <w:highlight w:val="none"/>
                    </w:rPr>
                    <w:t>人</w:t>
                  </w:r>
                </w:p>
              </w:tc>
              <w:tc>
                <w:tcPr>
                  <w:tcW w:w="613" w:type="dxa"/>
                  <w:vMerge w:val="continue"/>
                  <w:tcBorders>
                    <w:left w:val="single" w:color="000000" w:sz="6" w:space="0"/>
                    <w:right w:val="single" w:color="000000" w:sz="6" w:space="0"/>
                  </w:tcBorders>
                </w:tcPr>
                <w:p>
                  <w:pPr>
                    <w:jc w:val="center"/>
                    <w:rPr>
                      <w:color w:val="auto"/>
                      <w:szCs w:val="21"/>
                      <w:highlight w:val="none"/>
                    </w:rPr>
                  </w:pPr>
                </w:p>
              </w:tc>
              <w:tc>
                <w:tcPr>
                  <w:tcW w:w="1540" w:type="dxa"/>
                  <w:vMerge w:val="continue"/>
                  <w:tcBorders>
                    <w:left w:val="single" w:color="000000" w:sz="6" w:space="0"/>
                    <w:right w:val="single" w:color="000000" w:sz="6" w:space="0"/>
                  </w:tcBorders>
                </w:tcPr>
                <w:p>
                  <w:pPr>
                    <w:jc w:val="center"/>
                    <w:rPr>
                      <w:color w:val="auto"/>
                      <w:szCs w:val="21"/>
                      <w:highlight w:val="none"/>
                    </w:rPr>
                  </w:pPr>
                </w:p>
              </w:tc>
              <w:tc>
                <w:tcPr>
                  <w:tcW w:w="1003"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西北</w:t>
                  </w:r>
                </w:p>
              </w:tc>
              <w:tc>
                <w:tcPr>
                  <w:tcW w:w="1295"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2</w:t>
                  </w:r>
                  <w:r>
                    <w:rPr>
                      <w:color w:val="auto"/>
                      <w:szCs w:val="21"/>
                      <w:highlight w:val="none"/>
                    </w:rPr>
                    <w:t>100</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964"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锦屏村</w:t>
                  </w:r>
                </w:p>
              </w:tc>
              <w:tc>
                <w:tcPr>
                  <w:tcW w:w="959"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962</w:t>
                  </w:r>
                </w:p>
              </w:tc>
              <w:tc>
                <w:tcPr>
                  <w:tcW w:w="958"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2</w:t>
                  </w:r>
                  <w:r>
                    <w:rPr>
                      <w:color w:val="auto"/>
                      <w:szCs w:val="21"/>
                      <w:highlight w:val="none"/>
                    </w:rPr>
                    <w:t>198</w:t>
                  </w:r>
                </w:p>
              </w:tc>
              <w:tc>
                <w:tcPr>
                  <w:tcW w:w="958"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color w:val="auto"/>
                      <w:szCs w:val="21"/>
                      <w:highlight w:val="none"/>
                    </w:rPr>
                    <w:t>村落，约300</w:t>
                  </w:r>
                  <w:r>
                    <w:rPr>
                      <w:rFonts w:ascii="宋体" w:hAnsi="宋体"/>
                      <w:color w:val="auto"/>
                      <w:szCs w:val="21"/>
                      <w:highlight w:val="none"/>
                    </w:rPr>
                    <w:t>人</w:t>
                  </w:r>
                </w:p>
              </w:tc>
              <w:tc>
                <w:tcPr>
                  <w:tcW w:w="613" w:type="dxa"/>
                  <w:vMerge w:val="continue"/>
                  <w:tcBorders>
                    <w:left w:val="single" w:color="000000" w:sz="6" w:space="0"/>
                    <w:right w:val="single" w:color="000000" w:sz="6" w:space="0"/>
                  </w:tcBorders>
                </w:tcPr>
                <w:p>
                  <w:pPr>
                    <w:jc w:val="center"/>
                    <w:rPr>
                      <w:color w:val="auto"/>
                      <w:szCs w:val="21"/>
                      <w:highlight w:val="none"/>
                    </w:rPr>
                  </w:pPr>
                </w:p>
              </w:tc>
              <w:tc>
                <w:tcPr>
                  <w:tcW w:w="1540" w:type="dxa"/>
                  <w:vMerge w:val="continue"/>
                  <w:tcBorders>
                    <w:left w:val="single" w:color="000000" w:sz="6" w:space="0"/>
                    <w:right w:val="single" w:color="000000" w:sz="6" w:space="0"/>
                  </w:tcBorders>
                </w:tcPr>
                <w:p>
                  <w:pPr>
                    <w:jc w:val="center"/>
                    <w:rPr>
                      <w:color w:val="auto"/>
                      <w:szCs w:val="21"/>
                      <w:highlight w:val="none"/>
                    </w:rPr>
                  </w:pPr>
                </w:p>
              </w:tc>
              <w:tc>
                <w:tcPr>
                  <w:tcW w:w="1003"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西北</w:t>
                  </w:r>
                </w:p>
              </w:tc>
              <w:tc>
                <w:tcPr>
                  <w:tcW w:w="1295"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2</w:t>
                  </w:r>
                  <w:r>
                    <w:rPr>
                      <w:color w:val="auto"/>
                      <w:szCs w:val="21"/>
                      <w:highlight w:val="none"/>
                    </w:rPr>
                    <w:t>300</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964"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堂美</w:t>
                  </w:r>
                </w:p>
              </w:tc>
              <w:tc>
                <w:tcPr>
                  <w:tcW w:w="959"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2317</w:t>
                  </w:r>
                </w:p>
              </w:tc>
              <w:tc>
                <w:tcPr>
                  <w:tcW w:w="958"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2</w:t>
                  </w:r>
                  <w:r>
                    <w:rPr>
                      <w:color w:val="auto"/>
                      <w:szCs w:val="21"/>
                      <w:highlight w:val="none"/>
                    </w:rPr>
                    <w:t>088</w:t>
                  </w:r>
                </w:p>
              </w:tc>
              <w:tc>
                <w:tcPr>
                  <w:tcW w:w="958"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color w:val="auto"/>
                      <w:szCs w:val="21"/>
                      <w:highlight w:val="none"/>
                    </w:rPr>
                    <w:t>村落，约240</w:t>
                  </w:r>
                  <w:r>
                    <w:rPr>
                      <w:rFonts w:ascii="宋体" w:hAnsi="宋体"/>
                      <w:color w:val="auto"/>
                      <w:szCs w:val="21"/>
                      <w:highlight w:val="none"/>
                    </w:rPr>
                    <w:t>人</w:t>
                  </w:r>
                </w:p>
              </w:tc>
              <w:tc>
                <w:tcPr>
                  <w:tcW w:w="613" w:type="dxa"/>
                  <w:vMerge w:val="continue"/>
                  <w:tcBorders>
                    <w:left w:val="single" w:color="000000" w:sz="6" w:space="0"/>
                    <w:right w:val="single" w:color="000000" w:sz="6" w:space="0"/>
                  </w:tcBorders>
                </w:tcPr>
                <w:p>
                  <w:pPr>
                    <w:jc w:val="center"/>
                    <w:rPr>
                      <w:color w:val="auto"/>
                      <w:szCs w:val="21"/>
                      <w:highlight w:val="none"/>
                    </w:rPr>
                  </w:pPr>
                </w:p>
              </w:tc>
              <w:tc>
                <w:tcPr>
                  <w:tcW w:w="1540" w:type="dxa"/>
                  <w:vMerge w:val="continue"/>
                  <w:tcBorders>
                    <w:left w:val="single" w:color="000000" w:sz="6" w:space="0"/>
                    <w:right w:val="single" w:color="000000" w:sz="6" w:space="0"/>
                  </w:tcBorders>
                </w:tcPr>
                <w:p>
                  <w:pPr>
                    <w:jc w:val="center"/>
                    <w:rPr>
                      <w:color w:val="auto"/>
                      <w:szCs w:val="21"/>
                      <w:highlight w:val="none"/>
                    </w:rPr>
                  </w:pPr>
                </w:p>
              </w:tc>
              <w:tc>
                <w:tcPr>
                  <w:tcW w:w="1003"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西北</w:t>
                  </w:r>
                </w:p>
              </w:tc>
              <w:tc>
                <w:tcPr>
                  <w:tcW w:w="1295"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3</w:t>
                  </w:r>
                  <w:r>
                    <w:rPr>
                      <w:color w:val="auto"/>
                      <w:szCs w:val="21"/>
                      <w:highlight w:val="none"/>
                    </w:rPr>
                    <w:t>000</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964"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居民区1</w:t>
                  </w:r>
                </w:p>
              </w:tc>
              <w:tc>
                <w:tcPr>
                  <w:tcW w:w="959"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8</w:t>
                  </w:r>
                  <w:r>
                    <w:rPr>
                      <w:color w:val="auto"/>
                      <w:szCs w:val="21"/>
                      <w:highlight w:val="none"/>
                    </w:rPr>
                    <w:t>52</w:t>
                  </w:r>
                </w:p>
              </w:tc>
              <w:tc>
                <w:tcPr>
                  <w:tcW w:w="958"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55</w:t>
                  </w:r>
                </w:p>
              </w:tc>
              <w:tc>
                <w:tcPr>
                  <w:tcW w:w="958"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color w:val="auto"/>
                      <w:szCs w:val="21"/>
                      <w:highlight w:val="none"/>
                    </w:rPr>
                    <w:t>村落，约260</w:t>
                  </w:r>
                  <w:r>
                    <w:rPr>
                      <w:rFonts w:ascii="宋体" w:hAnsi="宋体"/>
                      <w:color w:val="auto"/>
                      <w:szCs w:val="21"/>
                      <w:highlight w:val="none"/>
                    </w:rPr>
                    <w:t>人</w:t>
                  </w:r>
                </w:p>
              </w:tc>
              <w:tc>
                <w:tcPr>
                  <w:tcW w:w="613" w:type="dxa"/>
                  <w:vMerge w:val="continue"/>
                  <w:tcBorders>
                    <w:left w:val="single" w:color="000000" w:sz="6" w:space="0"/>
                    <w:right w:val="single" w:color="000000" w:sz="6" w:space="0"/>
                  </w:tcBorders>
                </w:tcPr>
                <w:p>
                  <w:pPr>
                    <w:jc w:val="center"/>
                    <w:rPr>
                      <w:color w:val="auto"/>
                      <w:szCs w:val="21"/>
                      <w:highlight w:val="none"/>
                    </w:rPr>
                  </w:pPr>
                </w:p>
              </w:tc>
              <w:tc>
                <w:tcPr>
                  <w:tcW w:w="1540" w:type="dxa"/>
                  <w:vMerge w:val="continue"/>
                  <w:tcBorders>
                    <w:left w:val="single" w:color="000000" w:sz="6" w:space="0"/>
                    <w:right w:val="single" w:color="000000" w:sz="6" w:space="0"/>
                  </w:tcBorders>
                </w:tcPr>
                <w:p>
                  <w:pPr>
                    <w:jc w:val="center"/>
                    <w:rPr>
                      <w:color w:val="auto"/>
                      <w:szCs w:val="21"/>
                      <w:highlight w:val="none"/>
                    </w:rPr>
                  </w:pPr>
                </w:p>
              </w:tc>
              <w:tc>
                <w:tcPr>
                  <w:tcW w:w="1003"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东</w:t>
                  </w:r>
                </w:p>
              </w:tc>
              <w:tc>
                <w:tcPr>
                  <w:tcW w:w="1295"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7</w:t>
                  </w:r>
                  <w:r>
                    <w:rPr>
                      <w:color w:val="auto"/>
                      <w:szCs w:val="21"/>
                      <w:highlight w:val="none"/>
                    </w:rPr>
                    <w:t>30</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964"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碧桂园</w:t>
                  </w:r>
                </w:p>
              </w:tc>
              <w:tc>
                <w:tcPr>
                  <w:tcW w:w="959"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1</w:t>
                  </w:r>
                  <w:r>
                    <w:rPr>
                      <w:color w:val="auto"/>
                      <w:szCs w:val="21"/>
                      <w:highlight w:val="none"/>
                    </w:rPr>
                    <w:t>841</w:t>
                  </w:r>
                </w:p>
              </w:tc>
              <w:tc>
                <w:tcPr>
                  <w:tcW w:w="958"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1</w:t>
                  </w:r>
                  <w:r>
                    <w:rPr>
                      <w:color w:val="auto"/>
                      <w:szCs w:val="21"/>
                      <w:highlight w:val="none"/>
                    </w:rPr>
                    <w:t>071</w:t>
                  </w:r>
                </w:p>
              </w:tc>
              <w:tc>
                <w:tcPr>
                  <w:tcW w:w="958"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color w:val="auto"/>
                      <w:szCs w:val="21"/>
                      <w:highlight w:val="none"/>
                    </w:rPr>
                    <w:t>村落，约2000</w:t>
                  </w:r>
                  <w:r>
                    <w:rPr>
                      <w:rFonts w:ascii="宋体" w:hAnsi="宋体"/>
                      <w:color w:val="auto"/>
                      <w:szCs w:val="21"/>
                      <w:highlight w:val="none"/>
                    </w:rPr>
                    <w:t>人</w:t>
                  </w:r>
                </w:p>
              </w:tc>
              <w:tc>
                <w:tcPr>
                  <w:tcW w:w="613" w:type="dxa"/>
                  <w:vMerge w:val="continue"/>
                  <w:tcBorders>
                    <w:left w:val="single" w:color="000000" w:sz="6" w:space="0"/>
                    <w:right w:val="single" w:color="000000" w:sz="6" w:space="0"/>
                  </w:tcBorders>
                </w:tcPr>
                <w:p>
                  <w:pPr>
                    <w:jc w:val="center"/>
                    <w:rPr>
                      <w:color w:val="auto"/>
                      <w:szCs w:val="21"/>
                      <w:highlight w:val="none"/>
                    </w:rPr>
                  </w:pPr>
                </w:p>
              </w:tc>
              <w:tc>
                <w:tcPr>
                  <w:tcW w:w="1540" w:type="dxa"/>
                  <w:vMerge w:val="continue"/>
                  <w:tcBorders>
                    <w:left w:val="single" w:color="000000" w:sz="6" w:space="0"/>
                    <w:right w:val="single" w:color="000000" w:sz="6" w:space="0"/>
                  </w:tcBorders>
                </w:tcPr>
                <w:p>
                  <w:pPr>
                    <w:jc w:val="center"/>
                    <w:rPr>
                      <w:color w:val="auto"/>
                      <w:szCs w:val="21"/>
                      <w:highlight w:val="none"/>
                    </w:rPr>
                  </w:pPr>
                </w:p>
              </w:tc>
              <w:tc>
                <w:tcPr>
                  <w:tcW w:w="1003"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东北</w:t>
                  </w:r>
                </w:p>
              </w:tc>
              <w:tc>
                <w:tcPr>
                  <w:tcW w:w="1295"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2</w:t>
                  </w:r>
                  <w:r>
                    <w:rPr>
                      <w:color w:val="auto"/>
                      <w:szCs w:val="21"/>
                      <w:highlight w:val="none"/>
                    </w:rPr>
                    <w:t>000</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964"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居民区2</w:t>
                  </w:r>
                </w:p>
              </w:tc>
              <w:tc>
                <w:tcPr>
                  <w:tcW w:w="959"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2</w:t>
                  </w:r>
                  <w:r>
                    <w:rPr>
                      <w:color w:val="auto"/>
                      <w:szCs w:val="21"/>
                      <w:highlight w:val="none"/>
                    </w:rPr>
                    <w:t>051</w:t>
                  </w:r>
                </w:p>
              </w:tc>
              <w:tc>
                <w:tcPr>
                  <w:tcW w:w="958"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1126</w:t>
                  </w:r>
                </w:p>
              </w:tc>
              <w:tc>
                <w:tcPr>
                  <w:tcW w:w="958"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color w:val="auto"/>
                      <w:szCs w:val="21"/>
                      <w:highlight w:val="none"/>
                    </w:rPr>
                    <w:t>村落，约300</w:t>
                  </w:r>
                  <w:r>
                    <w:rPr>
                      <w:rFonts w:ascii="宋体" w:hAnsi="宋体"/>
                      <w:color w:val="auto"/>
                      <w:szCs w:val="21"/>
                      <w:highlight w:val="none"/>
                    </w:rPr>
                    <w:t>人</w:t>
                  </w:r>
                </w:p>
              </w:tc>
              <w:tc>
                <w:tcPr>
                  <w:tcW w:w="613" w:type="dxa"/>
                  <w:vMerge w:val="continue"/>
                  <w:tcBorders>
                    <w:left w:val="single" w:color="000000" w:sz="6" w:space="0"/>
                    <w:right w:val="single" w:color="000000" w:sz="6" w:space="0"/>
                  </w:tcBorders>
                </w:tcPr>
                <w:p>
                  <w:pPr>
                    <w:jc w:val="center"/>
                    <w:rPr>
                      <w:color w:val="auto"/>
                      <w:szCs w:val="21"/>
                      <w:highlight w:val="none"/>
                    </w:rPr>
                  </w:pPr>
                </w:p>
              </w:tc>
              <w:tc>
                <w:tcPr>
                  <w:tcW w:w="1540" w:type="dxa"/>
                  <w:vMerge w:val="continue"/>
                  <w:tcBorders>
                    <w:left w:val="single" w:color="000000" w:sz="6" w:space="0"/>
                    <w:right w:val="single" w:color="000000" w:sz="6" w:space="0"/>
                  </w:tcBorders>
                </w:tcPr>
                <w:p>
                  <w:pPr>
                    <w:jc w:val="center"/>
                    <w:rPr>
                      <w:color w:val="auto"/>
                      <w:szCs w:val="21"/>
                      <w:highlight w:val="none"/>
                    </w:rPr>
                  </w:pPr>
                </w:p>
              </w:tc>
              <w:tc>
                <w:tcPr>
                  <w:tcW w:w="1003"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东南</w:t>
                  </w:r>
                </w:p>
              </w:tc>
              <w:tc>
                <w:tcPr>
                  <w:tcW w:w="1295"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2</w:t>
                  </w:r>
                  <w:r>
                    <w:rPr>
                      <w:color w:val="auto"/>
                      <w:szCs w:val="21"/>
                      <w:highlight w:val="none"/>
                    </w:rPr>
                    <w:t>000</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964"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同德</w:t>
                  </w:r>
                </w:p>
              </w:tc>
              <w:tc>
                <w:tcPr>
                  <w:tcW w:w="959"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1</w:t>
                  </w:r>
                  <w:r>
                    <w:rPr>
                      <w:color w:val="auto"/>
                      <w:szCs w:val="21"/>
                      <w:highlight w:val="none"/>
                    </w:rPr>
                    <w:t>310</w:t>
                  </w:r>
                </w:p>
              </w:tc>
              <w:tc>
                <w:tcPr>
                  <w:tcW w:w="958"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1355</w:t>
                  </w:r>
                </w:p>
              </w:tc>
              <w:tc>
                <w:tcPr>
                  <w:tcW w:w="958"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color w:val="auto"/>
                      <w:szCs w:val="21"/>
                      <w:highlight w:val="none"/>
                    </w:rPr>
                    <w:t>村落，约200</w:t>
                  </w:r>
                  <w:r>
                    <w:rPr>
                      <w:rFonts w:ascii="宋体" w:hAnsi="宋体"/>
                      <w:color w:val="auto"/>
                      <w:szCs w:val="21"/>
                      <w:highlight w:val="none"/>
                    </w:rPr>
                    <w:t>人</w:t>
                  </w:r>
                </w:p>
              </w:tc>
              <w:tc>
                <w:tcPr>
                  <w:tcW w:w="613" w:type="dxa"/>
                  <w:vMerge w:val="continue"/>
                  <w:tcBorders>
                    <w:left w:val="single" w:color="000000" w:sz="6" w:space="0"/>
                    <w:right w:val="single" w:color="000000" w:sz="6" w:space="0"/>
                  </w:tcBorders>
                </w:tcPr>
                <w:p>
                  <w:pPr>
                    <w:jc w:val="center"/>
                    <w:rPr>
                      <w:color w:val="auto"/>
                      <w:szCs w:val="21"/>
                      <w:highlight w:val="none"/>
                    </w:rPr>
                  </w:pPr>
                </w:p>
              </w:tc>
              <w:tc>
                <w:tcPr>
                  <w:tcW w:w="1540" w:type="dxa"/>
                  <w:vMerge w:val="continue"/>
                  <w:tcBorders>
                    <w:left w:val="single" w:color="000000" w:sz="6" w:space="0"/>
                    <w:right w:val="single" w:color="000000" w:sz="6" w:space="0"/>
                  </w:tcBorders>
                </w:tcPr>
                <w:p>
                  <w:pPr>
                    <w:jc w:val="center"/>
                    <w:rPr>
                      <w:color w:val="auto"/>
                      <w:szCs w:val="21"/>
                      <w:highlight w:val="none"/>
                    </w:rPr>
                  </w:pPr>
                </w:p>
              </w:tc>
              <w:tc>
                <w:tcPr>
                  <w:tcW w:w="1003"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东南</w:t>
                  </w:r>
                </w:p>
              </w:tc>
              <w:tc>
                <w:tcPr>
                  <w:tcW w:w="1295"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1</w:t>
                  </w:r>
                  <w:r>
                    <w:rPr>
                      <w:color w:val="auto"/>
                      <w:szCs w:val="21"/>
                      <w:highlight w:val="none"/>
                    </w:rPr>
                    <w:t>670</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964"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鹅鬓</w:t>
                  </w:r>
                </w:p>
              </w:tc>
              <w:tc>
                <w:tcPr>
                  <w:tcW w:w="959"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2</w:t>
                  </w:r>
                  <w:r>
                    <w:rPr>
                      <w:color w:val="auto"/>
                      <w:szCs w:val="21"/>
                      <w:highlight w:val="none"/>
                    </w:rPr>
                    <w:t>390</w:t>
                  </w:r>
                </w:p>
              </w:tc>
              <w:tc>
                <w:tcPr>
                  <w:tcW w:w="958"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1255</w:t>
                  </w:r>
                </w:p>
              </w:tc>
              <w:tc>
                <w:tcPr>
                  <w:tcW w:w="958"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color w:val="auto"/>
                      <w:szCs w:val="21"/>
                      <w:highlight w:val="none"/>
                    </w:rPr>
                    <w:t>村落，约150</w:t>
                  </w:r>
                  <w:r>
                    <w:rPr>
                      <w:rFonts w:ascii="宋体" w:hAnsi="宋体"/>
                      <w:color w:val="auto"/>
                      <w:szCs w:val="21"/>
                      <w:highlight w:val="none"/>
                    </w:rPr>
                    <w:t>人</w:t>
                  </w:r>
                </w:p>
              </w:tc>
              <w:tc>
                <w:tcPr>
                  <w:tcW w:w="613" w:type="dxa"/>
                  <w:vMerge w:val="continue"/>
                  <w:tcBorders>
                    <w:left w:val="single" w:color="000000" w:sz="6" w:space="0"/>
                    <w:right w:val="single" w:color="000000" w:sz="6" w:space="0"/>
                  </w:tcBorders>
                </w:tcPr>
                <w:p>
                  <w:pPr>
                    <w:jc w:val="center"/>
                    <w:rPr>
                      <w:color w:val="auto"/>
                      <w:szCs w:val="21"/>
                      <w:highlight w:val="none"/>
                    </w:rPr>
                  </w:pPr>
                </w:p>
              </w:tc>
              <w:tc>
                <w:tcPr>
                  <w:tcW w:w="1540" w:type="dxa"/>
                  <w:vMerge w:val="continue"/>
                  <w:tcBorders>
                    <w:left w:val="single" w:color="000000" w:sz="6" w:space="0"/>
                    <w:right w:val="single" w:color="000000" w:sz="6" w:space="0"/>
                  </w:tcBorders>
                </w:tcPr>
                <w:p>
                  <w:pPr>
                    <w:jc w:val="center"/>
                    <w:rPr>
                      <w:color w:val="auto"/>
                      <w:szCs w:val="21"/>
                      <w:highlight w:val="none"/>
                    </w:rPr>
                  </w:pPr>
                </w:p>
              </w:tc>
              <w:tc>
                <w:tcPr>
                  <w:tcW w:w="1003"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东南</w:t>
                  </w:r>
                </w:p>
              </w:tc>
              <w:tc>
                <w:tcPr>
                  <w:tcW w:w="1295"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2</w:t>
                  </w:r>
                  <w:r>
                    <w:rPr>
                      <w:color w:val="auto"/>
                      <w:szCs w:val="21"/>
                      <w:highlight w:val="none"/>
                    </w:rPr>
                    <w:t>500</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964"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合群</w:t>
                  </w:r>
                </w:p>
              </w:tc>
              <w:tc>
                <w:tcPr>
                  <w:tcW w:w="959"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2</w:t>
                  </w:r>
                  <w:r>
                    <w:rPr>
                      <w:color w:val="auto"/>
                      <w:szCs w:val="21"/>
                      <w:highlight w:val="none"/>
                    </w:rPr>
                    <w:t>207</w:t>
                  </w:r>
                </w:p>
              </w:tc>
              <w:tc>
                <w:tcPr>
                  <w:tcW w:w="958"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1694</w:t>
                  </w:r>
                </w:p>
              </w:tc>
              <w:tc>
                <w:tcPr>
                  <w:tcW w:w="958"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color w:val="auto"/>
                      <w:szCs w:val="21"/>
                      <w:highlight w:val="none"/>
                    </w:rPr>
                    <w:t>村落，约100</w:t>
                  </w:r>
                  <w:r>
                    <w:rPr>
                      <w:rFonts w:ascii="宋体" w:hAnsi="宋体"/>
                      <w:color w:val="auto"/>
                      <w:szCs w:val="21"/>
                      <w:highlight w:val="none"/>
                    </w:rPr>
                    <w:t>人</w:t>
                  </w:r>
                </w:p>
              </w:tc>
              <w:tc>
                <w:tcPr>
                  <w:tcW w:w="613" w:type="dxa"/>
                  <w:vMerge w:val="continue"/>
                  <w:tcBorders>
                    <w:left w:val="single" w:color="000000" w:sz="6" w:space="0"/>
                    <w:right w:val="single" w:color="000000" w:sz="6" w:space="0"/>
                  </w:tcBorders>
                </w:tcPr>
                <w:p>
                  <w:pPr>
                    <w:jc w:val="center"/>
                    <w:rPr>
                      <w:color w:val="auto"/>
                      <w:szCs w:val="21"/>
                      <w:highlight w:val="none"/>
                    </w:rPr>
                  </w:pPr>
                </w:p>
              </w:tc>
              <w:tc>
                <w:tcPr>
                  <w:tcW w:w="1540" w:type="dxa"/>
                  <w:vMerge w:val="continue"/>
                  <w:tcBorders>
                    <w:left w:val="single" w:color="000000" w:sz="6" w:space="0"/>
                    <w:right w:val="single" w:color="000000" w:sz="6" w:space="0"/>
                  </w:tcBorders>
                </w:tcPr>
                <w:p>
                  <w:pPr>
                    <w:jc w:val="center"/>
                    <w:rPr>
                      <w:color w:val="auto"/>
                      <w:szCs w:val="21"/>
                      <w:highlight w:val="none"/>
                    </w:rPr>
                  </w:pPr>
                </w:p>
              </w:tc>
              <w:tc>
                <w:tcPr>
                  <w:tcW w:w="1003"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东南</w:t>
                  </w:r>
                </w:p>
              </w:tc>
              <w:tc>
                <w:tcPr>
                  <w:tcW w:w="1295"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2</w:t>
                  </w:r>
                  <w:r>
                    <w:rPr>
                      <w:color w:val="auto"/>
                      <w:szCs w:val="21"/>
                      <w:highlight w:val="none"/>
                    </w:rPr>
                    <w:t>570</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964"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大垯</w:t>
                  </w:r>
                </w:p>
              </w:tc>
              <w:tc>
                <w:tcPr>
                  <w:tcW w:w="959"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2</w:t>
                  </w:r>
                  <w:r>
                    <w:rPr>
                      <w:color w:val="auto"/>
                      <w:szCs w:val="21"/>
                      <w:highlight w:val="none"/>
                    </w:rPr>
                    <w:t>060</w:t>
                  </w:r>
                </w:p>
              </w:tc>
              <w:tc>
                <w:tcPr>
                  <w:tcW w:w="958"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1905</w:t>
                  </w:r>
                </w:p>
              </w:tc>
              <w:tc>
                <w:tcPr>
                  <w:tcW w:w="958"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color w:val="auto"/>
                      <w:szCs w:val="21"/>
                      <w:highlight w:val="none"/>
                    </w:rPr>
                    <w:t>村落，约300</w:t>
                  </w:r>
                  <w:r>
                    <w:rPr>
                      <w:rFonts w:ascii="宋体" w:hAnsi="宋体"/>
                      <w:color w:val="auto"/>
                      <w:szCs w:val="21"/>
                      <w:highlight w:val="none"/>
                    </w:rPr>
                    <w:t>人</w:t>
                  </w:r>
                </w:p>
              </w:tc>
              <w:tc>
                <w:tcPr>
                  <w:tcW w:w="613" w:type="dxa"/>
                  <w:vMerge w:val="continue"/>
                  <w:tcBorders>
                    <w:left w:val="single" w:color="000000" w:sz="6" w:space="0"/>
                    <w:right w:val="single" w:color="000000" w:sz="6" w:space="0"/>
                  </w:tcBorders>
                </w:tcPr>
                <w:p>
                  <w:pPr>
                    <w:jc w:val="center"/>
                    <w:rPr>
                      <w:color w:val="auto"/>
                      <w:szCs w:val="21"/>
                      <w:highlight w:val="none"/>
                    </w:rPr>
                  </w:pPr>
                </w:p>
              </w:tc>
              <w:tc>
                <w:tcPr>
                  <w:tcW w:w="1540" w:type="dxa"/>
                  <w:vMerge w:val="continue"/>
                  <w:tcBorders>
                    <w:left w:val="single" w:color="000000" w:sz="6" w:space="0"/>
                    <w:right w:val="single" w:color="000000" w:sz="6" w:space="0"/>
                  </w:tcBorders>
                </w:tcPr>
                <w:p>
                  <w:pPr>
                    <w:jc w:val="center"/>
                    <w:rPr>
                      <w:color w:val="auto"/>
                      <w:szCs w:val="21"/>
                      <w:highlight w:val="none"/>
                    </w:rPr>
                  </w:pPr>
                </w:p>
              </w:tc>
              <w:tc>
                <w:tcPr>
                  <w:tcW w:w="1003"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东南</w:t>
                  </w:r>
                </w:p>
              </w:tc>
              <w:tc>
                <w:tcPr>
                  <w:tcW w:w="1295"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2</w:t>
                  </w:r>
                  <w:r>
                    <w:rPr>
                      <w:color w:val="auto"/>
                      <w:szCs w:val="21"/>
                      <w:highlight w:val="none"/>
                    </w:rPr>
                    <w:t>540</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964"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爱民村</w:t>
                  </w:r>
                </w:p>
              </w:tc>
              <w:tc>
                <w:tcPr>
                  <w:tcW w:w="959"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2</w:t>
                  </w:r>
                  <w:r>
                    <w:rPr>
                      <w:color w:val="auto"/>
                      <w:szCs w:val="21"/>
                      <w:highlight w:val="none"/>
                    </w:rPr>
                    <w:t>399</w:t>
                  </w:r>
                </w:p>
              </w:tc>
              <w:tc>
                <w:tcPr>
                  <w:tcW w:w="958"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2024</w:t>
                  </w:r>
                </w:p>
              </w:tc>
              <w:tc>
                <w:tcPr>
                  <w:tcW w:w="958"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color w:val="auto"/>
                      <w:szCs w:val="21"/>
                      <w:highlight w:val="none"/>
                    </w:rPr>
                    <w:t>村落，约300</w:t>
                  </w:r>
                  <w:r>
                    <w:rPr>
                      <w:rFonts w:ascii="宋体" w:hAnsi="宋体"/>
                      <w:color w:val="auto"/>
                      <w:szCs w:val="21"/>
                      <w:highlight w:val="none"/>
                    </w:rPr>
                    <w:t>人</w:t>
                  </w:r>
                </w:p>
              </w:tc>
              <w:tc>
                <w:tcPr>
                  <w:tcW w:w="613" w:type="dxa"/>
                  <w:vMerge w:val="continue"/>
                  <w:tcBorders>
                    <w:left w:val="single" w:color="000000" w:sz="6" w:space="0"/>
                    <w:right w:val="single" w:color="000000" w:sz="6" w:space="0"/>
                  </w:tcBorders>
                </w:tcPr>
                <w:p>
                  <w:pPr>
                    <w:jc w:val="center"/>
                    <w:rPr>
                      <w:color w:val="auto"/>
                      <w:szCs w:val="21"/>
                      <w:highlight w:val="none"/>
                    </w:rPr>
                  </w:pPr>
                </w:p>
              </w:tc>
              <w:tc>
                <w:tcPr>
                  <w:tcW w:w="1540" w:type="dxa"/>
                  <w:vMerge w:val="continue"/>
                  <w:tcBorders>
                    <w:left w:val="single" w:color="000000" w:sz="6" w:space="0"/>
                    <w:right w:val="single" w:color="000000" w:sz="6" w:space="0"/>
                  </w:tcBorders>
                </w:tcPr>
                <w:p>
                  <w:pPr>
                    <w:jc w:val="center"/>
                    <w:rPr>
                      <w:color w:val="auto"/>
                      <w:szCs w:val="21"/>
                      <w:highlight w:val="none"/>
                    </w:rPr>
                  </w:pPr>
                </w:p>
              </w:tc>
              <w:tc>
                <w:tcPr>
                  <w:tcW w:w="1003"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东南</w:t>
                  </w:r>
                </w:p>
              </w:tc>
              <w:tc>
                <w:tcPr>
                  <w:tcW w:w="1295"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2</w:t>
                  </w:r>
                  <w:r>
                    <w:rPr>
                      <w:color w:val="auto"/>
                      <w:szCs w:val="21"/>
                      <w:highlight w:val="none"/>
                    </w:rPr>
                    <w:t>900</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964"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大村</w:t>
                  </w:r>
                </w:p>
              </w:tc>
              <w:tc>
                <w:tcPr>
                  <w:tcW w:w="959"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2</w:t>
                  </w:r>
                  <w:r>
                    <w:rPr>
                      <w:color w:val="auto"/>
                      <w:szCs w:val="21"/>
                      <w:highlight w:val="none"/>
                    </w:rPr>
                    <w:t>134</w:t>
                  </w:r>
                </w:p>
              </w:tc>
              <w:tc>
                <w:tcPr>
                  <w:tcW w:w="958"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2143</w:t>
                  </w:r>
                </w:p>
              </w:tc>
              <w:tc>
                <w:tcPr>
                  <w:tcW w:w="958"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color w:val="auto"/>
                      <w:szCs w:val="21"/>
                      <w:highlight w:val="none"/>
                    </w:rPr>
                    <w:t>村落，约500</w:t>
                  </w:r>
                  <w:r>
                    <w:rPr>
                      <w:rFonts w:ascii="宋体" w:hAnsi="宋体"/>
                      <w:color w:val="auto"/>
                      <w:szCs w:val="21"/>
                      <w:highlight w:val="none"/>
                    </w:rPr>
                    <w:t>人</w:t>
                  </w:r>
                </w:p>
              </w:tc>
              <w:tc>
                <w:tcPr>
                  <w:tcW w:w="613" w:type="dxa"/>
                  <w:vMerge w:val="continue"/>
                  <w:tcBorders>
                    <w:left w:val="single" w:color="000000" w:sz="6" w:space="0"/>
                    <w:right w:val="single" w:color="000000" w:sz="6" w:space="0"/>
                  </w:tcBorders>
                </w:tcPr>
                <w:p>
                  <w:pPr>
                    <w:jc w:val="center"/>
                    <w:rPr>
                      <w:color w:val="auto"/>
                      <w:szCs w:val="21"/>
                      <w:highlight w:val="none"/>
                    </w:rPr>
                  </w:pPr>
                </w:p>
              </w:tc>
              <w:tc>
                <w:tcPr>
                  <w:tcW w:w="1540" w:type="dxa"/>
                  <w:vMerge w:val="continue"/>
                  <w:tcBorders>
                    <w:left w:val="single" w:color="000000" w:sz="6" w:space="0"/>
                    <w:right w:val="single" w:color="000000" w:sz="6" w:space="0"/>
                  </w:tcBorders>
                </w:tcPr>
                <w:p>
                  <w:pPr>
                    <w:jc w:val="center"/>
                    <w:rPr>
                      <w:color w:val="auto"/>
                      <w:szCs w:val="21"/>
                      <w:highlight w:val="none"/>
                    </w:rPr>
                  </w:pPr>
                </w:p>
              </w:tc>
              <w:tc>
                <w:tcPr>
                  <w:tcW w:w="1003"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东南</w:t>
                  </w:r>
                </w:p>
              </w:tc>
              <w:tc>
                <w:tcPr>
                  <w:tcW w:w="1295"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2</w:t>
                  </w:r>
                  <w:r>
                    <w:rPr>
                      <w:color w:val="auto"/>
                      <w:szCs w:val="21"/>
                      <w:highlight w:val="none"/>
                    </w:rPr>
                    <w:t>900</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964"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瓦窑头</w:t>
                  </w:r>
                </w:p>
              </w:tc>
              <w:tc>
                <w:tcPr>
                  <w:tcW w:w="959"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1</w:t>
                  </w:r>
                  <w:r>
                    <w:rPr>
                      <w:color w:val="auto"/>
                      <w:szCs w:val="21"/>
                      <w:highlight w:val="none"/>
                    </w:rPr>
                    <w:t>832</w:t>
                  </w:r>
                </w:p>
              </w:tc>
              <w:tc>
                <w:tcPr>
                  <w:tcW w:w="958"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2317</w:t>
                  </w:r>
                </w:p>
              </w:tc>
              <w:tc>
                <w:tcPr>
                  <w:tcW w:w="958"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color w:val="auto"/>
                      <w:szCs w:val="21"/>
                      <w:highlight w:val="none"/>
                    </w:rPr>
                    <w:t>村落，约300</w:t>
                  </w:r>
                  <w:r>
                    <w:rPr>
                      <w:rFonts w:ascii="宋体" w:hAnsi="宋体"/>
                      <w:color w:val="auto"/>
                      <w:szCs w:val="21"/>
                      <w:highlight w:val="none"/>
                    </w:rPr>
                    <w:t>人</w:t>
                  </w:r>
                </w:p>
              </w:tc>
              <w:tc>
                <w:tcPr>
                  <w:tcW w:w="613" w:type="dxa"/>
                  <w:vMerge w:val="continue"/>
                  <w:tcBorders>
                    <w:left w:val="single" w:color="000000" w:sz="6" w:space="0"/>
                    <w:right w:val="single" w:color="000000" w:sz="6" w:space="0"/>
                  </w:tcBorders>
                </w:tcPr>
                <w:p>
                  <w:pPr>
                    <w:jc w:val="center"/>
                    <w:rPr>
                      <w:color w:val="auto"/>
                      <w:szCs w:val="21"/>
                      <w:highlight w:val="none"/>
                    </w:rPr>
                  </w:pPr>
                </w:p>
              </w:tc>
              <w:tc>
                <w:tcPr>
                  <w:tcW w:w="1540" w:type="dxa"/>
                  <w:vMerge w:val="continue"/>
                  <w:tcBorders>
                    <w:left w:val="single" w:color="000000" w:sz="6" w:space="0"/>
                    <w:right w:val="single" w:color="000000" w:sz="6" w:space="0"/>
                  </w:tcBorders>
                </w:tcPr>
                <w:p>
                  <w:pPr>
                    <w:jc w:val="center"/>
                    <w:rPr>
                      <w:color w:val="auto"/>
                      <w:szCs w:val="21"/>
                      <w:highlight w:val="none"/>
                    </w:rPr>
                  </w:pPr>
                </w:p>
              </w:tc>
              <w:tc>
                <w:tcPr>
                  <w:tcW w:w="1003"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东南</w:t>
                  </w:r>
                </w:p>
              </w:tc>
              <w:tc>
                <w:tcPr>
                  <w:tcW w:w="1295"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2</w:t>
                  </w:r>
                  <w:r>
                    <w:rPr>
                      <w:color w:val="auto"/>
                      <w:szCs w:val="21"/>
                      <w:highlight w:val="none"/>
                    </w:rPr>
                    <w:t>680</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964"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塔山新村</w:t>
                  </w:r>
                </w:p>
              </w:tc>
              <w:tc>
                <w:tcPr>
                  <w:tcW w:w="959"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1447</w:t>
                  </w:r>
                </w:p>
              </w:tc>
              <w:tc>
                <w:tcPr>
                  <w:tcW w:w="958"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403</w:t>
                  </w:r>
                </w:p>
              </w:tc>
              <w:tc>
                <w:tcPr>
                  <w:tcW w:w="958"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color w:val="auto"/>
                      <w:szCs w:val="21"/>
                      <w:highlight w:val="none"/>
                    </w:rPr>
                    <w:t>村落，约200</w:t>
                  </w:r>
                  <w:r>
                    <w:rPr>
                      <w:rFonts w:ascii="宋体" w:hAnsi="宋体"/>
                      <w:color w:val="auto"/>
                      <w:szCs w:val="21"/>
                      <w:highlight w:val="none"/>
                    </w:rPr>
                    <w:t>人</w:t>
                  </w:r>
                </w:p>
              </w:tc>
              <w:tc>
                <w:tcPr>
                  <w:tcW w:w="613" w:type="dxa"/>
                  <w:vMerge w:val="continue"/>
                  <w:tcBorders>
                    <w:left w:val="single" w:color="000000" w:sz="6" w:space="0"/>
                    <w:right w:val="single" w:color="000000" w:sz="6" w:space="0"/>
                  </w:tcBorders>
                </w:tcPr>
                <w:p>
                  <w:pPr>
                    <w:jc w:val="center"/>
                    <w:rPr>
                      <w:color w:val="auto"/>
                      <w:szCs w:val="21"/>
                      <w:highlight w:val="none"/>
                    </w:rPr>
                  </w:pPr>
                </w:p>
              </w:tc>
              <w:tc>
                <w:tcPr>
                  <w:tcW w:w="1540" w:type="dxa"/>
                  <w:vMerge w:val="continue"/>
                  <w:tcBorders>
                    <w:left w:val="single" w:color="000000" w:sz="6" w:space="0"/>
                    <w:right w:val="single" w:color="000000" w:sz="6" w:space="0"/>
                  </w:tcBorders>
                </w:tcPr>
                <w:p>
                  <w:pPr>
                    <w:jc w:val="center"/>
                    <w:rPr>
                      <w:color w:val="auto"/>
                      <w:szCs w:val="21"/>
                      <w:highlight w:val="none"/>
                    </w:rPr>
                  </w:pPr>
                </w:p>
              </w:tc>
              <w:tc>
                <w:tcPr>
                  <w:tcW w:w="1003"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西</w:t>
                  </w:r>
                </w:p>
              </w:tc>
              <w:tc>
                <w:tcPr>
                  <w:tcW w:w="1295"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1</w:t>
                  </w:r>
                  <w:r>
                    <w:rPr>
                      <w:color w:val="auto"/>
                      <w:szCs w:val="21"/>
                      <w:highlight w:val="none"/>
                    </w:rPr>
                    <w:t>400</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964"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漩岭</w:t>
                  </w:r>
                </w:p>
              </w:tc>
              <w:tc>
                <w:tcPr>
                  <w:tcW w:w="959"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2399</w:t>
                  </w:r>
                </w:p>
              </w:tc>
              <w:tc>
                <w:tcPr>
                  <w:tcW w:w="958"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4</w:t>
                  </w:r>
                  <w:r>
                    <w:rPr>
                      <w:color w:val="auto"/>
                      <w:szCs w:val="21"/>
                      <w:highlight w:val="none"/>
                    </w:rPr>
                    <w:t>6</w:t>
                  </w:r>
                </w:p>
              </w:tc>
              <w:tc>
                <w:tcPr>
                  <w:tcW w:w="958"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color w:val="auto"/>
                      <w:szCs w:val="21"/>
                      <w:highlight w:val="none"/>
                    </w:rPr>
                    <w:t>村落，约150</w:t>
                  </w:r>
                  <w:r>
                    <w:rPr>
                      <w:rFonts w:ascii="宋体" w:hAnsi="宋体"/>
                      <w:color w:val="auto"/>
                      <w:szCs w:val="21"/>
                      <w:highlight w:val="none"/>
                    </w:rPr>
                    <w:t>人</w:t>
                  </w:r>
                </w:p>
              </w:tc>
              <w:tc>
                <w:tcPr>
                  <w:tcW w:w="613" w:type="dxa"/>
                  <w:vMerge w:val="continue"/>
                  <w:tcBorders>
                    <w:left w:val="single" w:color="000000" w:sz="6" w:space="0"/>
                    <w:right w:val="single" w:color="000000" w:sz="6" w:space="0"/>
                  </w:tcBorders>
                </w:tcPr>
                <w:p>
                  <w:pPr>
                    <w:jc w:val="center"/>
                    <w:rPr>
                      <w:color w:val="auto"/>
                      <w:szCs w:val="21"/>
                      <w:highlight w:val="none"/>
                    </w:rPr>
                  </w:pPr>
                </w:p>
              </w:tc>
              <w:tc>
                <w:tcPr>
                  <w:tcW w:w="1540" w:type="dxa"/>
                  <w:vMerge w:val="continue"/>
                  <w:tcBorders>
                    <w:left w:val="single" w:color="000000" w:sz="6" w:space="0"/>
                    <w:right w:val="single" w:color="000000" w:sz="6" w:space="0"/>
                  </w:tcBorders>
                </w:tcPr>
                <w:p>
                  <w:pPr>
                    <w:jc w:val="center"/>
                    <w:rPr>
                      <w:color w:val="auto"/>
                      <w:szCs w:val="21"/>
                      <w:highlight w:val="none"/>
                    </w:rPr>
                  </w:pPr>
                </w:p>
              </w:tc>
              <w:tc>
                <w:tcPr>
                  <w:tcW w:w="1003"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西</w:t>
                  </w:r>
                </w:p>
              </w:tc>
              <w:tc>
                <w:tcPr>
                  <w:tcW w:w="1295"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2</w:t>
                  </w:r>
                  <w:r>
                    <w:rPr>
                      <w:color w:val="auto"/>
                      <w:szCs w:val="21"/>
                      <w:highlight w:val="none"/>
                    </w:rPr>
                    <w:t>300</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964"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平岗村</w:t>
                  </w:r>
                </w:p>
              </w:tc>
              <w:tc>
                <w:tcPr>
                  <w:tcW w:w="959"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1090</w:t>
                  </w:r>
                </w:p>
              </w:tc>
              <w:tc>
                <w:tcPr>
                  <w:tcW w:w="958"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1154</w:t>
                  </w:r>
                </w:p>
              </w:tc>
              <w:tc>
                <w:tcPr>
                  <w:tcW w:w="958"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color w:val="auto"/>
                      <w:szCs w:val="21"/>
                      <w:highlight w:val="none"/>
                    </w:rPr>
                    <w:t>村落，约</w:t>
                  </w:r>
                  <w:r>
                    <w:rPr>
                      <w:rFonts w:hint="eastAsia"/>
                      <w:color w:val="auto"/>
                      <w:szCs w:val="21"/>
                      <w:highlight w:val="none"/>
                    </w:rPr>
                    <w:t>6</w:t>
                  </w:r>
                  <w:r>
                    <w:rPr>
                      <w:color w:val="auto"/>
                      <w:szCs w:val="21"/>
                      <w:highlight w:val="none"/>
                    </w:rPr>
                    <w:t>00</w:t>
                  </w:r>
                  <w:r>
                    <w:rPr>
                      <w:rFonts w:ascii="宋体" w:hAnsi="宋体"/>
                      <w:color w:val="auto"/>
                      <w:szCs w:val="21"/>
                      <w:highlight w:val="none"/>
                    </w:rPr>
                    <w:t>人</w:t>
                  </w:r>
                </w:p>
              </w:tc>
              <w:tc>
                <w:tcPr>
                  <w:tcW w:w="613" w:type="dxa"/>
                  <w:vMerge w:val="continue"/>
                  <w:tcBorders>
                    <w:left w:val="single" w:color="000000" w:sz="6" w:space="0"/>
                    <w:right w:val="single" w:color="000000" w:sz="6" w:space="0"/>
                  </w:tcBorders>
                </w:tcPr>
                <w:p>
                  <w:pPr>
                    <w:jc w:val="center"/>
                    <w:rPr>
                      <w:color w:val="auto"/>
                      <w:szCs w:val="21"/>
                      <w:highlight w:val="none"/>
                    </w:rPr>
                  </w:pPr>
                </w:p>
              </w:tc>
              <w:tc>
                <w:tcPr>
                  <w:tcW w:w="1540" w:type="dxa"/>
                  <w:vMerge w:val="continue"/>
                  <w:tcBorders>
                    <w:left w:val="single" w:color="000000" w:sz="6" w:space="0"/>
                    <w:right w:val="single" w:color="000000" w:sz="6" w:space="0"/>
                  </w:tcBorders>
                </w:tcPr>
                <w:p>
                  <w:pPr>
                    <w:jc w:val="center"/>
                    <w:rPr>
                      <w:color w:val="auto"/>
                      <w:szCs w:val="21"/>
                      <w:highlight w:val="none"/>
                    </w:rPr>
                  </w:pPr>
                </w:p>
              </w:tc>
              <w:tc>
                <w:tcPr>
                  <w:tcW w:w="1003"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西南</w:t>
                  </w:r>
                </w:p>
              </w:tc>
              <w:tc>
                <w:tcPr>
                  <w:tcW w:w="1295"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1</w:t>
                  </w:r>
                  <w:r>
                    <w:rPr>
                      <w:color w:val="auto"/>
                      <w:szCs w:val="21"/>
                      <w:highlight w:val="none"/>
                    </w:rPr>
                    <w:t>530</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964"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西口</w:t>
                  </w:r>
                </w:p>
              </w:tc>
              <w:tc>
                <w:tcPr>
                  <w:tcW w:w="959"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1255</w:t>
                  </w:r>
                </w:p>
              </w:tc>
              <w:tc>
                <w:tcPr>
                  <w:tcW w:w="958"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1538</w:t>
                  </w:r>
                </w:p>
              </w:tc>
              <w:tc>
                <w:tcPr>
                  <w:tcW w:w="958"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color w:val="auto"/>
                      <w:szCs w:val="21"/>
                      <w:highlight w:val="none"/>
                    </w:rPr>
                    <w:t>村落，约300</w:t>
                  </w:r>
                  <w:r>
                    <w:rPr>
                      <w:rFonts w:ascii="宋体" w:hAnsi="宋体"/>
                      <w:color w:val="auto"/>
                      <w:szCs w:val="21"/>
                      <w:highlight w:val="none"/>
                    </w:rPr>
                    <w:t>人</w:t>
                  </w:r>
                </w:p>
              </w:tc>
              <w:tc>
                <w:tcPr>
                  <w:tcW w:w="613" w:type="dxa"/>
                  <w:vMerge w:val="continue"/>
                  <w:tcBorders>
                    <w:left w:val="single" w:color="000000" w:sz="6" w:space="0"/>
                    <w:right w:val="single" w:color="000000" w:sz="6" w:space="0"/>
                  </w:tcBorders>
                </w:tcPr>
                <w:p>
                  <w:pPr>
                    <w:jc w:val="center"/>
                    <w:rPr>
                      <w:color w:val="auto"/>
                      <w:szCs w:val="21"/>
                      <w:highlight w:val="none"/>
                    </w:rPr>
                  </w:pPr>
                </w:p>
              </w:tc>
              <w:tc>
                <w:tcPr>
                  <w:tcW w:w="1540" w:type="dxa"/>
                  <w:vMerge w:val="continue"/>
                  <w:tcBorders>
                    <w:left w:val="single" w:color="000000" w:sz="6" w:space="0"/>
                    <w:right w:val="single" w:color="000000" w:sz="6" w:space="0"/>
                  </w:tcBorders>
                </w:tcPr>
                <w:p>
                  <w:pPr>
                    <w:jc w:val="center"/>
                    <w:rPr>
                      <w:color w:val="auto"/>
                      <w:szCs w:val="21"/>
                      <w:highlight w:val="none"/>
                    </w:rPr>
                  </w:pPr>
                </w:p>
              </w:tc>
              <w:tc>
                <w:tcPr>
                  <w:tcW w:w="1003"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西南</w:t>
                  </w:r>
                </w:p>
              </w:tc>
              <w:tc>
                <w:tcPr>
                  <w:tcW w:w="1295"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1</w:t>
                  </w:r>
                  <w:r>
                    <w:rPr>
                      <w:color w:val="auto"/>
                      <w:szCs w:val="21"/>
                      <w:highlight w:val="none"/>
                    </w:rPr>
                    <w:t>800</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964"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庙边</w:t>
                  </w:r>
                </w:p>
              </w:tc>
              <w:tc>
                <w:tcPr>
                  <w:tcW w:w="959"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1685</w:t>
                  </w:r>
                </w:p>
              </w:tc>
              <w:tc>
                <w:tcPr>
                  <w:tcW w:w="958"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1685</w:t>
                  </w:r>
                </w:p>
              </w:tc>
              <w:tc>
                <w:tcPr>
                  <w:tcW w:w="958"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color w:val="auto"/>
                      <w:szCs w:val="21"/>
                      <w:highlight w:val="none"/>
                    </w:rPr>
                    <w:t>村落，约50</w:t>
                  </w:r>
                  <w:r>
                    <w:rPr>
                      <w:rFonts w:ascii="宋体" w:hAnsi="宋体"/>
                      <w:color w:val="auto"/>
                      <w:szCs w:val="21"/>
                      <w:highlight w:val="none"/>
                    </w:rPr>
                    <w:t>人</w:t>
                  </w:r>
                </w:p>
              </w:tc>
              <w:tc>
                <w:tcPr>
                  <w:tcW w:w="613" w:type="dxa"/>
                  <w:vMerge w:val="continue"/>
                  <w:tcBorders>
                    <w:left w:val="single" w:color="000000" w:sz="6" w:space="0"/>
                    <w:right w:val="single" w:color="000000" w:sz="6" w:space="0"/>
                  </w:tcBorders>
                </w:tcPr>
                <w:p>
                  <w:pPr>
                    <w:jc w:val="center"/>
                    <w:rPr>
                      <w:color w:val="auto"/>
                      <w:szCs w:val="21"/>
                      <w:highlight w:val="none"/>
                    </w:rPr>
                  </w:pPr>
                </w:p>
              </w:tc>
              <w:tc>
                <w:tcPr>
                  <w:tcW w:w="1540" w:type="dxa"/>
                  <w:vMerge w:val="continue"/>
                  <w:tcBorders>
                    <w:left w:val="single" w:color="000000" w:sz="6" w:space="0"/>
                    <w:right w:val="single" w:color="000000" w:sz="6" w:space="0"/>
                  </w:tcBorders>
                </w:tcPr>
                <w:p>
                  <w:pPr>
                    <w:jc w:val="center"/>
                    <w:rPr>
                      <w:color w:val="auto"/>
                      <w:szCs w:val="21"/>
                      <w:highlight w:val="none"/>
                    </w:rPr>
                  </w:pPr>
                </w:p>
              </w:tc>
              <w:tc>
                <w:tcPr>
                  <w:tcW w:w="1003"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西南</w:t>
                  </w:r>
                </w:p>
              </w:tc>
              <w:tc>
                <w:tcPr>
                  <w:tcW w:w="1295"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2</w:t>
                  </w:r>
                  <w:r>
                    <w:rPr>
                      <w:color w:val="auto"/>
                      <w:szCs w:val="21"/>
                      <w:highlight w:val="none"/>
                    </w:rPr>
                    <w:t>300</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964"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潮福</w:t>
                  </w:r>
                </w:p>
              </w:tc>
              <w:tc>
                <w:tcPr>
                  <w:tcW w:w="959"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797</w:t>
                  </w:r>
                </w:p>
              </w:tc>
              <w:tc>
                <w:tcPr>
                  <w:tcW w:w="958"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1722</w:t>
                  </w:r>
                </w:p>
              </w:tc>
              <w:tc>
                <w:tcPr>
                  <w:tcW w:w="958"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color w:val="auto"/>
                      <w:szCs w:val="21"/>
                      <w:highlight w:val="none"/>
                    </w:rPr>
                    <w:t>村落，约200</w:t>
                  </w:r>
                  <w:r>
                    <w:rPr>
                      <w:rFonts w:ascii="宋体" w:hAnsi="宋体"/>
                      <w:color w:val="auto"/>
                      <w:szCs w:val="21"/>
                      <w:highlight w:val="none"/>
                    </w:rPr>
                    <w:t>人</w:t>
                  </w:r>
                </w:p>
              </w:tc>
              <w:tc>
                <w:tcPr>
                  <w:tcW w:w="613" w:type="dxa"/>
                  <w:vMerge w:val="continue"/>
                  <w:tcBorders>
                    <w:left w:val="single" w:color="000000" w:sz="6" w:space="0"/>
                    <w:right w:val="single" w:color="000000" w:sz="6" w:space="0"/>
                  </w:tcBorders>
                </w:tcPr>
                <w:p>
                  <w:pPr>
                    <w:jc w:val="center"/>
                    <w:rPr>
                      <w:color w:val="auto"/>
                      <w:szCs w:val="21"/>
                      <w:highlight w:val="none"/>
                    </w:rPr>
                  </w:pPr>
                </w:p>
              </w:tc>
              <w:tc>
                <w:tcPr>
                  <w:tcW w:w="1540" w:type="dxa"/>
                  <w:vMerge w:val="continue"/>
                  <w:tcBorders>
                    <w:left w:val="single" w:color="000000" w:sz="6" w:space="0"/>
                    <w:right w:val="single" w:color="000000" w:sz="6" w:space="0"/>
                  </w:tcBorders>
                </w:tcPr>
                <w:p>
                  <w:pPr>
                    <w:jc w:val="center"/>
                    <w:rPr>
                      <w:color w:val="auto"/>
                      <w:szCs w:val="21"/>
                      <w:highlight w:val="none"/>
                    </w:rPr>
                  </w:pPr>
                </w:p>
              </w:tc>
              <w:tc>
                <w:tcPr>
                  <w:tcW w:w="1003"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西南</w:t>
                  </w:r>
                </w:p>
              </w:tc>
              <w:tc>
                <w:tcPr>
                  <w:tcW w:w="1295"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1</w:t>
                  </w:r>
                  <w:r>
                    <w:rPr>
                      <w:color w:val="auto"/>
                      <w:szCs w:val="21"/>
                      <w:highlight w:val="none"/>
                    </w:rPr>
                    <w:t>740</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964"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苍头苑</w:t>
                  </w:r>
                </w:p>
              </w:tc>
              <w:tc>
                <w:tcPr>
                  <w:tcW w:w="959"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211</w:t>
                  </w:r>
                </w:p>
              </w:tc>
              <w:tc>
                <w:tcPr>
                  <w:tcW w:w="958"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2418</w:t>
                  </w:r>
                </w:p>
              </w:tc>
              <w:tc>
                <w:tcPr>
                  <w:tcW w:w="958"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color w:val="auto"/>
                      <w:szCs w:val="21"/>
                      <w:highlight w:val="none"/>
                    </w:rPr>
                    <w:t>村落，约800</w:t>
                  </w:r>
                  <w:r>
                    <w:rPr>
                      <w:rFonts w:ascii="宋体" w:hAnsi="宋体"/>
                      <w:color w:val="auto"/>
                      <w:szCs w:val="21"/>
                      <w:highlight w:val="none"/>
                    </w:rPr>
                    <w:t>人</w:t>
                  </w:r>
                </w:p>
              </w:tc>
              <w:tc>
                <w:tcPr>
                  <w:tcW w:w="613" w:type="dxa"/>
                  <w:vMerge w:val="continue"/>
                  <w:tcBorders>
                    <w:left w:val="single" w:color="000000" w:sz="6" w:space="0"/>
                    <w:right w:val="single" w:color="000000" w:sz="6" w:space="0"/>
                  </w:tcBorders>
                </w:tcPr>
                <w:p>
                  <w:pPr>
                    <w:jc w:val="center"/>
                    <w:rPr>
                      <w:color w:val="auto"/>
                      <w:szCs w:val="21"/>
                      <w:highlight w:val="none"/>
                    </w:rPr>
                  </w:pPr>
                </w:p>
              </w:tc>
              <w:tc>
                <w:tcPr>
                  <w:tcW w:w="1540" w:type="dxa"/>
                  <w:vMerge w:val="continue"/>
                  <w:tcBorders>
                    <w:left w:val="single" w:color="000000" w:sz="6" w:space="0"/>
                    <w:right w:val="single" w:color="000000" w:sz="6" w:space="0"/>
                  </w:tcBorders>
                </w:tcPr>
                <w:p>
                  <w:pPr>
                    <w:jc w:val="center"/>
                    <w:rPr>
                      <w:color w:val="auto"/>
                      <w:szCs w:val="21"/>
                      <w:highlight w:val="none"/>
                    </w:rPr>
                  </w:pPr>
                </w:p>
              </w:tc>
              <w:tc>
                <w:tcPr>
                  <w:tcW w:w="1003"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西南</w:t>
                  </w:r>
                </w:p>
              </w:tc>
              <w:tc>
                <w:tcPr>
                  <w:tcW w:w="1295"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2</w:t>
                  </w:r>
                  <w:r>
                    <w:rPr>
                      <w:color w:val="auto"/>
                      <w:szCs w:val="21"/>
                      <w:highlight w:val="none"/>
                    </w:rPr>
                    <w:t>180</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964"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水满</w:t>
                  </w:r>
                </w:p>
              </w:tc>
              <w:tc>
                <w:tcPr>
                  <w:tcW w:w="959"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2308</w:t>
                  </w:r>
                </w:p>
              </w:tc>
              <w:tc>
                <w:tcPr>
                  <w:tcW w:w="958"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2418</w:t>
                  </w:r>
                </w:p>
              </w:tc>
              <w:tc>
                <w:tcPr>
                  <w:tcW w:w="958"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color w:val="auto"/>
                      <w:szCs w:val="21"/>
                      <w:highlight w:val="none"/>
                    </w:rPr>
                    <w:t>村落，约400</w:t>
                  </w:r>
                  <w:r>
                    <w:rPr>
                      <w:rFonts w:ascii="宋体" w:hAnsi="宋体"/>
                      <w:color w:val="auto"/>
                      <w:szCs w:val="21"/>
                      <w:highlight w:val="none"/>
                    </w:rPr>
                    <w:t>人</w:t>
                  </w:r>
                </w:p>
              </w:tc>
              <w:tc>
                <w:tcPr>
                  <w:tcW w:w="613" w:type="dxa"/>
                  <w:vMerge w:val="continue"/>
                  <w:tcBorders>
                    <w:left w:val="single" w:color="000000" w:sz="6" w:space="0"/>
                    <w:right w:val="single" w:color="000000" w:sz="6" w:space="0"/>
                  </w:tcBorders>
                </w:tcPr>
                <w:p>
                  <w:pPr>
                    <w:jc w:val="center"/>
                    <w:rPr>
                      <w:color w:val="auto"/>
                      <w:szCs w:val="21"/>
                      <w:highlight w:val="none"/>
                    </w:rPr>
                  </w:pPr>
                </w:p>
              </w:tc>
              <w:tc>
                <w:tcPr>
                  <w:tcW w:w="1540" w:type="dxa"/>
                  <w:vMerge w:val="continue"/>
                  <w:tcBorders>
                    <w:left w:val="single" w:color="000000" w:sz="6" w:space="0"/>
                    <w:right w:val="single" w:color="000000" w:sz="6" w:space="0"/>
                  </w:tcBorders>
                </w:tcPr>
                <w:p>
                  <w:pPr>
                    <w:jc w:val="center"/>
                    <w:rPr>
                      <w:color w:val="auto"/>
                      <w:szCs w:val="21"/>
                      <w:highlight w:val="none"/>
                    </w:rPr>
                  </w:pPr>
                </w:p>
              </w:tc>
              <w:tc>
                <w:tcPr>
                  <w:tcW w:w="1003"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西南</w:t>
                  </w:r>
                </w:p>
              </w:tc>
              <w:tc>
                <w:tcPr>
                  <w:tcW w:w="1295"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3</w:t>
                  </w:r>
                  <w:r>
                    <w:rPr>
                      <w:color w:val="auto"/>
                      <w:szCs w:val="21"/>
                      <w:highlight w:val="none"/>
                    </w:rPr>
                    <w:t>100</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964"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恒益窑</w:t>
                  </w:r>
                </w:p>
              </w:tc>
              <w:tc>
                <w:tcPr>
                  <w:tcW w:w="959"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2207</w:t>
                  </w:r>
                </w:p>
              </w:tc>
              <w:tc>
                <w:tcPr>
                  <w:tcW w:w="958" w:type="dxa"/>
                  <w:tcBorders>
                    <w:left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843</w:t>
                  </w:r>
                </w:p>
              </w:tc>
              <w:tc>
                <w:tcPr>
                  <w:tcW w:w="958"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color w:val="auto"/>
                      <w:szCs w:val="21"/>
                      <w:highlight w:val="none"/>
                    </w:rPr>
                    <w:t>村落，约100</w:t>
                  </w:r>
                  <w:r>
                    <w:rPr>
                      <w:rFonts w:ascii="宋体" w:hAnsi="宋体"/>
                      <w:color w:val="auto"/>
                      <w:szCs w:val="21"/>
                      <w:highlight w:val="none"/>
                    </w:rPr>
                    <w:t>人</w:t>
                  </w:r>
                </w:p>
              </w:tc>
              <w:tc>
                <w:tcPr>
                  <w:tcW w:w="613" w:type="dxa"/>
                  <w:vMerge w:val="continue"/>
                  <w:tcBorders>
                    <w:left w:val="single" w:color="000000" w:sz="6" w:space="0"/>
                    <w:right w:val="single" w:color="000000" w:sz="6" w:space="0"/>
                  </w:tcBorders>
                </w:tcPr>
                <w:p>
                  <w:pPr>
                    <w:jc w:val="center"/>
                    <w:rPr>
                      <w:color w:val="auto"/>
                      <w:szCs w:val="21"/>
                      <w:highlight w:val="none"/>
                    </w:rPr>
                  </w:pPr>
                </w:p>
              </w:tc>
              <w:tc>
                <w:tcPr>
                  <w:tcW w:w="1540" w:type="dxa"/>
                  <w:vMerge w:val="continue"/>
                  <w:tcBorders>
                    <w:left w:val="single" w:color="000000" w:sz="6" w:space="0"/>
                    <w:right w:val="single" w:color="000000" w:sz="6" w:space="0"/>
                  </w:tcBorders>
                </w:tcPr>
                <w:p>
                  <w:pPr>
                    <w:jc w:val="center"/>
                    <w:rPr>
                      <w:color w:val="auto"/>
                      <w:szCs w:val="21"/>
                      <w:highlight w:val="none"/>
                    </w:rPr>
                  </w:pPr>
                </w:p>
              </w:tc>
              <w:tc>
                <w:tcPr>
                  <w:tcW w:w="1003"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西南</w:t>
                  </w:r>
                </w:p>
              </w:tc>
              <w:tc>
                <w:tcPr>
                  <w:tcW w:w="1295" w:type="dxa"/>
                  <w:tcBorders>
                    <w:top w:val="single" w:color="000000" w:sz="6" w:space="0"/>
                    <w:left w:val="single" w:color="000000" w:sz="6" w:space="0"/>
                    <w:bottom w:val="single" w:color="000000" w:sz="6" w:space="0"/>
                    <w:right w:val="single" w:color="000000" w:sz="6" w:space="0"/>
                  </w:tcBorders>
                  <w:vAlign w:val="center"/>
                </w:tcPr>
                <w:p>
                  <w:pPr>
                    <w:jc w:val="center"/>
                    <w:rPr>
                      <w:color w:val="auto"/>
                      <w:szCs w:val="21"/>
                      <w:highlight w:val="none"/>
                    </w:rPr>
                  </w:pPr>
                  <w:r>
                    <w:rPr>
                      <w:rFonts w:hint="eastAsia"/>
                      <w:color w:val="auto"/>
                      <w:szCs w:val="21"/>
                      <w:highlight w:val="none"/>
                    </w:rPr>
                    <w:t>2</w:t>
                  </w:r>
                  <w:r>
                    <w:rPr>
                      <w:color w:val="auto"/>
                      <w:szCs w:val="21"/>
                      <w:highlight w:val="none"/>
                    </w:rPr>
                    <w:t>200</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964" w:type="dxa"/>
                  <w:tcBorders>
                    <w:left w:val="single" w:color="000000" w:sz="6" w:space="0"/>
                    <w:bottom w:val="single" w:color="auto" w:sz="12" w:space="0"/>
                    <w:right w:val="single" w:color="000000" w:sz="6" w:space="0"/>
                  </w:tcBorders>
                  <w:vAlign w:val="center"/>
                </w:tcPr>
                <w:p>
                  <w:pPr>
                    <w:jc w:val="center"/>
                    <w:rPr>
                      <w:color w:val="auto"/>
                      <w:szCs w:val="21"/>
                      <w:highlight w:val="none"/>
                    </w:rPr>
                  </w:pPr>
                  <w:r>
                    <w:rPr>
                      <w:rFonts w:hint="eastAsia"/>
                      <w:color w:val="auto"/>
                      <w:szCs w:val="21"/>
                      <w:highlight w:val="none"/>
                    </w:rPr>
                    <w:t>居民区3</w:t>
                  </w:r>
                </w:p>
              </w:tc>
              <w:tc>
                <w:tcPr>
                  <w:tcW w:w="959" w:type="dxa"/>
                  <w:tcBorders>
                    <w:left w:val="single" w:color="000000" w:sz="6" w:space="0"/>
                    <w:bottom w:val="single" w:color="auto" w:sz="12" w:space="0"/>
                    <w:right w:val="single" w:color="000000" w:sz="6" w:space="0"/>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2537</w:t>
                  </w:r>
                </w:p>
              </w:tc>
              <w:tc>
                <w:tcPr>
                  <w:tcW w:w="958" w:type="dxa"/>
                  <w:tcBorders>
                    <w:left w:val="single" w:color="000000" w:sz="6" w:space="0"/>
                    <w:bottom w:val="single" w:color="auto" w:sz="12" w:space="0"/>
                    <w:right w:val="single" w:color="000000" w:sz="6" w:space="0"/>
                  </w:tcBorders>
                  <w:vAlign w:val="center"/>
                </w:tcPr>
                <w:p>
                  <w:pPr>
                    <w:jc w:val="center"/>
                    <w:rPr>
                      <w:color w:val="auto"/>
                      <w:szCs w:val="21"/>
                      <w:highlight w:val="none"/>
                    </w:rPr>
                  </w:pPr>
                  <w:r>
                    <w:rPr>
                      <w:rFonts w:hint="eastAsia"/>
                      <w:color w:val="auto"/>
                      <w:szCs w:val="21"/>
                      <w:highlight w:val="none"/>
                    </w:rPr>
                    <w:t>-</w:t>
                  </w:r>
                  <w:r>
                    <w:rPr>
                      <w:color w:val="auto"/>
                      <w:szCs w:val="21"/>
                      <w:highlight w:val="none"/>
                    </w:rPr>
                    <w:t>2060</w:t>
                  </w:r>
                </w:p>
              </w:tc>
              <w:tc>
                <w:tcPr>
                  <w:tcW w:w="958" w:type="dxa"/>
                  <w:tcBorders>
                    <w:top w:val="single" w:color="000000" w:sz="6" w:space="0"/>
                    <w:left w:val="single" w:color="000000" w:sz="6" w:space="0"/>
                    <w:bottom w:val="single" w:color="auto" w:sz="12" w:space="0"/>
                    <w:right w:val="single" w:color="000000" w:sz="6" w:space="0"/>
                  </w:tcBorders>
                  <w:vAlign w:val="center"/>
                </w:tcPr>
                <w:p>
                  <w:pPr>
                    <w:jc w:val="center"/>
                    <w:rPr>
                      <w:color w:val="auto"/>
                      <w:szCs w:val="21"/>
                      <w:highlight w:val="none"/>
                    </w:rPr>
                  </w:pPr>
                  <w:r>
                    <w:rPr>
                      <w:color w:val="auto"/>
                      <w:szCs w:val="21"/>
                      <w:highlight w:val="none"/>
                    </w:rPr>
                    <w:t>村落，约200</w:t>
                  </w:r>
                  <w:r>
                    <w:rPr>
                      <w:rFonts w:ascii="宋体" w:hAnsi="宋体"/>
                      <w:color w:val="auto"/>
                      <w:szCs w:val="21"/>
                      <w:highlight w:val="none"/>
                    </w:rPr>
                    <w:t>人</w:t>
                  </w:r>
                </w:p>
              </w:tc>
              <w:tc>
                <w:tcPr>
                  <w:tcW w:w="613" w:type="dxa"/>
                  <w:vMerge w:val="continue"/>
                  <w:tcBorders>
                    <w:left w:val="single" w:color="000000" w:sz="6" w:space="0"/>
                    <w:bottom w:val="single" w:color="auto" w:sz="12" w:space="0"/>
                    <w:right w:val="single" w:color="000000" w:sz="6" w:space="0"/>
                  </w:tcBorders>
                </w:tcPr>
                <w:p>
                  <w:pPr>
                    <w:jc w:val="center"/>
                    <w:rPr>
                      <w:color w:val="auto"/>
                      <w:szCs w:val="21"/>
                      <w:highlight w:val="none"/>
                    </w:rPr>
                  </w:pPr>
                </w:p>
              </w:tc>
              <w:tc>
                <w:tcPr>
                  <w:tcW w:w="1540" w:type="dxa"/>
                  <w:vMerge w:val="continue"/>
                  <w:tcBorders>
                    <w:left w:val="single" w:color="000000" w:sz="6" w:space="0"/>
                    <w:bottom w:val="single" w:color="auto" w:sz="12" w:space="0"/>
                    <w:right w:val="single" w:color="000000" w:sz="6" w:space="0"/>
                  </w:tcBorders>
                </w:tcPr>
                <w:p>
                  <w:pPr>
                    <w:jc w:val="center"/>
                    <w:rPr>
                      <w:color w:val="auto"/>
                      <w:szCs w:val="21"/>
                      <w:highlight w:val="none"/>
                    </w:rPr>
                  </w:pPr>
                </w:p>
              </w:tc>
              <w:tc>
                <w:tcPr>
                  <w:tcW w:w="1003" w:type="dxa"/>
                  <w:tcBorders>
                    <w:top w:val="single" w:color="000000" w:sz="6" w:space="0"/>
                    <w:left w:val="single" w:color="000000" w:sz="6" w:space="0"/>
                    <w:bottom w:val="single" w:color="auto" w:sz="12" w:space="0"/>
                    <w:right w:val="single" w:color="000000" w:sz="6" w:space="0"/>
                  </w:tcBorders>
                  <w:vAlign w:val="center"/>
                </w:tcPr>
                <w:p>
                  <w:pPr>
                    <w:jc w:val="center"/>
                    <w:rPr>
                      <w:color w:val="auto"/>
                      <w:szCs w:val="21"/>
                      <w:highlight w:val="none"/>
                    </w:rPr>
                  </w:pPr>
                  <w:r>
                    <w:rPr>
                      <w:rFonts w:hint="eastAsia"/>
                      <w:color w:val="auto"/>
                      <w:szCs w:val="21"/>
                      <w:highlight w:val="none"/>
                    </w:rPr>
                    <w:t>西南</w:t>
                  </w:r>
                </w:p>
              </w:tc>
              <w:tc>
                <w:tcPr>
                  <w:tcW w:w="1295" w:type="dxa"/>
                  <w:tcBorders>
                    <w:top w:val="single" w:color="000000" w:sz="6" w:space="0"/>
                    <w:left w:val="single" w:color="000000" w:sz="6" w:space="0"/>
                    <w:bottom w:val="single" w:color="auto" w:sz="12" w:space="0"/>
                    <w:right w:val="single" w:color="000000" w:sz="6" w:space="0"/>
                  </w:tcBorders>
                  <w:vAlign w:val="center"/>
                </w:tcPr>
                <w:p>
                  <w:pPr>
                    <w:jc w:val="center"/>
                    <w:rPr>
                      <w:color w:val="auto"/>
                      <w:szCs w:val="21"/>
                      <w:highlight w:val="none"/>
                    </w:rPr>
                  </w:pPr>
                  <w:r>
                    <w:rPr>
                      <w:rFonts w:hint="eastAsia"/>
                      <w:color w:val="auto"/>
                      <w:szCs w:val="21"/>
                      <w:highlight w:val="none"/>
                    </w:rPr>
                    <w:t>3</w:t>
                  </w:r>
                  <w:r>
                    <w:rPr>
                      <w:color w:val="auto"/>
                      <w:szCs w:val="21"/>
                      <w:highlight w:val="none"/>
                    </w:rPr>
                    <w:t>000</w:t>
                  </w:r>
                </w:p>
              </w:tc>
            </w:tr>
          </w:tbl>
          <w:p>
            <w:pPr>
              <w:spacing w:line="276" w:lineRule="auto"/>
              <w:jc w:val="center"/>
              <w:rPr>
                <w:rFonts w:ascii="Times New Roman" w:hAnsi="Times New Roman" w:eastAsia="宋体" w:cs="Times New Roman"/>
                <w:b/>
                <w:color w:val="auto"/>
                <w:sz w:val="24"/>
                <w:highlight w:val="none"/>
              </w:rPr>
            </w:pPr>
          </w:p>
          <w:p>
            <w:pPr>
              <w:spacing w:line="360" w:lineRule="auto"/>
              <w:ind w:firstLine="210" w:firstLineChars="100"/>
              <w:rPr>
                <w:rFonts w:ascii="Times New Roman" w:hAnsi="Times New Roman" w:eastAsia="宋体" w:cs="Times New Roman"/>
                <w:bCs/>
                <w:color w:val="auto"/>
                <w:szCs w:val="21"/>
                <w:highlight w:val="none"/>
              </w:rPr>
            </w:pPr>
          </w:p>
        </w:tc>
      </w:tr>
    </w:tbl>
    <w:p>
      <w:pPr>
        <w:pStyle w:val="3"/>
        <w:spacing w:before="0" w:after="0" w:line="240" w:lineRule="auto"/>
        <w:rPr>
          <w:rFonts w:ascii="Times New Roman" w:hAnsi="Times New Roman" w:cs="Times New Roman"/>
          <w:color w:val="auto"/>
          <w:sz w:val="32"/>
          <w:szCs w:val="32"/>
          <w:highlight w:val="none"/>
        </w:rPr>
      </w:pPr>
      <w:bookmarkStart w:id="12" w:name="_Toc10940_WPSOffice_Level1"/>
      <w:bookmarkStart w:id="13" w:name="_Toc9864"/>
      <w:bookmarkStart w:id="14" w:name="_Toc7009"/>
      <w:bookmarkStart w:id="15" w:name="_Toc13691_WPSOffice_Level1"/>
      <w:r>
        <w:rPr>
          <w:rFonts w:ascii="Times New Roman" w:hAnsi="Times New Roman" w:cs="Times New Roman"/>
          <w:color w:val="auto"/>
          <w:sz w:val="32"/>
          <w:szCs w:val="32"/>
          <w:highlight w:val="none"/>
        </w:rPr>
        <w:t>四、评价适用标准</w:t>
      </w:r>
      <w:bookmarkEnd w:id="12"/>
      <w:bookmarkEnd w:id="13"/>
      <w:bookmarkEnd w:id="14"/>
      <w:bookmarkEnd w:id="15"/>
    </w:p>
    <w:tbl>
      <w:tblPr>
        <w:tblStyle w:val="23"/>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7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95" w:hRule="atLeast"/>
          <w:jc w:val="center"/>
        </w:trPr>
        <w:tc>
          <w:tcPr>
            <w:tcW w:w="525" w:type="dxa"/>
            <w:vAlign w:val="center"/>
          </w:tcPr>
          <w:p>
            <w:pPr>
              <w:pStyle w:val="10"/>
              <w:rPr>
                <w:rFonts w:ascii="Times New Roman" w:hAnsi="Times New Roman" w:eastAsia="宋体" w:cs="Times New Roman"/>
                <w:b/>
                <w:bCs/>
                <w:color w:val="auto"/>
                <w:sz w:val="28"/>
                <w:szCs w:val="28"/>
                <w:highlight w:val="none"/>
              </w:rPr>
            </w:pPr>
            <w:r>
              <w:rPr>
                <w:rFonts w:ascii="Times New Roman" w:hAnsi="Times New Roman" w:eastAsia="宋体" w:cs="Times New Roman"/>
                <w:b/>
                <w:bCs/>
                <w:color w:val="auto"/>
                <w:sz w:val="28"/>
                <w:szCs w:val="28"/>
                <w:highlight w:val="none"/>
              </w:rPr>
              <w:t>环</w:t>
            </w:r>
          </w:p>
          <w:p>
            <w:pPr>
              <w:pStyle w:val="10"/>
              <w:rPr>
                <w:rFonts w:ascii="Times New Roman" w:hAnsi="Times New Roman" w:eastAsia="宋体" w:cs="Times New Roman"/>
                <w:b/>
                <w:bCs/>
                <w:color w:val="auto"/>
                <w:sz w:val="28"/>
                <w:szCs w:val="28"/>
                <w:highlight w:val="none"/>
              </w:rPr>
            </w:pPr>
            <w:r>
              <w:rPr>
                <w:rFonts w:ascii="Times New Roman" w:hAnsi="Times New Roman" w:eastAsia="宋体" w:cs="Times New Roman"/>
                <w:b/>
                <w:bCs/>
                <w:color w:val="auto"/>
                <w:sz w:val="28"/>
                <w:szCs w:val="28"/>
                <w:highlight w:val="none"/>
              </w:rPr>
              <w:t>境</w:t>
            </w:r>
          </w:p>
          <w:p>
            <w:pPr>
              <w:pStyle w:val="10"/>
              <w:rPr>
                <w:rFonts w:ascii="Times New Roman" w:hAnsi="Times New Roman" w:eastAsia="宋体" w:cs="Times New Roman"/>
                <w:b/>
                <w:bCs/>
                <w:color w:val="auto"/>
                <w:sz w:val="28"/>
                <w:szCs w:val="28"/>
                <w:highlight w:val="none"/>
              </w:rPr>
            </w:pPr>
            <w:r>
              <w:rPr>
                <w:rFonts w:ascii="Times New Roman" w:hAnsi="Times New Roman" w:eastAsia="宋体" w:cs="Times New Roman"/>
                <w:b/>
                <w:bCs/>
                <w:color w:val="auto"/>
                <w:sz w:val="28"/>
                <w:szCs w:val="28"/>
                <w:highlight w:val="none"/>
              </w:rPr>
              <w:t>质</w:t>
            </w:r>
          </w:p>
          <w:p>
            <w:pPr>
              <w:pStyle w:val="10"/>
              <w:rPr>
                <w:rFonts w:ascii="Times New Roman" w:hAnsi="Times New Roman" w:eastAsia="宋体" w:cs="Times New Roman"/>
                <w:b/>
                <w:bCs/>
                <w:color w:val="auto"/>
                <w:sz w:val="28"/>
                <w:szCs w:val="28"/>
                <w:highlight w:val="none"/>
              </w:rPr>
            </w:pPr>
            <w:r>
              <w:rPr>
                <w:rFonts w:ascii="Times New Roman" w:hAnsi="Times New Roman" w:eastAsia="宋体" w:cs="Times New Roman"/>
                <w:b/>
                <w:bCs/>
                <w:color w:val="auto"/>
                <w:sz w:val="28"/>
                <w:szCs w:val="28"/>
                <w:highlight w:val="none"/>
              </w:rPr>
              <w:t>量</w:t>
            </w:r>
          </w:p>
          <w:p>
            <w:pPr>
              <w:pStyle w:val="10"/>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8"/>
                <w:szCs w:val="28"/>
                <w:highlight w:val="none"/>
              </w:rPr>
              <w:t>标</w:t>
            </w:r>
          </w:p>
          <w:p>
            <w:pPr>
              <w:pStyle w:val="10"/>
              <w:rPr>
                <w:rFonts w:ascii="Times New Roman" w:hAnsi="Times New Roman" w:cs="Times New Roman"/>
                <w:b/>
                <w:color w:val="auto"/>
                <w:szCs w:val="28"/>
                <w:highlight w:val="none"/>
              </w:rPr>
            </w:pPr>
            <w:r>
              <w:rPr>
                <w:rFonts w:ascii="Times New Roman" w:hAnsi="Times New Roman" w:eastAsia="宋体" w:cs="Times New Roman"/>
                <w:b/>
                <w:bCs/>
                <w:color w:val="auto"/>
                <w:sz w:val="28"/>
                <w:szCs w:val="28"/>
                <w:highlight w:val="none"/>
              </w:rPr>
              <w:t>准</w:t>
            </w:r>
          </w:p>
        </w:tc>
        <w:tc>
          <w:tcPr>
            <w:tcW w:w="7997" w:type="dxa"/>
          </w:tcPr>
          <w:p>
            <w:pPr>
              <w:snapToGrid w:val="0"/>
              <w:spacing w:line="360" w:lineRule="auto"/>
              <w:ind w:firstLine="482" w:firstLineChars="200"/>
              <w:jc w:val="left"/>
              <w:rPr>
                <w:rFonts w:ascii="Times New Roman" w:hAnsi="Times New Roman" w:cs="Times New Roman"/>
                <w:b/>
                <w:color w:val="auto"/>
                <w:sz w:val="24"/>
                <w:highlight w:val="none"/>
              </w:rPr>
            </w:pPr>
            <w:r>
              <w:rPr>
                <w:rFonts w:ascii="Times New Roman" w:hAnsi="Times New Roman" w:cs="Times New Roman"/>
                <w:b/>
                <w:color w:val="auto"/>
                <w:sz w:val="24"/>
                <w:highlight w:val="none"/>
              </w:rPr>
              <w:t>1、环境空气质量标准</w:t>
            </w:r>
          </w:p>
          <w:p>
            <w:pPr>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本项目所在地环境空气质量属二类功能区，环境空气质量执行《环境空气质量标准》（GB3095-2012）及其生态环境部2018年第29号修改单二级标准。</w:t>
            </w:r>
          </w:p>
          <w:p>
            <w:pPr>
              <w:snapToGrid w:val="0"/>
              <w:spacing w:line="360" w:lineRule="auto"/>
              <w:ind w:firstLine="482" w:firstLineChars="200"/>
              <w:jc w:val="left"/>
              <w:rPr>
                <w:rFonts w:ascii="Times New Roman" w:hAnsi="Times New Roman" w:cs="Times New Roman"/>
                <w:b/>
                <w:color w:val="auto"/>
                <w:sz w:val="24"/>
                <w:highlight w:val="none"/>
              </w:rPr>
            </w:pPr>
            <w:r>
              <w:rPr>
                <w:rFonts w:ascii="Times New Roman" w:hAnsi="Times New Roman" w:cs="Times New Roman"/>
                <w:b/>
                <w:color w:val="auto"/>
                <w:sz w:val="24"/>
                <w:highlight w:val="none"/>
              </w:rPr>
              <w:t>2、地表水环境质量标准</w:t>
            </w:r>
          </w:p>
          <w:p>
            <w:pPr>
              <w:pStyle w:val="24"/>
              <w:spacing w:line="360" w:lineRule="auto"/>
              <w:ind w:firstLine="480" w:firstLineChars="200"/>
              <w:jc w:val="left"/>
              <w:rPr>
                <w:rFonts w:ascii="Times New Roman" w:hAnsi="Times New Roman" w:cs="Times New Roman"/>
                <w:color w:val="auto"/>
                <w:szCs w:val="22"/>
                <w:highlight w:val="none"/>
              </w:rPr>
            </w:pPr>
            <w:r>
              <w:rPr>
                <w:rFonts w:ascii="Times New Roman" w:hAnsi="Times New Roman" w:cs="Times New Roman"/>
                <w:color w:val="auto"/>
                <w:szCs w:val="22"/>
                <w:highlight w:val="none"/>
              </w:rPr>
              <w:t>镇海水水质分别执行《地表水环境质量标准》（GB3838-2002）Ⅲ类标准。</w:t>
            </w:r>
          </w:p>
          <w:p>
            <w:pPr>
              <w:snapToGrid w:val="0"/>
              <w:spacing w:line="360" w:lineRule="auto"/>
              <w:ind w:firstLine="482" w:firstLineChars="200"/>
              <w:jc w:val="left"/>
              <w:rPr>
                <w:rFonts w:ascii="Times New Roman" w:hAnsi="Times New Roman" w:cs="Times New Roman"/>
                <w:b/>
                <w:color w:val="auto"/>
                <w:sz w:val="24"/>
                <w:highlight w:val="none"/>
              </w:rPr>
            </w:pPr>
            <w:r>
              <w:rPr>
                <w:rFonts w:ascii="Times New Roman" w:hAnsi="Times New Roman" w:cs="Times New Roman"/>
                <w:b/>
                <w:color w:val="auto"/>
                <w:kern w:val="0"/>
                <w:sz w:val="24"/>
                <w:highlight w:val="none"/>
              </w:rPr>
              <w:t>3</w:t>
            </w:r>
            <w:r>
              <w:rPr>
                <w:rFonts w:ascii="Times New Roman" w:hAnsi="Times New Roman" w:cs="Times New Roman"/>
                <w:b/>
                <w:color w:val="auto"/>
                <w:sz w:val="24"/>
                <w:highlight w:val="none"/>
              </w:rPr>
              <w:t>、声环境质量标准</w:t>
            </w:r>
          </w:p>
          <w:p>
            <w:pPr>
              <w:pStyle w:val="24"/>
              <w:spacing w:line="360" w:lineRule="auto"/>
              <w:ind w:firstLine="480" w:firstLineChars="200"/>
              <w:jc w:val="left"/>
              <w:rPr>
                <w:rFonts w:ascii="Times New Roman" w:hAnsi="Times New Roman" w:cs="Times New Roman"/>
                <w:color w:val="auto"/>
                <w:szCs w:val="22"/>
                <w:highlight w:val="none"/>
              </w:rPr>
            </w:pPr>
            <w:r>
              <w:rPr>
                <w:rFonts w:ascii="Times New Roman" w:hAnsi="Times New Roman" w:cs="Times New Roman"/>
                <w:color w:val="auto"/>
                <w:highlight w:val="none"/>
              </w:rPr>
              <w:t>所在区域为3类声环境功能区，噪声执行《声环境质量标准》（GB3096-2008）3类标准。</w:t>
            </w:r>
          </w:p>
          <w:p>
            <w:pPr>
              <w:spacing w:line="276" w:lineRule="auto"/>
              <w:jc w:val="center"/>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表</w:t>
            </w:r>
            <w:r>
              <w:rPr>
                <w:rFonts w:hint="eastAsia" w:ascii="Times New Roman" w:hAnsi="Times New Roman" w:eastAsia="宋体" w:cs="Times New Roman"/>
                <w:b/>
                <w:color w:val="auto"/>
                <w:sz w:val="24"/>
                <w:highlight w:val="none"/>
              </w:rPr>
              <w:t>4-1</w:t>
            </w:r>
            <w:r>
              <w:rPr>
                <w:rFonts w:ascii="Times New Roman" w:hAnsi="Times New Roman" w:eastAsia="宋体" w:cs="Times New Roman"/>
                <w:b/>
                <w:color w:val="auto"/>
                <w:sz w:val="24"/>
                <w:highlight w:val="none"/>
              </w:rPr>
              <w:t>项目所在区域执行的环境质量标准</w:t>
            </w:r>
          </w:p>
          <w:tbl>
            <w:tblPr>
              <w:tblStyle w:val="23"/>
              <w:tblW w:w="775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08"/>
              <w:gridCol w:w="1910"/>
              <w:gridCol w:w="1511"/>
              <w:gridCol w:w="1511"/>
              <w:gridCol w:w="15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08" w:type="dxa"/>
                  <w:tcBorders>
                    <w:tl2br w:val="nil"/>
                    <w:tr2bl w:val="nil"/>
                  </w:tcBorders>
                </w:tcPr>
                <w:p>
                  <w:pPr>
                    <w:spacing w:line="360" w:lineRule="auto"/>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环境要素</w:t>
                  </w:r>
                </w:p>
              </w:tc>
              <w:tc>
                <w:tcPr>
                  <w:tcW w:w="1910" w:type="dxa"/>
                  <w:tcBorders>
                    <w:tl2br w:val="nil"/>
                    <w:tr2bl w:val="nil"/>
                  </w:tcBorders>
                  <w:vAlign w:val="center"/>
                </w:tcPr>
                <w:p>
                  <w:pPr>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执行标准</w:t>
                  </w:r>
                </w:p>
              </w:tc>
              <w:tc>
                <w:tcPr>
                  <w:tcW w:w="1511" w:type="dxa"/>
                  <w:tcBorders>
                    <w:tl2br w:val="nil"/>
                    <w:tr2bl w:val="nil"/>
                  </w:tcBorders>
                  <w:vAlign w:val="center"/>
                </w:tcPr>
                <w:p>
                  <w:pPr>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污染物</w:t>
                  </w:r>
                </w:p>
              </w:tc>
              <w:tc>
                <w:tcPr>
                  <w:tcW w:w="3022" w:type="dxa"/>
                  <w:gridSpan w:val="2"/>
                  <w:tcBorders>
                    <w:tl2br w:val="nil"/>
                    <w:tr2bl w:val="nil"/>
                  </w:tcBorders>
                  <w:vAlign w:val="center"/>
                </w:tcPr>
                <w:p>
                  <w:pPr>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标准值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08" w:type="dxa"/>
                  <w:vMerge w:val="restart"/>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水环境</w:t>
                  </w:r>
                </w:p>
              </w:tc>
              <w:tc>
                <w:tcPr>
                  <w:tcW w:w="1910" w:type="dxa"/>
                  <w:vMerge w:val="restart"/>
                  <w:tcBorders>
                    <w:tl2br w:val="nil"/>
                    <w:tr2bl w:val="nil"/>
                  </w:tcBorders>
                  <w:vAlign w:val="center"/>
                </w:tcPr>
                <w:p>
                  <w:pPr>
                    <w:jc w:val="center"/>
                    <w:rPr>
                      <w:rFonts w:ascii="Times New Roman" w:hAnsi="Times New Roman" w:eastAsia="宋体" w:cs="Times New Roman"/>
                      <w:bCs/>
                      <w:color w:val="auto"/>
                      <w:szCs w:val="21"/>
                      <w:highlight w:val="none"/>
                    </w:rPr>
                  </w:pPr>
                </w:p>
                <w:p>
                  <w:pPr>
                    <w:jc w:val="center"/>
                    <w:rPr>
                      <w:rFonts w:ascii="Times New Roman" w:hAnsi="Times New Roman" w:eastAsia="宋体" w:cs="Times New Roman"/>
                      <w:bCs/>
                      <w:color w:val="auto"/>
                      <w:szCs w:val="21"/>
                      <w:highlight w:val="none"/>
                    </w:rPr>
                  </w:pPr>
                </w:p>
                <w:p>
                  <w:pPr>
                    <w:jc w:val="center"/>
                    <w:rPr>
                      <w:rFonts w:ascii="Times New Roman" w:hAnsi="Times New Roman" w:eastAsia="宋体" w:cs="Times New Roman"/>
                      <w:bCs/>
                      <w:color w:val="auto"/>
                      <w:szCs w:val="21"/>
                      <w:highlight w:val="none"/>
                    </w:rPr>
                  </w:pPr>
                </w:p>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《地表水环境质量标准》（GB3838-2002）中Ⅲ类标准</w:t>
                  </w:r>
                </w:p>
              </w:tc>
              <w:tc>
                <w:tcPr>
                  <w:tcW w:w="1511"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cs="Times New Roman"/>
                      <w:bCs/>
                      <w:color w:val="auto"/>
                      <w:szCs w:val="21"/>
                      <w:highlight w:val="none"/>
                    </w:rPr>
                    <w:t>pH</w:t>
                  </w:r>
                  <w:r>
                    <w:rPr>
                      <w:rFonts w:ascii="Times New Roman" w:hAnsi="Times New Roman" w:eastAsia="宋体" w:cs="Times New Roman"/>
                      <w:bCs/>
                      <w:color w:val="auto"/>
                      <w:szCs w:val="21"/>
                      <w:highlight w:val="none"/>
                    </w:rPr>
                    <w:t>（无量纲)</w:t>
                  </w:r>
                </w:p>
              </w:tc>
              <w:tc>
                <w:tcPr>
                  <w:tcW w:w="3022" w:type="dxa"/>
                  <w:gridSpan w:val="2"/>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6～9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08" w:type="dxa"/>
                  <w:vMerge w:val="continue"/>
                  <w:tcBorders>
                    <w:tl2br w:val="nil"/>
                    <w:tr2bl w:val="nil"/>
                  </w:tcBorders>
                </w:tcPr>
                <w:p>
                  <w:pPr>
                    <w:jc w:val="center"/>
                    <w:rPr>
                      <w:rFonts w:ascii="Times New Roman" w:hAnsi="Times New Roman" w:eastAsia="宋体" w:cs="Times New Roman"/>
                      <w:bCs/>
                      <w:color w:val="auto"/>
                      <w:szCs w:val="21"/>
                      <w:highlight w:val="none"/>
                    </w:rPr>
                  </w:pPr>
                </w:p>
              </w:tc>
              <w:tc>
                <w:tcPr>
                  <w:tcW w:w="1910" w:type="dxa"/>
                  <w:vMerge w:val="continue"/>
                  <w:tcBorders>
                    <w:tl2br w:val="nil"/>
                    <w:tr2bl w:val="nil"/>
                  </w:tcBorders>
                  <w:vAlign w:val="center"/>
                </w:tcPr>
                <w:p>
                  <w:pPr>
                    <w:jc w:val="center"/>
                    <w:rPr>
                      <w:rFonts w:ascii="Times New Roman" w:hAnsi="Times New Roman" w:eastAsia="宋体" w:cs="Times New Roman"/>
                      <w:bCs/>
                      <w:color w:val="auto"/>
                      <w:szCs w:val="21"/>
                      <w:highlight w:val="none"/>
                    </w:rPr>
                  </w:pPr>
                </w:p>
              </w:tc>
              <w:tc>
                <w:tcPr>
                  <w:tcW w:w="1511"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DO</w:t>
                  </w:r>
                </w:p>
              </w:tc>
              <w:tc>
                <w:tcPr>
                  <w:tcW w:w="3022" w:type="dxa"/>
                  <w:gridSpan w:val="2"/>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≥5mg/L</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08" w:type="dxa"/>
                  <w:vMerge w:val="continue"/>
                  <w:tcBorders>
                    <w:tl2br w:val="nil"/>
                    <w:tr2bl w:val="nil"/>
                  </w:tcBorders>
                </w:tcPr>
                <w:p>
                  <w:pPr>
                    <w:jc w:val="center"/>
                    <w:rPr>
                      <w:rFonts w:ascii="Times New Roman" w:hAnsi="Times New Roman" w:eastAsia="宋体" w:cs="Times New Roman"/>
                      <w:bCs/>
                      <w:color w:val="auto"/>
                      <w:szCs w:val="21"/>
                      <w:highlight w:val="none"/>
                    </w:rPr>
                  </w:pPr>
                </w:p>
              </w:tc>
              <w:tc>
                <w:tcPr>
                  <w:tcW w:w="1910" w:type="dxa"/>
                  <w:vMerge w:val="continue"/>
                  <w:tcBorders>
                    <w:tl2br w:val="nil"/>
                    <w:tr2bl w:val="nil"/>
                  </w:tcBorders>
                  <w:vAlign w:val="center"/>
                </w:tcPr>
                <w:p>
                  <w:pPr>
                    <w:jc w:val="center"/>
                    <w:rPr>
                      <w:rFonts w:ascii="Times New Roman" w:hAnsi="Times New Roman" w:eastAsia="宋体" w:cs="Times New Roman"/>
                      <w:bCs/>
                      <w:color w:val="auto"/>
                      <w:szCs w:val="21"/>
                      <w:highlight w:val="none"/>
                    </w:rPr>
                  </w:pPr>
                </w:p>
              </w:tc>
              <w:tc>
                <w:tcPr>
                  <w:tcW w:w="1511"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COD</w:t>
                  </w:r>
                  <w:r>
                    <w:rPr>
                      <w:rFonts w:ascii="Times New Roman" w:hAnsi="Times New Roman" w:eastAsia="宋体" w:cs="Times New Roman"/>
                      <w:bCs/>
                      <w:color w:val="auto"/>
                      <w:szCs w:val="21"/>
                      <w:highlight w:val="none"/>
                      <w:vertAlign w:val="subscript"/>
                    </w:rPr>
                    <w:t>Cr</w:t>
                  </w:r>
                </w:p>
              </w:tc>
              <w:tc>
                <w:tcPr>
                  <w:tcW w:w="3022" w:type="dxa"/>
                  <w:gridSpan w:val="2"/>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≤20mg/L</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08" w:type="dxa"/>
                  <w:vMerge w:val="continue"/>
                  <w:tcBorders>
                    <w:tl2br w:val="nil"/>
                    <w:tr2bl w:val="nil"/>
                  </w:tcBorders>
                </w:tcPr>
                <w:p>
                  <w:pPr>
                    <w:jc w:val="center"/>
                    <w:rPr>
                      <w:rFonts w:ascii="Times New Roman" w:hAnsi="Times New Roman" w:eastAsia="宋体" w:cs="Times New Roman"/>
                      <w:bCs/>
                      <w:color w:val="auto"/>
                      <w:szCs w:val="21"/>
                      <w:highlight w:val="none"/>
                    </w:rPr>
                  </w:pPr>
                </w:p>
              </w:tc>
              <w:tc>
                <w:tcPr>
                  <w:tcW w:w="1910" w:type="dxa"/>
                  <w:vMerge w:val="continue"/>
                  <w:tcBorders>
                    <w:tl2br w:val="nil"/>
                    <w:tr2bl w:val="nil"/>
                  </w:tcBorders>
                  <w:vAlign w:val="center"/>
                </w:tcPr>
                <w:p>
                  <w:pPr>
                    <w:jc w:val="center"/>
                    <w:rPr>
                      <w:rFonts w:ascii="Times New Roman" w:hAnsi="Times New Roman" w:eastAsia="宋体" w:cs="Times New Roman"/>
                      <w:bCs/>
                      <w:color w:val="auto"/>
                      <w:szCs w:val="21"/>
                      <w:highlight w:val="none"/>
                    </w:rPr>
                  </w:pPr>
                </w:p>
              </w:tc>
              <w:tc>
                <w:tcPr>
                  <w:tcW w:w="1511"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BOD</w:t>
                  </w:r>
                  <w:r>
                    <w:rPr>
                      <w:rFonts w:ascii="Times New Roman" w:hAnsi="Times New Roman" w:eastAsia="宋体" w:cs="Times New Roman"/>
                      <w:bCs/>
                      <w:color w:val="auto"/>
                      <w:szCs w:val="21"/>
                      <w:highlight w:val="none"/>
                      <w:vertAlign w:val="subscript"/>
                    </w:rPr>
                    <w:t>5</w:t>
                  </w:r>
                </w:p>
              </w:tc>
              <w:tc>
                <w:tcPr>
                  <w:tcW w:w="3022" w:type="dxa"/>
                  <w:gridSpan w:val="2"/>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≤4mg/L</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08" w:type="dxa"/>
                  <w:vMerge w:val="continue"/>
                  <w:tcBorders>
                    <w:tl2br w:val="nil"/>
                    <w:tr2bl w:val="nil"/>
                  </w:tcBorders>
                </w:tcPr>
                <w:p>
                  <w:pPr>
                    <w:jc w:val="center"/>
                    <w:rPr>
                      <w:rFonts w:ascii="Times New Roman" w:hAnsi="Times New Roman" w:eastAsia="宋体" w:cs="Times New Roman"/>
                      <w:bCs/>
                      <w:color w:val="auto"/>
                      <w:szCs w:val="21"/>
                      <w:highlight w:val="none"/>
                    </w:rPr>
                  </w:pPr>
                </w:p>
              </w:tc>
              <w:tc>
                <w:tcPr>
                  <w:tcW w:w="1910" w:type="dxa"/>
                  <w:vMerge w:val="continue"/>
                  <w:tcBorders>
                    <w:tl2br w:val="nil"/>
                    <w:tr2bl w:val="nil"/>
                  </w:tcBorders>
                  <w:vAlign w:val="center"/>
                </w:tcPr>
                <w:p>
                  <w:pPr>
                    <w:jc w:val="center"/>
                    <w:rPr>
                      <w:rFonts w:ascii="Times New Roman" w:hAnsi="Times New Roman" w:eastAsia="宋体" w:cs="Times New Roman"/>
                      <w:bCs/>
                      <w:color w:val="auto"/>
                      <w:szCs w:val="21"/>
                      <w:highlight w:val="none"/>
                    </w:rPr>
                  </w:pPr>
                </w:p>
              </w:tc>
              <w:tc>
                <w:tcPr>
                  <w:tcW w:w="1511"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氨氮</w:t>
                  </w:r>
                </w:p>
              </w:tc>
              <w:tc>
                <w:tcPr>
                  <w:tcW w:w="3022" w:type="dxa"/>
                  <w:gridSpan w:val="2"/>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≤1.0mg/L</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08" w:type="dxa"/>
                  <w:vMerge w:val="continue"/>
                  <w:tcBorders>
                    <w:tl2br w:val="nil"/>
                    <w:tr2bl w:val="nil"/>
                  </w:tcBorders>
                </w:tcPr>
                <w:p>
                  <w:pPr>
                    <w:jc w:val="center"/>
                    <w:rPr>
                      <w:rFonts w:ascii="Times New Roman" w:hAnsi="Times New Roman" w:eastAsia="宋体" w:cs="Times New Roman"/>
                      <w:bCs/>
                      <w:color w:val="auto"/>
                      <w:szCs w:val="21"/>
                      <w:highlight w:val="none"/>
                    </w:rPr>
                  </w:pPr>
                </w:p>
              </w:tc>
              <w:tc>
                <w:tcPr>
                  <w:tcW w:w="1910" w:type="dxa"/>
                  <w:vMerge w:val="continue"/>
                  <w:tcBorders>
                    <w:tl2br w:val="nil"/>
                    <w:tr2bl w:val="nil"/>
                  </w:tcBorders>
                  <w:vAlign w:val="center"/>
                </w:tcPr>
                <w:p>
                  <w:pPr>
                    <w:jc w:val="center"/>
                    <w:rPr>
                      <w:rFonts w:ascii="Times New Roman" w:hAnsi="Times New Roman" w:eastAsia="宋体" w:cs="Times New Roman"/>
                      <w:bCs/>
                      <w:color w:val="auto"/>
                      <w:szCs w:val="21"/>
                      <w:highlight w:val="none"/>
                    </w:rPr>
                  </w:pPr>
                </w:p>
              </w:tc>
              <w:tc>
                <w:tcPr>
                  <w:tcW w:w="1511"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总磷</w:t>
                  </w:r>
                </w:p>
              </w:tc>
              <w:tc>
                <w:tcPr>
                  <w:tcW w:w="3022" w:type="dxa"/>
                  <w:gridSpan w:val="2"/>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≤0.2mg/L</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08" w:type="dxa"/>
                  <w:vMerge w:val="continue"/>
                  <w:tcBorders>
                    <w:tl2br w:val="nil"/>
                    <w:tr2bl w:val="nil"/>
                  </w:tcBorders>
                </w:tcPr>
                <w:p>
                  <w:pPr>
                    <w:jc w:val="center"/>
                    <w:rPr>
                      <w:rFonts w:ascii="Times New Roman" w:hAnsi="Times New Roman" w:eastAsia="宋体" w:cs="Times New Roman"/>
                      <w:bCs/>
                      <w:color w:val="auto"/>
                      <w:szCs w:val="21"/>
                      <w:highlight w:val="none"/>
                    </w:rPr>
                  </w:pPr>
                </w:p>
              </w:tc>
              <w:tc>
                <w:tcPr>
                  <w:tcW w:w="1910" w:type="dxa"/>
                  <w:vMerge w:val="continue"/>
                  <w:tcBorders>
                    <w:tl2br w:val="nil"/>
                    <w:tr2bl w:val="nil"/>
                  </w:tcBorders>
                  <w:vAlign w:val="center"/>
                </w:tcPr>
                <w:p>
                  <w:pPr>
                    <w:jc w:val="center"/>
                    <w:rPr>
                      <w:rFonts w:ascii="Times New Roman" w:hAnsi="Times New Roman" w:eastAsia="宋体" w:cs="Times New Roman"/>
                      <w:bCs/>
                      <w:color w:val="auto"/>
                      <w:szCs w:val="21"/>
                      <w:highlight w:val="none"/>
                    </w:rPr>
                  </w:pPr>
                </w:p>
              </w:tc>
              <w:tc>
                <w:tcPr>
                  <w:tcW w:w="1511"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SS</w:t>
                  </w:r>
                </w:p>
              </w:tc>
              <w:tc>
                <w:tcPr>
                  <w:tcW w:w="3022" w:type="dxa"/>
                  <w:gridSpan w:val="2"/>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≤150mg/L</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08" w:type="dxa"/>
                  <w:vMerge w:val="restart"/>
                  <w:tcBorders>
                    <w:tl2br w:val="nil"/>
                    <w:tr2bl w:val="nil"/>
                  </w:tcBorders>
                </w:tcPr>
                <w:p>
                  <w:pPr>
                    <w:rPr>
                      <w:rFonts w:ascii="Times New Roman" w:hAnsi="Times New Roman" w:eastAsia="宋体" w:cs="Times New Roman"/>
                      <w:bCs/>
                      <w:color w:val="auto"/>
                      <w:szCs w:val="21"/>
                      <w:highlight w:val="none"/>
                    </w:rPr>
                  </w:pPr>
                </w:p>
                <w:p>
                  <w:pPr>
                    <w:pStyle w:val="24"/>
                    <w:jc w:val="both"/>
                    <w:rPr>
                      <w:rFonts w:ascii="Times New Roman" w:hAnsi="Times New Roman" w:cs="Times New Roman"/>
                      <w:bCs/>
                      <w:color w:val="auto"/>
                      <w:sz w:val="21"/>
                      <w:szCs w:val="21"/>
                      <w:highlight w:val="none"/>
                    </w:rPr>
                  </w:pPr>
                </w:p>
                <w:p>
                  <w:pPr>
                    <w:pStyle w:val="24"/>
                    <w:jc w:val="both"/>
                    <w:rPr>
                      <w:rFonts w:ascii="Times New Roman" w:hAnsi="Times New Roman" w:cs="Times New Roman"/>
                      <w:bCs/>
                      <w:color w:val="auto"/>
                      <w:sz w:val="21"/>
                      <w:szCs w:val="21"/>
                      <w:highlight w:val="none"/>
                    </w:rPr>
                  </w:pPr>
                </w:p>
                <w:p>
                  <w:pPr>
                    <w:pStyle w:val="24"/>
                    <w:jc w:val="both"/>
                    <w:rPr>
                      <w:rFonts w:ascii="Times New Roman" w:hAnsi="Times New Roman" w:cs="Times New Roman"/>
                      <w:bCs/>
                      <w:color w:val="auto"/>
                      <w:sz w:val="21"/>
                      <w:szCs w:val="21"/>
                      <w:highlight w:val="none"/>
                    </w:rPr>
                  </w:pPr>
                </w:p>
                <w:p>
                  <w:pPr>
                    <w:ind w:firstLine="210" w:firstLineChars="100"/>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环</w:t>
                  </w:r>
                </w:p>
                <w:p>
                  <w:pPr>
                    <w:ind w:firstLine="210" w:firstLineChars="100"/>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境</w:t>
                  </w:r>
                </w:p>
                <w:p>
                  <w:pPr>
                    <w:ind w:firstLine="210" w:firstLineChars="100"/>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空</w:t>
                  </w:r>
                </w:p>
                <w:p>
                  <w:pPr>
                    <w:ind w:firstLine="210" w:firstLineChars="100"/>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气</w:t>
                  </w:r>
                </w:p>
              </w:tc>
              <w:tc>
                <w:tcPr>
                  <w:tcW w:w="1910" w:type="dxa"/>
                  <w:vMerge w:val="restart"/>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cs="Times New Roman"/>
                      <w:color w:val="auto"/>
                      <w:szCs w:val="21"/>
                      <w:highlight w:val="none"/>
                    </w:rPr>
                    <w:t>《环境空气质量标准》（GB3095-2012）及其生态环境部2018年第29号修改单二级标准</w:t>
                  </w:r>
                </w:p>
              </w:tc>
              <w:tc>
                <w:tcPr>
                  <w:tcW w:w="1511"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污染物</w:t>
                  </w:r>
                </w:p>
              </w:tc>
              <w:tc>
                <w:tcPr>
                  <w:tcW w:w="1511"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取值时间</w:t>
                  </w:r>
                </w:p>
              </w:tc>
              <w:tc>
                <w:tcPr>
                  <w:tcW w:w="1511"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08" w:type="dxa"/>
                  <w:vMerge w:val="continue"/>
                  <w:tcBorders>
                    <w:tl2br w:val="nil"/>
                    <w:tr2bl w:val="nil"/>
                  </w:tcBorders>
                </w:tcPr>
                <w:p>
                  <w:pPr>
                    <w:rPr>
                      <w:rFonts w:ascii="Times New Roman" w:hAnsi="Times New Roman" w:eastAsia="宋体" w:cs="Times New Roman"/>
                      <w:bCs/>
                      <w:color w:val="auto"/>
                      <w:szCs w:val="21"/>
                      <w:highlight w:val="none"/>
                    </w:rPr>
                  </w:pPr>
                </w:p>
              </w:tc>
              <w:tc>
                <w:tcPr>
                  <w:tcW w:w="1910" w:type="dxa"/>
                  <w:vMerge w:val="continue"/>
                  <w:tcBorders>
                    <w:tl2br w:val="nil"/>
                    <w:tr2bl w:val="nil"/>
                  </w:tcBorders>
                </w:tcPr>
                <w:p>
                  <w:pPr>
                    <w:rPr>
                      <w:rFonts w:ascii="Times New Roman" w:hAnsi="Times New Roman" w:eastAsia="宋体" w:cs="Times New Roman"/>
                      <w:bCs/>
                      <w:color w:val="auto"/>
                      <w:szCs w:val="21"/>
                      <w:highlight w:val="none"/>
                    </w:rPr>
                  </w:pPr>
                </w:p>
              </w:tc>
              <w:tc>
                <w:tcPr>
                  <w:tcW w:w="1511" w:type="dxa"/>
                  <w:vMerge w:val="restart"/>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SO</w:t>
                  </w:r>
                  <w:r>
                    <w:rPr>
                      <w:rFonts w:ascii="Times New Roman" w:hAnsi="Times New Roman" w:eastAsia="宋体" w:cs="Times New Roman"/>
                      <w:bCs/>
                      <w:color w:val="auto"/>
                      <w:szCs w:val="21"/>
                      <w:highlight w:val="none"/>
                      <w:vertAlign w:val="subscript"/>
                    </w:rPr>
                    <w:t>2</w:t>
                  </w:r>
                </w:p>
              </w:tc>
              <w:tc>
                <w:tcPr>
                  <w:tcW w:w="1511"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1小时平均</w:t>
                  </w:r>
                </w:p>
              </w:tc>
              <w:tc>
                <w:tcPr>
                  <w:tcW w:w="1511"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500μg/ m</w:t>
                  </w:r>
                  <w:r>
                    <w:rPr>
                      <w:rFonts w:ascii="Times New Roman" w:hAnsi="Times New Roman" w:eastAsia="宋体" w:cs="Times New Roman"/>
                      <w:bCs/>
                      <w:color w:val="auto"/>
                      <w:szCs w:val="21"/>
                      <w:highlight w:val="none"/>
                      <w:vertAlign w:val="superscript"/>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08" w:type="dxa"/>
                  <w:vMerge w:val="continue"/>
                  <w:tcBorders>
                    <w:tl2br w:val="nil"/>
                    <w:tr2bl w:val="nil"/>
                  </w:tcBorders>
                </w:tcPr>
                <w:p>
                  <w:pPr>
                    <w:rPr>
                      <w:rFonts w:ascii="Times New Roman" w:hAnsi="Times New Roman" w:eastAsia="宋体" w:cs="Times New Roman"/>
                      <w:bCs/>
                      <w:color w:val="auto"/>
                      <w:szCs w:val="21"/>
                      <w:highlight w:val="none"/>
                    </w:rPr>
                  </w:pPr>
                </w:p>
              </w:tc>
              <w:tc>
                <w:tcPr>
                  <w:tcW w:w="1910" w:type="dxa"/>
                  <w:vMerge w:val="continue"/>
                  <w:tcBorders>
                    <w:tl2br w:val="nil"/>
                    <w:tr2bl w:val="nil"/>
                  </w:tcBorders>
                </w:tcPr>
                <w:p>
                  <w:pPr>
                    <w:rPr>
                      <w:rFonts w:ascii="Times New Roman" w:hAnsi="Times New Roman" w:eastAsia="宋体" w:cs="Times New Roman"/>
                      <w:bCs/>
                      <w:color w:val="auto"/>
                      <w:szCs w:val="21"/>
                      <w:highlight w:val="none"/>
                    </w:rPr>
                  </w:pPr>
                </w:p>
              </w:tc>
              <w:tc>
                <w:tcPr>
                  <w:tcW w:w="1511" w:type="dxa"/>
                  <w:vMerge w:val="continue"/>
                  <w:tcBorders>
                    <w:tl2br w:val="nil"/>
                    <w:tr2bl w:val="nil"/>
                  </w:tcBorders>
                  <w:vAlign w:val="center"/>
                </w:tcPr>
                <w:p>
                  <w:pPr>
                    <w:jc w:val="center"/>
                    <w:rPr>
                      <w:rFonts w:ascii="Times New Roman" w:hAnsi="Times New Roman" w:eastAsia="宋体" w:cs="Times New Roman"/>
                      <w:bCs/>
                      <w:color w:val="auto"/>
                      <w:szCs w:val="21"/>
                      <w:highlight w:val="none"/>
                    </w:rPr>
                  </w:pPr>
                </w:p>
              </w:tc>
              <w:tc>
                <w:tcPr>
                  <w:tcW w:w="1511"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日平均</w:t>
                  </w:r>
                </w:p>
              </w:tc>
              <w:tc>
                <w:tcPr>
                  <w:tcW w:w="1511"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150μg/ m</w:t>
                  </w:r>
                  <w:r>
                    <w:rPr>
                      <w:rFonts w:ascii="Times New Roman" w:hAnsi="Times New Roman" w:eastAsia="宋体" w:cs="Times New Roman"/>
                      <w:bCs/>
                      <w:color w:val="auto"/>
                      <w:szCs w:val="21"/>
                      <w:highlight w:val="none"/>
                      <w:vertAlign w:val="superscript"/>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08" w:type="dxa"/>
                  <w:vMerge w:val="continue"/>
                  <w:tcBorders>
                    <w:tl2br w:val="nil"/>
                    <w:tr2bl w:val="nil"/>
                  </w:tcBorders>
                </w:tcPr>
                <w:p>
                  <w:pPr>
                    <w:rPr>
                      <w:rFonts w:ascii="Times New Roman" w:hAnsi="Times New Roman" w:eastAsia="宋体" w:cs="Times New Roman"/>
                      <w:bCs/>
                      <w:color w:val="auto"/>
                      <w:szCs w:val="21"/>
                      <w:highlight w:val="none"/>
                    </w:rPr>
                  </w:pPr>
                </w:p>
              </w:tc>
              <w:tc>
                <w:tcPr>
                  <w:tcW w:w="1910" w:type="dxa"/>
                  <w:vMerge w:val="continue"/>
                  <w:tcBorders>
                    <w:tl2br w:val="nil"/>
                    <w:tr2bl w:val="nil"/>
                  </w:tcBorders>
                </w:tcPr>
                <w:p>
                  <w:pPr>
                    <w:rPr>
                      <w:rFonts w:ascii="Times New Roman" w:hAnsi="Times New Roman" w:eastAsia="宋体" w:cs="Times New Roman"/>
                      <w:bCs/>
                      <w:color w:val="auto"/>
                      <w:szCs w:val="21"/>
                      <w:highlight w:val="none"/>
                    </w:rPr>
                  </w:pPr>
                </w:p>
              </w:tc>
              <w:tc>
                <w:tcPr>
                  <w:tcW w:w="1511" w:type="dxa"/>
                  <w:vMerge w:val="continue"/>
                  <w:tcBorders>
                    <w:tl2br w:val="nil"/>
                    <w:tr2bl w:val="nil"/>
                  </w:tcBorders>
                  <w:vAlign w:val="center"/>
                </w:tcPr>
                <w:p>
                  <w:pPr>
                    <w:jc w:val="center"/>
                    <w:rPr>
                      <w:rFonts w:ascii="Times New Roman" w:hAnsi="Times New Roman" w:eastAsia="宋体" w:cs="Times New Roman"/>
                      <w:bCs/>
                      <w:color w:val="auto"/>
                      <w:szCs w:val="21"/>
                      <w:highlight w:val="none"/>
                    </w:rPr>
                  </w:pPr>
                </w:p>
              </w:tc>
              <w:tc>
                <w:tcPr>
                  <w:tcW w:w="1511"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年平均</w:t>
                  </w:r>
                </w:p>
              </w:tc>
              <w:tc>
                <w:tcPr>
                  <w:tcW w:w="1511"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60μg/ m</w:t>
                  </w:r>
                  <w:r>
                    <w:rPr>
                      <w:rFonts w:ascii="Times New Roman" w:hAnsi="Times New Roman" w:eastAsia="宋体" w:cs="Times New Roman"/>
                      <w:bCs/>
                      <w:color w:val="auto"/>
                      <w:szCs w:val="21"/>
                      <w:highlight w:val="none"/>
                      <w:vertAlign w:val="superscript"/>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08" w:type="dxa"/>
                  <w:vMerge w:val="continue"/>
                  <w:tcBorders>
                    <w:tl2br w:val="nil"/>
                    <w:tr2bl w:val="nil"/>
                  </w:tcBorders>
                </w:tcPr>
                <w:p>
                  <w:pPr>
                    <w:rPr>
                      <w:rFonts w:ascii="Times New Roman" w:hAnsi="Times New Roman" w:eastAsia="宋体" w:cs="Times New Roman"/>
                      <w:bCs/>
                      <w:color w:val="auto"/>
                      <w:szCs w:val="21"/>
                      <w:highlight w:val="none"/>
                    </w:rPr>
                  </w:pPr>
                </w:p>
              </w:tc>
              <w:tc>
                <w:tcPr>
                  <w:tcW w:w="1910" w:type="dxa"/>
                  <w:vMerge w:val="continue"/>
                  <w:tcBorders>
                    <w:tl2br w:val="nil"/>
                    <w:tr2bl w:val="nil"/>
                  </w:tcBorders>
                </w:tcPr>
                <w:p>
                  <w:pPr>
                    <w:rPr>
                      <w:rFonts w:ascii="Times New Roman" w:hAnsi="Times New Roman" w:eastAsia="宋体" w:cs="Times New Roman"/>
                      <w:bCs/>
                      <w:color w:val="auto"/>
                      <w:szCs w:val="21"/>
                      <w:highlight w:val="none"/>
                    </w:rPr>
                  </w:pPr>
                </w:p>
              </w:tc>
              <w:tc>
                <w:tcPr>
                  <w:tcW w:w="1511" w:type="dxa"/>
                  <w:vMerge w:val="restart"/>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NO</w:t>
                  </w:r>
                  <w:r>
                    <w:rPr>
                      <w:rFonts w:ascii="Times New Roman" w:hAnsi="Times New Roman" w:eastAsia="宋体" w:cs="Times New Roman"/>
                      <w:bCs/>
                      <w:color w:val="auto"/>
                      <w:szCs w:val="21"/>
                      <w:highlight w:val="none"/>
                      <w:vertAlign w:val="subscript"/>
                    </w:rPr>
                    <w:t>2</w:t>
                  </w:r>
                </w:p>
              </w:tc>
              <w:tc>
                <w:tcPr>
                  <w:tcW w:w="1511"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1小时平均</w:t>
                  </w:r>
                </w:p>
              </w:tc>
              <w:tc>
                <w:tcPr>
                  <w:tcW w:w="1511"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200μg/ m</w:t>
                  </w:r>
                  <w:r>
                    <w:rPr>
                      <w:rFonts w:ascii="Times New Roman" w:hAnsi="Times New Roman" w:eastAsia="宋体" w:cs="Times New Roman"/>
                      <w:bCs/>
                      <w:color w:val="auto"/>
                      <w:szCs w:val="21"/>
                      <w:highlight w:val="none"/>
                      <w:vertAlign w:val="superscript"/>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08" w:type="dxa"/>
                  <w:vMerge w:val="continue"/>
                  <w:tcBorders>
                    <w:tl2br w:val="nil"/>
                    <w:tr2bl w:val="nil"/>
                  </w:tcBorders>
                </w:tcPr>
                <w:p>
                  <w:pPr>
                    <w:rPr>
                      <w:rFonts w:ascii="Times New Roman" w:hAnsi="Times New Roman" w:eastAsia="宋体" w:cs="Times New Roman"/>
                      <w:bCs/>
                      <w:color w:val="auto"/>
                      <w:szCs w:val="21"/>
                      <w:highlight w:val="none"/>
                    </w:rPr>
                  </w:pPr>
                </w:p>
              </w:tc>
              <w:tc>
                <w:tcPr>
                  <w:tcW w:w="1910" w:type="dxa"/>
                  <w:vMerge w:val="continue"/>
                  <w:tcBorders>
                    <w:tl2br w:val="nil"/>
                    <w:tr2bl w:val="nil"/>
                  </w:tcBorders>
                </w:tcPr>
                <w:p>
                  <w:pPr>
                    <w:rPr>
                      <w:rFonts w:ascii="Times New Roman" w:hAnsi="Times New Roman" w:eastAsia="宋体" w:cs="Times New Roman"/>
                      <w:bCs/>
                      <w:color w:val="auto"/>
                      <w:szCs w:val="21"/>
                      <w:highlight w:val="none"/>
                    </w:rPr>
                  </w:pPr>
                </w:p>
              </w:tc>
              <w:tc>
                <w:tcPr>
                  <w:tcW w:w="1511" w:type="dxa"/>
                  <w:vMerge w:val="continue"/>
                  <w:tcBorders>
                    <w:tl2br w:val="nil"/>
                    <w:tr2bl w:val="nil"/>
                  </w:tcBorders>
                  <w:vAlign w:val="center"/>
                </w:tcPr>
                <w:p>
                  <w:pPr>
                    <w:jc w:val="center"/>
                    <w:rPr>
                      <w:rFonts w:ascii="Times New Roman" w:hAnsi="Times New Roman" w:eastAsia="宋体" w:cs="Times New Roman"/>
                      <w:bCs/>
                      <w:color w:val="auto"/>
                      <w:szCs w:val="21"/>
                      <w:highlight w:val="none"/>
                    </w:rPr>
                  </w:pPr>
                </w:p>
              </w:tc>
              <w:tc>
                <w:tcPr>
                  <w:tcW w:w="1511"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日平均</w:t>
                  </w:r>
                </w:p>
              </w:tc>
              <w:tc>
                <w:tcPr>
                  <w:tcW w:w="1511"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80μg/ m</w:t>
                  </w:r>
                  <w:r>
                    <w:rPr>
                      <w:rFonts w:ascii="Times New Roman" w:hAnsi="Times New Roman" w:eastAsia="宋体" w:cs="Times New Roman"/>
                      <w:bCs/>
                      <w:color w:val="auto"/>
                      <w:szCs w:val="21"/>
                      <w:highlight w:val="none"/>
                      <w:vertAlign w:val="superscript"/>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08" w:type="dxa"/>
                  <w:vMerge w:val="continue"/>
                  <w:tcBorders>
                    <w:tl2br w:val="nil"/>
                    <w:tr2bl w:val="nil"/>
                  </w:tcBorders>
                </w:tcPr>
                <w:p>
                  <w:pPr>
                    <w:rPr>
                      <w:rFonts w:ascii="Times New Roman" w:hAnsi="Times New Roman" w:eastAsia="宋体" w:cs="Times New Roman"/>
                      <w:bCs/>
                      <w:color w:val="auto"/>
                      <w:szCs w:val="21"/>
                      <w:highlight w:val="none"/>
                    </w:rPr>
                  </w:pPr>
                </w:p>
              </w:tc>
              <w:tc>
                <w:tcPr>
                  <w:tcW w:w="1910" w:type="dxa"/>
                  <w:vMerge w:val="continue"/>
                  <w:tcBorders>
                    <w:tl2br w:val="nil"/>
                    <w:tr2bl w:val="nil"/>
                  </w:tcBorders>
                </w:tcPr>
                <w:p>
                  <w:pPr>
                    <w:rPr>
                      <w:rFonts w:ascii="Times New Roman" w:hAnsi="Times New Roman" w:eastAsia="宋体" w:cs="Times New Roman"/>
                      <w:bCs/>
                      <w:color w:val="auto"/>
                      <w:szCs w:val="21"/>
                      <w:highlight w:val="none"/>
                    </w:rPr>
                  </w:pPr>
                </w:p>
              </w:tc>
              <w:tc>
                <w:tcPr>
                  <w:tcW w:w="1511" w:type="dxa"/>
                  <w:vMerge w:val="continue"/>
                  <w:tcBorders>
                    <w:tl2br w:val="nil"/>
                    <w:tr2bl w:val="nil"/>
                  </w:tcBorders>
                  <w:vAlign w:val="center"/>
                </w:tcPr>
                <w:p>
                  <w:pPr>
                    <w:jc w:val="center"/>
                    <w:rPr>
                      <w:rFonts w:ascii="Times New Roman" w:hAnsi="Times New Roman" w:eastAsia="宋体" w:cs="Times New Roman"/>
                      <w:bCs/>
                      <w:color w:val="auto"/>
                      <w:szCs w:val="21"/>
                      <w:highlight w:val="none"/>
                    </w:rPr>
                  </w:pPr>
                </w:p>
              </w:tc>
              <w:tc>
                <w:tcPr>
                  <w:tcW w:w="1511"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年平均</w:t>
                  </w:r>
                </w:p>
              </w:tc>
              <w:tc>
                <w:tcPr>
                  <w:tcW w:w="1511"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40μg/ m</w:t>
                  </w:r>
                  <w:r>
                    <w:rPr>
                      <w:rFonts w:ascii="Times New Roman" w:hAnsi="Times New Roman" w:eastAsia="宋体" w:cs="Times New Roman"/>
                      <w:bCs/>
                      <w:color w:val="auto"/>
                      <w:szCs w:val="21"/>
                      <w:highlight w:val="none"/>
                      <w:vertAlign w:val="superscript"/>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08" w:type="dxa"/>
                  <w:vMerge w:val="continue"/>
                  <w:tcBorders>
                    <w:tl2br w:val="nil"/>
                    <w:tr2bl w:val="nil"/>
                  </w:tcBorders>
                </w:tcPr>
                <w:p>
                  <w:pPr>
                    <w:rPr>
                      <w:rFonts w:ascii="Times New Roman" w:hAnsi="Times New Roman" w:eastAsia="宋体" w:cs="Times New Roman"/>
                      <w:bCs/>
                      <w:color w:val="auto"/>
                      <w:szCs w:val="21"/>
                      <w:highlight w:val="none"/>
                    </w:rPr>
                  </w:pPr>
                </w:p>
              </w:tc>
              <w:tc>
                <w:tcPr>
                  <w:tcW w:w="1910" w:type="dxa"/>
                  <w:vMerge w:val="continue"/>
                  <w:tcBorders>
                    <w:tl2br w:val="nil"/>
                    <w:tr2bl w:val="nil"/>
                  </w:tcBorders>
                </w:tcPr>
                <w:p>
                  <w:pPr>
                    <w:rPr>
                      <w:rFonts w:ascii="Times New Roman" w:hAnsi="Times New Roman" w:eastAsia="宋体" w:cs="Times New Roman"/>
                      <w:bCs/>
                      <w:color w:val="auto"/>
                      <w:szCs w:val="21"/>
                      <w:highlight w:val="none"/>
                    </w:rPr>
                  </w:pPr>
                </w:p>
              </w:tc>
              <w:tc>
                <w:tcPr>
                  <w:tcW w:w="1511" w:type="dxa"/>
                  <w:vMerge w:val="restart"/>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PM</w:t>
                  </w:r>
                  <w:r>
                    <w:rPr>
                      <w:rFonts w:ascii="Times New Roman" w:hAnsi="Times New Roman" w:eastAsia="宋体" w:cs="Times New Roman"/>
                      <w:bCs/>
                      <w:color w:val="auto"/>
                      <w:szCs w:val="21"/>
                      <w:highlight w:val="none"/>
                      <w:vertAlign w:val="subscript"/>
                    </w:rPr>
                    <w:t>10</w:t>
                  </w:r>
                </w:p>
              </w:tc>
              <w:tc>
                <w:tcPr>
                  <w:tcW w:w="1511"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日平均</w:t>
                  </w:r>
                </w:p>
              </w:tc>
              <w:tc>
                <w:tcPr>
                  <w:tcW w:w="1511"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150μg/ m</w:t>
                  </w:r>
                  <w:r>
                    <w:rPr>
                      <w:rFonts w:ascii="Times New Roman" w:hAnsi="Times New Roman" w:eastAsia="宋体" w:cs="Times New Roman"/>
                      <w:bCs/>
                      <w:color w:val="auto"/>
                      <w:szCs w:val="21"/>
                      <w:highlight w:val="none"/>
                      <w:vertAlign w:val="superscript"/>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08" w:type="dxa"/>
                  <w:vMerge w:val="continue"/>
                  <w:tcBorders>
                    <w:tl2br w:val="nil"/>
                    <w:tr2bl w:val="nil"/>
                  </w:tcBorders>
                </w:tcPr>
                <w:p>
                  <w:pPr>
                    <w:rPr>
                      <w:rFonts w:ascii="Times New Roman" w:hAnsi="Times New Roman" w:eastAsia="宋体" w:cs="Times New Roman"/>
                      <w:bCs/>
                      <w:color w:val="auto"/>
                      <w:szCs w:val="21"/>
                      <w:highlight w:val="none"/>
                    </w:rPr>
                  </w:pPr>
                </w:p>
              </w:tc>
              <w:tc>
                <w:tcPr>
                  <w:tcW w:w="1910" w:type="dxa"/>
                  <w:vMerge w:val="continue"/>
                  <w:tcBorders>
                    <w:tl2br w:val="nil"/>
                    <w:tr2bl w:val="nil"/>
                  </w:tcBorders>
                </w:tcPr>
                <w:p>
                  <w:pPr>
                    <w:rPr>
                      <w:rFonts w:ascii="Times New Roman" w:hAnsi="Times New Roman" w:eastAsia="宋体" w:cs="Times New Roman"/>
                      <w:bCs/>
                      <w:color w:val="auto"/>
                      <w:szCs w:val="21"/>
                      <w:highlight w:val="none"/>
                    </w:rPr>
                  </w:pPr>
                </w:p>
              </w:tc>
              <w:tc>
                <w:tcPr>
                  <w:tcW w:w="1511" w:type="dxa"/>
                  <w:vMerge w:val="continue"/>
                  <w:tcBorders>
                    <w:tl2br w:val="nil"/>
                    <w:tr2bl w:val="nil"/>
                  </w:tcBorders>
                  <w:vAlign w:val="center"/>
                </w:tcPr>
                <w:p>
                  <w:pPr>
                    <w:jc w:val="center"/>
                    <w:rPr>
                      <w:rFonts w:ascii="Times New Roman" w:hAnsi="Times New Roman" w:eastAsia="宋体" w:cs="Times New Roman"/>
                      <w:bCs/>
                      <w:color w:val="auto"/>
                      <w:szCs w:val="21"/>
                      <w:highlight w:val="none"/>
                    </w:rPr>
                  </w:pPr>
                </w:p>
              </w:tc>
              <w:tc>
                <w:tcPr>
                  <w:tcW w:w="1511"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年平均</w:t>
                  </w:r>
                </w:p>
              </w:tc>
              <w:tc>
                <w:tcPr>
                  <w:tcW w:w="1511"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70μg/ m</w:t>
                  </w:r>
                  <w:r>
                    <w:rPr>
                      <w:rFonts w:ascii="Times New Roman" w:hAnsi="Times New Roman" w:eastAsia="宋体" w:cs="Times New Roman"/>
                      <w:bCs/>
                      <w:color w:val="auto"/>
                      <w:szCs w:val="21"/>
                      <w:highlight w:val="none"/>
                      <w:vertAlign w:val="superscript"/>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08" w:type="dxa"/>
                  <w:vMerge w:val="continue"/>
                  <w:tcBorders>
                    <w:tl2br w:val="nil"/>
                    <w:tr2bl w:val="nil"/>
                  </w:tcBorders>
                </w:tcPr>
                <w:p>
                  <w:pPr>
                    <w:rPr>
                      <w:rFonts w:ascii="Times New Roman" w:hAnsi="Times New Roman" w:eastAsia="宋体" w:cs="Times New Roman"/>
                      <w:bCs/>
                      <w:color w:val="auto"/>
                      <w:szCs w:val="21"/>
                      <w:highlight w:val="none"/>
                    </w:rPr>
                  </w:pPr>
                </w:p>
              </w:tc>
              <w:tc>
                <w:tcPr>
                  <w:tcW w:w="1910" w:type="dxa"/>
                  <w:vMerge w:val="continue"/>
                  <w:tcBorders>
                    <w:tl2br w:val="nil"/>
                    <w:tr2bl w:val="nil"/>
                  </w:tcBorders>
                </w:tcPr>
                <w:p>
                  <w:pPr>
                    <w:rPr>
                      <w:rFonts w:ascii="Times New Roman" w:hAnsi="Times New Roman" w:eastAsia="宋体" w:cs="Times New Roman"/>
                      <w:bCs/>
                      <w:color w:val="auto"/>
                      <w:szCs w:val="21"/>
                      <w:highlight w:val="none"/>
                    </w:rPr>
                  </w:pPr>
                </w:p>
              </w:tc>
              <w:tc>
                <w:tcPr>
                  <w:tcW w:w="1511" w:type="dxa"/>
                  <w:vMerge w:val="restart"/>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TSP</w:t>
                  </w:r>
                </w:p>
              </w:tc>
              <w:tc>
                <w:tcPr>
                  <w:tcW w:w="1511"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日平均</w:t>
                  </w:r>
                </w:p>
              </w:tc>
              <w:tc>
                <w:tcPr>
                  <w:tcW w:w="1511"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30μg/ m</w:t>
                  </w:r>
                  <w:r>
                    <w:rPr>
                      <w:rFonts w:ascii="Times New Roman" w:hAnsi="Times New Roman" w:eastAsia="宋体" w:cs="Times New Roman"/>
                      <w:bCs/>
                      <w:color w:val="auto"/>
                      <w:szCs w:val="21"/>
                      <w:highlight w:val="none"/>
                      <w:vertAlign w:val="superscript"/>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08" w:type="dxa"/>
                  <w:vMerge w:val="continue"/>
                  <w:tcBorders>
                    <w:tl2br w:val="nil"/>
                    <w:tr2bl w:val="nil"/>
                  </w:tcBorders>
                </w:tcPr>
                <w:p>
                  <w:pPr>
                    <w:rPr>
                      <w:rFonts w:ascii="Times New Roman" w:hAnsi="Times New Roman" w:eastAsia="宋体" w:cs="Times New Roman"/>
                      <w:bCs/>
                      <w:color w:val="auto"/>
                      <w:szCs w:val="21"/>
                      <w:highlight w:val="none"/>
                    </w:rPr>
                  </w:pPr>
                </w:p>
              </w:tc>
              <w:tc>
                <w:tcPr>
                  <w:tcW w:w="1910" w:type="dxa"/>
                  <w:vMerge w:val="continue"/>
                  <w:tcBorders>
                    <w:tl2br w:val="nil"/>
                    <w:tr2bl w:val="nil"/>
                  </w:tcBorders>
                </w:tcPr>
                <w:p>
                  <w:pPr>
                    <w:rPr>
                      <w:rFonts w:ascii="Times New Roman" w:hAnsi="Times New Roman" w:eastAsia="宋体" w:cs="Times New Roman"/>
                      <w:bCs/>
                      <w:color w:val="auto"/>
                      <w:szCs w:val="21"/>
                      <w:highlight w:val="none"/>
                    </w:rPr>
                  </w:pPr>
                </w:p>
              </w:tc>
              <w:tc>
                <w:tcPr>
                  <w:tcW w:w="1511" w:type="dxa"/>
                  <w:vMerge w:val="continue"/>
                  <w:tcBorders>
                    <w:tl2br w:val="nil"/>
                    <w:tr2bl w:val="nil"/>
                  </w:tcBorders>
                  <w:vAlign w:val="center"/>
                </w:tcPr>
                <w:p>
                  <w:pPr>
                    <w:jc w:val="center"/>
                    <w:rPr>
                      <w:rFonts w:ascii="Times New Roman" w:hAnsi="Times New Roman" w:eastAsia="宋体" w:cs="Times New Roman"/>
                      <w:bCs/>
                      <w:color w:val="auto"/>
                      <w:szCs w:val="21"/>
                      <w:highlight w:val="none"/>
                    </w:rPr>
                  </w:pPr>
                </w:p>
              </w:tc>
              <w:tc>
                <w:tcPr>
                  <w:tcW w:w="1511"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年平均</w:t>
                  </w:r>
                </w:p>
              </w:tc>
              <w:tc>
                <w:tcPr>
                  <w:tcW w:w="1511"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20μg/ m</w:t>
                  </w:r>
                  <w:r>
                    <w:rPr>
                      <w:rFonts w:ascii="Times New Roman" w:hAnsi="Times New Roman" w:eastAsia="宋体" w:cs="Times New Roman"/>
                      <w:bCs/>
                      <w:color w:val="auto"/>
                      <w:szCs w:val="21"/>
                      <w:highlight w:val="none"/>
                      <w:vertAlign w:val="superscript"/>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08" w:type="dxa"/>
                  <w:vMerge w:val="continue"/>
                  <w:tcBorders>
                    <w:tl2br w:val="nil"/>
                    <w:tr2bl w:val="nil"/>
                  </w:tcBorders>
                </w:tcPr>
                <w:p>
                  <w:pPr>
                    <w:rPr>
                      <w:rFonts w:ascii="Times New Roman" w:hAnsi="Times New Roman" w:eastAsia="宋体" w:cs="Times New Roman"/>
                      <w:bCs/>
                      <w:color w:val="auto"/>
                      <w:szCs w:val="21"/>
                      <w:highlight w:val="none"/>
                    </w:rPr>
                  </w:pPr>
                </w:p>
              </w:tc>
              <w:tc>
                <w:tcPr>
                  <w:tcW w:w="1910" w:type="dxa"/>
                  <w:tcBorders>
                    <w:tl2br w:val="nil"/>
                    <w:tr2bl w:val="nil"/>
                  </w:tcBorders>
                </w:tcPr>
                <w:p>
                  <w:pPr>
                    <w:jc w:val="center"/>
                    <w:rPr>
                      <w:rFonts w:ascii="Times New Roman" w:hAnsi="Times New Roman" w:eastAsia="宋体" w:cs="Times New Roman"/>
                      <w:bCs/>
                      <w:color w:val="auto"/>
                      <w:szCs w:val="21"/>
                      <w:highlight w:val="none"/>
                    </w:rPr>
                  </w:pPr>
                  <w:r>
                    <w:rPr>
                      <w:rFonts w:ascii="Times New Roman" w:hAnsi="Times New Roman" w:cs="Times New Roman"/>
                      <w:color w:val="auto"/>
                      <w:szCs w:val="21"/>
                      <w:highlight w:val="none"/>
                    </w:rPr>
                    <w:t>《</w:t>
                  </w:r>
                  <w:r>
                    <w:rPr>
                      <w:rFonts w:ascii="Times New Roman" w:hAnsi="Times New Roman" w:eastAsia="宋体" w:cs="Times New Roman"/>
                      <w:bCs/>
                      <w:color w:val="auto"/>
                      <w:szCs w:val="21"/>
                      <w:highlight w:val="none"/>
                    </w:rPr>
                    <w:t>大气污染物综合排放标准详解</w:t>
                  </w:r>
                  <w:r>
                    <w:rPr>
                      <w:rFonts w:ascii="Times New Roman" w:hAnsi="Times New Roman" w:cs="Times New Roman"/>
                      <w:color w:val="auto"/>
                      <w:szCs w:val="21"/>
                      <w:highlight w:val="none"/>
                    </w:rPr>
                    <w:t>》</w:t>
                  </w:r>
                </w:p>
              </w:tc>
              <w:tc>
                <w:tcPr>
                  <w:tcW w:w="1511"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非甲烷</w:t>
                  </w:r>
                </w:p>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总烃</w:t>
                  </w:r>
                </w:p>
              </w:tc>
              <w:tc>
                <w:tcPr>
                  <w:tcW w:w="1511"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1 小时平均</w:t>
                  </w:r>
                </w:p>
              </w:tc>
              <w:tc>
                <w:tcPr>
                  <w:tcW w:w="1511"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2.0</w:t>
                  </w:r>
                  <w:r>
                    <w:rPr>
                      <w:rFonts w:hint="eastAsia" w:ascii="Times New Roman" w:hAnsi="Times New Roman" w:eastAsia="宋体" w:cs="Times New Roman"/>
                      <w:bCs/>
                      <w:color w:val="auto"/>
                      <w:szCs w:val="21"/>
                      <w:highlight w:val="none"/>
                    </w:rPr>
                    <w:t>m</w:t>
                  </w:r>
                  <w:r>
                    <w:rPr>
                      <w:rFonts w:ascii="Times New Roman" w:hAnsi="Times New Roman" w:eastAsia="宋体" w:cs="Times New Roman"/>
                      <w:bCs/>
                      <w:color w:val="auto"/>
                      <w:szCs w:val="21"/>
                      <w:highlight w:val="none"/>
                    </w:rPr>
                    <w:t>g/ m</w:t>
                  </w:r>
                  <w:r>
                    <w:rPr>
                      <w:rFonts w:ascii="Times New Roman" w:hAnsi="Times New Roman" w:eastAsia="宋体" w:cs="Times New Roman"/>
                      <w:bCs/>
                      <w:color w:val="auto"/>
                      <w:szCs w:val="21"/>
                      <w:highlight w:val="none"/>
                      <w:vertAlign w:val="superscript"/>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08" w:type="dxa"/>
                  <w:vMerge w:val="restart"/>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声环境</w:t>
                  </w:r>
                </w:p>
              </w:tc>
              <w:tc>
                <w:tcPr>
                  <w:tcW w:w="1910" w:type="dxa"/>
                  <w:vMerge w:val="restart"/>
                  <w:tcBorders>
                    <w:tl2br w:val="nil"/>
                    <w:tr2bl w:val="nil"/>
                  </w:tcBorders>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《声环境质量标准》</w:t>
                  </w:r>
                </w:p>
                <w:p>
                  <w:pPr>
                    <w:jc w:val="center"/>
                    <w:rPr>
                      <w:rFonts w:ascii="Times New Roman" w:hAnsi="Times New Roman" w:eastAsia="宋体" w:cs="Times New Roman"/>
                      <w:bCs/>
                      <w:color w:val="auto"/>
                      <w:szCs w:val="21"/>
                      <w:highlight w:val="none"/>
                    </w:rPr>
                  </w:pPr>
                  <w:r>
                    <w:rPr>
                      <w:rFonts w:ascii="Times New Roman" w:hAnsi="Times New Roman" w:eastAsia="宋体" w:cs="Times New Roman"/>
                      <w:color w:val="auto"/>
                      <w:szCs w:val="21"/>
                      <w:highlight w:val="none"/>
                    </w:rPr>
                    <w:t>（GB3096-2008）</w:t>
                  </w:r>
                </w:p>
              </w:tc>
              <w:tc>
                <w:tcPr>
                  <w:tcW w:w="1511" w:type="dxa"/>
                  <w:vMerge w:val="restart"/>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color w:val="auto"/>
                      <w:szCs w:val="21"/>
                      <w:highlight w:val="none"/>
                    </w:rPr>
                    <w:t>3类标准</w:t>
                  </w:r>
                </w:p>
              </w:tc>
              <w:tc>
                <w:tcPr>
                  <w:tcW w:w="1511"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昼间</w:t>
                  </w:r>
                </w:p>
              </w:tc>
              <w:tc>
                <w:tcPr>
                  <w:tcW w:w="1511"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65dB(A)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08" w:type="dxa"/>
                  <w:vMerge w:val="continue"/>
                  <w:tcBorders>
                    <w:tl2br w:val="nil"/>
                    <w:tr2bl w:val="nil"/>
                  </w:tcBorders>
                  <w:vAlign w:val="center"/>
                </w:tcPr>
                <w:p>
                  <w:pPr>
                    <w:jc w:val="center"/>
                    <w:rPr>
                      <w:rFonts w:ascii="Times New Roman" w:hAnsi="Times New Roman" w:eastAsia="宋体" w:cs="Times New Roman"/>
                      <w:bCs/>
                      <w:color w:val="auto"/>
                      <w:szCs w:val="21"/>
                      <w:highlight w:val="none"/>
                    </w:rPr>
                  </w:pPr>
                </w:p>
              </w:tc>
              <w:tc>
                <w:tcPr>
                  <w:tcW w:w="1910" w:type="dxa"/>
                  <w:vMerge w:val="continue"/>
                  <w:tcBorders>
                    <w:tl2br w:val="nil"/>
                    <w:tr2bl w:val="nil"/>
                  </w:tcBorders>
                  <w:vAlign w:val="center"/>
                </w:tcPr>
                <w:p>
                  <w:pPr>
                    <w:jc w:val="center"/>
                    <w:rPr>
                      <w:rFonts w:ascii="Times New Roman" w:hAnsi="Times New Roman" w:eastAsia="宋体" w:cs="Times New Roman"/>
                      <w:bCs/>
                      <w:color w:val="auto"/>
                      <w:szCs w:val="21"/>
                      <w:highlight w:val="none"/>
                    </w:rPr>
                  </w:pPr>
                </w:p>
              </w:tc>
              <w:tc>
                <w:tcPr>
                  <w:tcW w:w="1511" w:type="dxa"/>
                  <w:vMerge w:val="continue"/>
                  <w:tcBorders>
                    <w:tl2br w:val="nil"/>
                    <w:tr2bl w:val="nil"/>
                  </w:tcBorders>
                  <w:vAlign w:val="center"/>
                </w:tcPr>
                <w:p>
                  <w:pPr>
                    <w:jc w:val="center"/>
                    <w:rPr>
                      <w:rFonts w:ascii="Times New Roman" w:hAnsi="Times New Roman" w:eastAsia="宋体" w:cs="Times New Roman"/>
                      <w:bCs/>
                      <w:color w:val="auto"/>
                      <w:szCs w:val="21"/>
                      <w:highlight w:val="none"/>
                    </w:rPr>
                  </w:pPr>
                </w:p>
              </w:tc>
              <w:tc>
                <w:tcPr>
                  <w:tcW w:w="1511"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夜间</w:t>
                  </w:r>
                </w:p>
              </w:tc>
              <w:tc>
                <w:tcPr>
                  <w:tcW w:w="1511"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55dB(A)</w:t>
                  </w:r>
                </w:p>
              </w:tc>
            </w:tr>
          </w:tbl>
          <w:p>
            <w:pPr>
              <w:rPr>
                <w:rFonts w:ascii="Times New Roman" w:hAnsi="Times New Roman" w:cs="Times New Roman"/>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1" w:hRule="atLeast"/>
          <w:jc w:val="center"/>
        </w:trPr>
        <w:tc>
          <w:tcPr>
            <w:tcW w:w="525" w:type="dxa"/>
            <w:vAlign w:val="center"/>
          </w:tcPr>
          <w:p>
            <w:pPr>
              <w:pStyle w:val="10"/>
              <w:rPr>
                <w:rFonts w:ascii="Times New Roman" w:hAnsi="Times New Roman" w:eastAsia="宋体" w:cs="Times New Roman"/>
                <w:b/>
                <w:bCs/>
                <w:color w:val="auto"/>
                <w:sz w:val="28"/>
                <w:szCs w:val="28"/>
                <w:highlight w:val="none"/>
              </w:rPr>
            </w:pPr>
            <w:r>
              <w:rPr>
                <w:rFonts w:ascii="Times New Roman" w:hAnsi="Times New Roman" w:eastAsia="宋体" w:cs="Times New Roman"/>
                <w:b/>
                <w:bCs/>
                <w:color w:val="auto"/>
                <w:sz w:val="28"/>
                <w:szCs w:val="28"/>
                <w:highlight w:val="none"/>
              </w:rPr>
              <w:t>污</w:t>
            </w:r>
          </w:p>
          <w:p>
            <w:pPr>
              <w:pStyle w:val="10"/>
              <w:rPr>
                <w:rFonts w:ascii="Times New Roman" w:hAnsi="Times New Roman" w:eastAsia="宋体" w:cs="Times New Roman"/>
                <w:b/>
                <w:bCs/>
                <w:color w:val="auto"/>
                <w:sz w:val="28"/>
                <w:szCs w:val="28"/>
                <w:highlight w:val="none"/>
              </w:rPr>
            </w:pPr>
            <w:r>
              <w:rPr>
                <w:rFonts w:ascii="Times New Roman" w:hAnsi="Times New Roman" w:eastAsia="宋体" w:cs="Times New Roman"/>
                <w:b/>
                <w:bCs/>
                <w:color w:val="auto"/>
                <w:sz w:val="28"/>
                <w:szCs w:val="28"/>
                <w:highlight w:val="none"/>
              </w:rPr>
              <w:t>染</w:t>
            </w:r>
          </w:p>
          <w:p>
            <w:pPr>
              <w:pStyle w:val="10"/>
              <w:rPr>
                <w:rFonts w:ascii="Times New Roman" w:hAnsi="Times New Roman" w:eastAsia="宋体" w:cs="Times New Roman"/>
                <w:b/>
                <w:bCs/>
                <w:color w:val="auto"/>
                <w:sz w:val="28"/>
                <w:szCs w:val="28"/>
                <w:highlight w:val="none"/>
              </w:rPr>
            </w:pPr>
            <w:r>
              <w:rPr>
                <w:rFonts w:ascii="Times New Roman" w:hAnsi="Times New Roman" w:eastAsia="宋体" w:cs="Times New Roman"/>
                <w:b/>
                <w:bCs/>
                <w:color w:val="auto"/>
                <w:sz w:val="28"/>
                <w:szCs w:val="28"/>
                <w:highlight w:val="none"/>
              </w:rPr>
              <w:t>物</w:t>
            </w:r>
          </w:p>
          <w:p>
            <w:pPr>
              <w:pStyle w:val="10"/>
              <w:rPr>
                <w:rFonts w:ascii="Times New Roman" w:hAnsi="Times New Roman" w:eastAsia="宋体" w:cs="Times New Roman"/>
                <w:b/>
                <w:bCs/>
                <w:color w:val="auto"/>
                <w:sz w:val="28"/>
                <w:szCs w:val="28"/>
                <w:highlight w:val="none"/>
              </w:rPr>
            </w:pPr>
            <w:r>
              <w:rPr>
                <w:rFonts w:ascii="Times New Roman" w:hAnsi="Times New Roman" w:eastAsia="宋体" w:cs="Times New Roman"/>
                <w:b/>
                <w:bCs/>
                <w:color w:val="auto"/>
                <w:sz w:val="28"/>
                <w:szCs w:val="28"/>
                <w:highlight w:val="none"/>
              </w:rPr>
              <w:t>排</w:t>
            </w:r>
          </w:p>
          <w:p>
            <w:pPr>
              <w:pStyle w:val="10"/>
              <w:rPr>
                <w:rFonts w:ascii="Times New Roman" w:hAnsi="Times New Roman" w:eastAsia="宋体" w:cs="Times New Roman"/>
                <w:b/>
                <w:bCs/>
                <w:color w:val="auto"/>
                <w:sz w:val="28"/>
                <w:szCs w:val="28"/>
                <w:highlight w:val="none"/>
              </w:rPr>
            </w:pPr>
            <w:r>
              <w:rPr>
                <w:rFonts w:ascii="Times New Roman" w:hAnsi="Times New Roman" w:eastAsia="宋体" w:cs="Times New Roman"/>
                <w:b/>
                <w:bCs/>
                <w:color w:val="auto"/>
                <w:sz w:val="28"/>
                <w:szCs w:val="28"/>
                <w:highlight w:val="none"/>
              </w:rPr>
              <w:t>放</w:t>
            </w:r>
          </w:p>
          <w:p>
            <w:pPr>
              <w:pStyle w:val="10"/>
              <w:rPr>
                <w:rFonts w:ascii="Times New Roman" w:hAnsi="Times New Roman" w:eastAsia="宋体" w:cs="Times New Roman"/>
                <w:b/>
                <w:bCs/>
                <w:color w:val="auto"/>
                <w:sz w:val="28"/>
                <w:szCs w:val="28"/>
                <w:highlight w:val="none"/>
              </w:rPr>
            </w:pPr>
            <w:r>
              <w:rPr>
                <w:rFonts w:ascii="Times New Roman" w:hAnsi="Times New Roman" w:eastAsia="宋体" w:cs="Times New Roman"/>
                <w:b/>
                <w:bCs/>
                <w:color w:val="auto"/>
                <w:sz w:val="28"/>
                <w:szCs w:val="28"/>
                <w:highlight w:val="none"/>
              </w:rPr>
              <w:t>标</w:t>
            </w:r>
          </w:p>
          <w:p>
            <w:pPr>
              <w:pStyle w:val="10"/>
              <w:rPr>
                <w:rFonts w:ascii="Times New Roman" w:hAnsi="Times New Roman" w:cs="Times New Roman"/>
                <w:b/>
                <w:color w:val="auto"/>
                <w:szCs w:val="28"/>
                <w:highlight w:val="none"/>
              </w:rPr>
            </w:pPr>
            <w:r>
              <w:rPr>
                <w:rFonts w:ascii="Times New Roman" w:hAnsi="Times New Roman" w:eastAsia="宋体" w:cs="Times New Roman"/>
                <w:b/>
                <w:bCs/>
                <w:color w:val="auto"/>
                <w:sz w:val="28"/>
                <w:szCs w:val="28"/>
                <w:highlight w:val="none"/>
              </w:rPr>
              <w:t>准</w:t>
            </w:r>
          </w:p>
        </w:tc>
        <w:tc>
          <w:tcPr>
            <w:tcW w:w="7997" w:type="dxa"/>
          </w:tcPr>
          <w:p>
            <w:pPr>
              <w:spacing w:line="360" w:lineRule="auto"/>
              <w:ind w:firstLine="482" w:firstLineChars="200"/>
              <w:jc w:val="left"/>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1、地表水</w:t>
            </w:r>
          </w:p>
          <w:p>
            <w:pPr>
              <w:adjustRightInd w:val="0"/>
              <w:snapToGrid w:val="0"/>
              <w:spacing w:before="156" w:beforeLines="50" w:line="360" w:lineRule="auto"/>
              <w:ind w:firstLine="480" w:firstLineChars="200"/>
              <w:rPr>
                <w:rFonts w:hAnsi="宋体"/>
                <w:color w:val="auto"/>
                <w:sz w:val="24"/>
                <w:highlight w:val="none"/>
              </w:rPr>
            </w:pPr>
            <w:r>
              <w:rPr>
                <w:rFonts w:ascii="Times New Roman" w:hAnsi="Times New Roman" w:eastAsia="宋体" w:cs="Times New Roman"/>
                <w:bCs/>
                <w:color w:val="auto"/>
                <w:sz w:val="24"/>
                <w:highlight w:val="none"/>
              </w:rPr>
              <w:t>生活污水</w:t>
            </w:r>
            <w:r>
              <w:rPr>
                <w:rFonts w:hint="eastAsia" w:ascii="Times New Roman" w:hAnsi="Times New Roman" w:eastAsia="宋体" w:cs="Times New Roman"/>
                <w:bCs/>
                <w:color w:val="auto"/>
                <w:sz w:val="24"/>
                <w:highlight w:val="none"/>
              </w:rPr>
              <w:t>依托开平裕进纺织厂有限公司的厂区污水站处理，主要处理工艺为“混凝沉淀+水解酸化+接触氧化”，</w:t>
            </w:r>
            <w:r>
              <w:rPr>
                <w:rFonts w:hint="eastAsia"/>
                <w:color w:val="auto"/>
                <w:sz w:val="24"/>
                <w:szCs w:val="10"/>
                <w:highlight w:val="none"/>
              </w:rPr>
              <w:t>排放执行《</w:t>
            </w:r>
            <w:r>
              <w:rPr>
                <w:color w:val="auto"/>
                <w:highlight w:val="none"/>
              </w:rPr>
              <w:fldChar w:fldCharType="begin"/>
            </w:r>
            <w:r>
              <w:rPr>
                <w:color w:val="auto"/>
                <w:highlight w:val="none"/>
              </w:rPr>
              <w:instrText xml:space="preserve"> HYPERLINK "http://kjs.mep.gov.cn/hjbhbz/bzwb/shjbh/swrwpfbz/201211/./W020121116662298626393.pdf" </w:instrText>
            </w:r>
            <w:r>
              <w:rPr>
                <w:color w:val="auto"/>
                <w:highlight w:val="none"/>
              </w:rPr>
              <w:fldChar w:fldCharType="separate"/>
            </w:r>
            <w:r>
              <w:rPr>
                <w:rFonts w:hint="eastAsia"/>
                <w:color w:val="auto"/>
                <w:sz w:val="24"/>
                <w:szCs w:val="10"/>
                <w:highlight w:val="none"/>
              </w:rPr>
              <w:t>纺织染整工业水污染物排放标准（GB 4287-2012）</w:t>
            </w:r>
            <w:r>
              <w:rPr>
                <w:rFonts w:hint="eastAsia"/>
                <w:color w:val="auto"/>
                <w:sz w:val="24"/>
                <w:szCs w:val="10"/>
                <w:highlight w:val="none"/>
              </w:rPr>
              <w:fldChar w:fldCharType="end"/>
            </w:r>
            <w:r>
              <w:rPr>
                <w:rFonts w:hint="eastAsia"/>
                <w:color w:val="auto"/>
                <w:sz w:val="24"/>
                <w:szCs w:val="10"/>
                <w:highlight w:val="none"/>
              </w:rPr>
              <w:t>》中的表4-2，最后排入</w:t>
            </w:r>
            <w:r>
              <w:rPr>
                <w:color w:val="auto"/>
                <w:sz w:val="24"/>
                <w:highlight w:val="none"/>
              </w:rPr>
              <w:t>镇</w:t>
            </w:r>
            <w:r>
              <w:rPr>
                <w:rFonts w:hint="eastAsia"/>
                <w:color w:val="auto"/>
                <w:sz w:val="24"/>
                <w:highlight w:val="none"/>
              </w:rPr>
              <w:t>海水</w:t>
            </w:r>
            <w:r>
              <w:rPr>
                <w:rFonts w:hint="eastAsia" w:hAnsi="宋体"/>
                <w:color w:val="auto"/>
                <w:sz w:val="24"/>
                <w:highlight w:val="none"/>
              </w:rPr>
              <w:t>。</w:t>
            </w:r>
          </w:p>
          <w:p>
            <w:pPr>
              <w:spacing w:line="276" w:lineRule="auto"/>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表</w:t>
            </w:r>
            <w:r>
              <w:rPr>
                <w:rFonts w:hint="eastAsia" w:ascii="Times New Roman" w:hAnsi="Times New Roman" w:eastAsia="宋体" w:cs="Times New Roman"/>
                <w:b/>
                <w:color w:val="auto"/>
                <w:szCs w:val="21"/>
                <w:highlight w:val="none"/>
              </w:rPr>
              <w:t xml:space="preserve">4-2 </w:t>
            </w:r>
            <w:r>
              <w:rPr>
                <w:rFonts w:ascii="Times New Roman" w:hAnsi="Times New Roman" w:eastAsia="宋体" w:cs="Times New Roman"/>
                <w:b/>
                <w:color w:val="auto"/>
                <w:szCs w:val="21"/>
                <w:highlight w:val="none"/>
              </w:rPr>
              <w:t>废水污染物控制标准</w:t>
            </w:r>
          </w:p>
          <w:tbl>
            <w:tblPr>
              <w:tblStyle w:val="22"/>
              <w:tblW w:w="775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329"/>
              <w:gridCol w:w="993"/>
              <w:gridCol w:w="1107"/>
              <w:gridCol w:w="1107"/>
              <w:gridCol w:w="1107"/>
              <w:gridCol w:w="110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jc w:val="center"/>
              </w:trPr>
              <w:tc>
                <w:tcPr>
                  <w:tcW w:w="2329" w:type="dxa"/>
                  <w:tcBorders>
                    <w:tl2br w:val="nil"/>
                    <w:tr2bl w:val="nil"/>
                  </w:tcBorders>
                  <w:vAlign w:val="center"/>
                </w:tcPr>
                <w:p>
                  <w:pPr>
                    <w:pStyle w:val="11"/>
                    <w:ind w:firstLine="0"/>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项目</w:t>
                  </w:r>
                </w:p>
              </w:tc>
              <w:tc>
                <w:tcPr>
                  <w:tcW w:w="993" w:type="dxa"/>
                  <w:tcBorders>
                    <w:tl2br w:val="nil"/>
                    <w:tr2bl w:val="nil"/>
                  </w:tcBorders>
                  <w:vAlign w:val="center"/>
                </w:tcPr>
                <w:p>
                  <w:pPr>
                    <w:pStyle w:val="34"/>
                    <w:spacing w:before="149"/>
                    <w:ind w:left="147" w:right="148"/>
                    <w:jc w:val="center"/>
                    <w:rPr>
                      <w:rFonts w:ascii="Times New Roman" w:hAnsi="Times New Roman" w:eastAsia="宋体" w:cs="Times New Roman"/>
                      <w:b/>
                      <w:bCs/>
                      <w:color w:val="auto"/>
                      <w:sz w:val="21"/>
                      <w:szCs w:val="21"/>
                      <w:highlight w:val="none"/>
                    </w:rPr>
                  </w:pPr>
                  <w:r>
                    <w:rPr>
                      <w:rFonts w:ascii="Times New Roman"/>
                      <w:b/>
                      <w:bCs/>
                      <w:color w:val="auto"/>
                      <w:sz w:val="21"/>
                      <w:highlight w:val="none"/>
                    </w:rPr>
                    <w:t>pH</w:t>
                  </w:r>
                </w:p>
              </w:tc>
              <w:tc>
                <w:tcPr>
                  <w:tcW w:w="1107" w:type="dxa"/>
                  <w:tcBorders>
                    <w:tl2br w:val="nil"/>
                    <w:tr2bl w:val="nil"/>
                  </w:tcBorders>
                  <w:vAlign w:val="center"/>
                </w:tcPr>
                <w:p>
                  <w:pPr>
                    <w:pStyle w:val="34"/>
                    <w:spacing w:before="149"/>
                    <w:ind w:left="118" w:right="119"/>
                    <w:jc w:val="center"/>
                    <w:rPr>
                      <w:rFonts w:ascii="Times New Roman" w:hAnsi="Times New Roman" w:eastAsia="宋体" w:cs="Times New Roman"/>
                      <w:b/>
                      <w:bCs/>
                      <w:color w:val="auto"/>
                      <w:sz w:val="21"/>
                      <w:szCs w:val="21"/>
                      <w:highlight w:val="none"/>
                    </w:rPr>
                  </w:pPr>
                  <w:r>
                    <w:rPr>
                      <w:rFonts w:ascii="Times New Roman"/>
                      <w:b/>
                      <w:bCs/>
                      <w:color w:val="auto"/>
                      <w:sz w:val="21"/>
                      <w:highlight w:val="none"/>
                    </w:rPr>
                    <w:t>SS</w:t>
                  </w:r>
                </w:p>
              </w:tc>
              <w:tc>
                <w:tcPr>
                  <w:tcW w:w="1107" w:type="dxa"/>
                  <w:tcBorders>
                    <w:tl2br w:val="nil"/>
                    <w:tr2bl w:val="nil"/>
                  </w:tcBorders>
                  <w:vAlign w:val="center"/>
                </w:tcPr>
                <w:p>
                  <w:pPr>
                    <w:pStyle w:val="34"/>
                    <w:spacing w:before="146"/>
                    <w:ind w:left="131" w:right="130"/>
                    <w:jc w:val="center"/>
                    <w:rPr>
                      <w:rFonts w:ascii="Times New Roman" w:hAnsi="Times New Roman" w:eastAsia="宋体" w:cs="Times New Roman"/>
                      <w:b/>
                      <w:bCs/>
                      <w:color w:val="auto"/>
                      <w:sz w:val="21"/>
                      <w:szCs w:val="21"/>
                      <w:highlight w:val="none"/>
                    </w:rPr>
                  </w:pPr>
                  <w:r>
                    <w:rPr>
                      <w:rFonts w:ascii="Times New Roman"/>
                      <w:b/>
                      <w:bCs/>
                      <w:color w:val="auto"/>
                      <w:position w:val="2"/>
                      <w:sz w:val="21"/>
                      <w:highlight w:val="none"/>
                    </w:rPr>
                    <w:t>COD</w:t>
                  </w:r>
                  <w:r>
                    <w:rPr>
                      <w:rFonts w:hint="eastAsia" w:ascii="Times New Roman"/>
                      <w:b/>
                      <w:bCs/>
                      <w:color w:val="auto"/>
                      <w:position w:val="2"/>
                      <w:sz w:val="21"/>
                      <w:highlight w:val="none"/>
                      <w:vertAlign w:val="subscript"/>
                    </w:rPr>
                    <w:t>Cr</w:t>
                  </w:r>
                </w:p>
              </w:tc>
              <w:tc>
                <w:tcPr>
                  <w:tcW w:w="1107" w:type="dxa"/>
                  <w:tcBorders>
                    <w:tl2br w:val="nil"/>
                    <w:tr2bl w:val="nil"/>
                  </w:tcBorders>
                  <w:vAlign w:val="center"/>
                </w:tcPr>
                <w:p>
                  <w:pPr>
                    <w:pStyle w:val="34"/>
                    <w:spacing w:before="146"/>
                    <w:ind w:left="126" w:right="125"/>
                    <w:jc w:val="center"/>
                    <w:rPr>
                      <w:rFonts w:ascii="Times New Roman" w:hAnsi="Times New Roman" w:eastAsia="宋体" w:cs="Times New Roman"/>
                      <w:b/>
                      <w:bCs/>
                      <w:color w:val="auto"/>
                      <w:sz w:val="21"/>
                      <w:szCs w:val="21"/>
                      <w:highlight w:val="none"/>
                    </w:rPr>
                  </w:pPr>
                  <w:r>
                    <w:rPr>
                      <w:rFonts w:ascii="Times New Roman"/>
                      <w:b/>
                      <w:bCs/>
                      <w:color w:val="auto"/>
                      <w:position w:val="2"/>
                      <w:sz w:val="21"/>
                      <w:highlight w:val="none"/>
                    </w:rPr>
                    <w:t>BOD</w:t>
                  </w:r>
                  <w:r>
                    <w:rPr>
                      <w:rFonts w:ascii="Times New Roman"/>
                      <w:b/>
                      <w:bCs/>
                      <w:color w:val="auto"/>
                      <w:sz w:val="13"/>
                      <w:highlight w:val="none"/>
                    </w:rPr>
                    <w:t>5</w:t>
                  </w:r>
                </w:p>
              </w:tc>
              <w:tc>
                <w:tcPr>
                  <w:tcW w:w="1108" w:type="dxa"/>
                  <w:tcBorders>
                    <w:tl2br w:val="nil"/>
                    <w:tr2bl w:val="nil"/>
                  </w:tcBorders>
                  <w:vAlign w:val="center"/>
                </w:tcPr>
                <w:p>
                  <w:pPr>
                    <w:pStyle w:val="34"/>
                    <w:spacing w:before="146"/>
                    <w:ind w:left="130" w:right="128"/>
                    <w:jc w:val="center"/>
                    <w:rPr>
                      <w:rFonts w:ascii="Times New Roman" w:hAnsi="Times New Roman" w:eastAsia="宋体" w:cs="Times New Roman"/>
                      <w:b/>
                      <w:bCs/>
                      <w:color w:val="auto"/>
                      <w:sz w:val="21"/>
                      <w:szCs w:val="21"/>
                      <w:highlight w:val="none"/>
                    </w:rPr>
                  </w:pPr>
                  <w:r>
                    <w:rPr>
                      <w:rFonts w:hint="eastAsia" w:ascii="Times New Roman"/>
                      <w:b/>
                      <w:bCs/>
                      <w:color w:val="auto"/>
                      <w:sz w:val="21"/>
                      <w:highlight w:val="none"/>
                    </w:rPr>
                    <w:t>氨氮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jc w:val="center"/>
              </w:trPr>
              <w:tc>
                <w:tcPr>
                  <w:tcW w:w="2329" w:type="dxa"/>
                  <w:tcBorders>
                    <w:tl2br w:val="nil"/>
                    <w:tr2bl w:val="nil"/>
                  </w:tcBorders>
                  <w:vAlign w:val="center"/>
                </w:tcPr>
                <w:p>
                  <w:pPr>
                    <w:pStyle w:val="11"/>
                    <w:ind w:firstLine="0"/>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《纺织染整工业水污染物排放标准（GB 4287-2012）》中的表2</w:t>
                  </w:r>
                </w:p>
              </w:tc>
              <w:tc>
                <w:tcPr>
                  <w:tcW w:w="993" w:type="dxa"/>
                  <w:tcBorders>
                    <w:tl2br w:val="nil"/>
                    <w:tr2bl w:val="nil"/>
                  </w:tcBorders>
                  <w:vAlign w:val="center"/>
                </w:tcPr>
                <w:p>
                  <w:pPr>
                    <w:pStyle w:val="34"/>
                    <w:spacing w:before="14"/>
                    <w:ind w:left="147" w:right="148"/>
                    <w:jc w:val="center"/>
                    <w:rPr>
                      <w:rFonts w:ascii="Times New Roman" w:hAnsi="Times New Roman" w:eastAsia="宋体" w:cs="Times New Roman"/>
                      <w:bCs/>
                      <w:color w:val="auto"/>
                      <w:sz w:val="21"/>
                      <w:szCs w:val="21"/>
                      <w:highlight w:val="none"/>
                    </w:rPr>
                  </w:pPr>
                  <w:r>
                    <w:rPr>
                      <w:rFonts w:ascii="Times New Roman"/>
                      <w:color w:val="auto"/>
                      <w:sz w:val="21"/>
                      <w:highlight w:val="none"/>
                    </w:rPr>
                    <w:t>6-9</w:t>
                  </w:r>
                </w:p>
              </w:tc>
              <w:tc>
                <w:tcPr>
                  <w:tcW w:w="1107" w:type="dxa"/>
                  <w:tcBorders>
                    <w:tl2br w:val="nil"/>
                    <w:tr2bl w:val="nil"/>
                  </w:tcBorders>
                  <w:vAlign w:val="center"/>
                </w:tcPr>
                <w:p>
                  <w:pPr>
                    <w:pStyle w:val="34"/>
                    <w:spacing w:before="14"/>
                    <w:ind w:left="120" w:right="119"/>
                    <w:jc w:val="center"/>
                    <w:rPr>
                      <w:rFonts w:ascii="Times New Roman" w:hAnsi="Times New Roman" w:eastAsia="宋体" w:cs="Times New Roman"/>
                      <w:bCs/>
                      <w:color w:val="auto"/>
                      <w:sz w:val="21"/>
                      <w:szCs w:val="21"/>
                      <w:highlight w:val="none"/>
                    </w:rPr>
                  </w:pPr>
                  <w:r>
                    <w:rPr>
                      <w:rFonts w:ascii="Times New Roman" w:hAnsi="Times New Roman"/>
                      <w:color w:val="auto"/>
                      <w:sz w:val="21"/>
                      <w:highlight w:val="none"/>
                    </w:rPr>
                    <w:t>≤</w:t>
                  </w:r>
                  <w:r>
                    <w:rPr>
                      <w:rFonts w:hint="eastAsia" w:ascii="Times New Roman" w:hAnsi="Times New Roman"/>
                      <w:color w:val="auto"/>
                      <w:sz w:val="21"/>
                      <w:highlight w:val="none"/>
                    </w:rPr>
                    <w:t>5</w:t>
                  </w:r>
                  <w:r>
                    <w:rPr>
                      <w:rFonts w:ascii="Times New Roman" w:hAnsi="Times New Roman"/>
                      <w:color w:val="auto"/>
                      <w:sz w:val="21"/>
                      <w:highlight w:val="none"/>
                    </w:rPr>
                    <w:t>0</w:t>
                  </w:r>
                </w:p>
              </w:tc>
              <w:tc>
                <w:tcPr>
                  <w:tcW w:w="1107" w:type="dxa"/>
                  <w:tcBorders>
                    <w:tl2br w:val="nil"/>
                    <w:tr2bl w:val="nil"/>
                  </w:tcBorders>
                  <w:vAlign w:val="center"/>
                </w:tcPr>
                <w:p>
                  <w:pPr>
                    <w:pStyle w:val="34"/>
                    <w:spacing w:before="14"/>
                    <w:ind w:left="131" w:right="129"/>
                    <w:jc w:val="center"/>
                    <w:rPr>
                      <w:rFonts w:ascii="Times New Roman" w:hAnsi="Times New Roman" w:eastAsia="宋体" w:cs="Times New Roman"/>
                      <w:bCs/>
                      <w:color w:val="auto"/>
                      <w:sz w:val="21"/>
                      <w:szCs w:val="21"/>
                      <w:highlight w:val="none"/>
                    </w:rPr>
                  </w:pPr>
                  <w:r>
                    <w:rPr>
                      <w:rFonts w:ascii="Times New Roman" w:hAnsi="Times New Roman"/>
                      <w:color w:val="auto"/>
                      <w:sz w:val="21"/>
                      <w:highlight w:val="none"/>
                    </w:rPr>
                    <w:t>≤</w:t>
                  </w:r>
                  <w:r>
                    <w:rPr>
                      <w:rFonts w:hint="eastAsia" w:ascii="Times New Roman" w:hAnsi="Times New Roman"/>
                      <w:color w:val="auto"/>
                      <w:sz w:val="21"/>
                      <w:highlight w:val="none"/>
                    </w:rPr>
                    <w:t>80</w:t>
                  </w:r>
                </w:p>
              </w:tc>
              <w:tc>
                <w:tcPr>
                  <w:tcW w:w="1107" w:type="dxa"/>
                  <w:tcBorders>
                    <w:tl2br w:val="nil"/>
                    <w:tr2bl w:val="nil"/>
                  </w:tcBorders>
                  <w:vAlign w:val="center"/>
                </w:tcPr>
                <w:p>
                  <w:pPr>
                    <w:pStyle w:val="34"/>
                    <w:spacing w:before="14"/>
                    <w:ind w:left="124" w:right="125"/>
                    <w:jc w:val="center"/>
                    <w:rPr>
                      <w:rFonts w:ascii="Times New Roman" w:hAnsi="Times New Roman" w:eastAsia="宋体" w:cs="Times New Roman"/>
                      <w:bCs/>
                      <w:color w:val="auto"/>
                      <w:sz w:val="21"/>
                      <w:szCs w:val="21"/>
                      <w:highlight w:val="none"/>
                    </w:rPr>
                  </w:pPr>
                  <w:r>
                    <w:rPr>
                      <w:rFonts w:ascii="Times New Roman" w:hAnsi="Times New Roman"/>
                      <w:color w:val="auto"/>
                      <w:sz w:val="21"/>
                      <w:highlight w:val="none"/>
                    </w:rPr>
                    <w:t>≤20</w:t>
                  </w:r>
                </w:p>
              </w:tc>
              <w:tc>
                <w:tcPr>
                  <w:tcW w:w="1108" w:type="dxa"/>
                  <w:tcBorders>
                    <w:tl2br w:val="nil"/>
                    <w:tr2bl w:val="nil"/>
                  </w:tcBorders>
                  <w:vAlign w:val="center"/>
                </w:tcPr>
                <w:p>
                  <w:pPr>
                    <w:pStyle w:val="34"/>
                    <w:spacing w:before="14"/>
                    <w:ind w:left="127" w:right="128"/>
                    <w:jc w:val="center"/>
                    <w:rPr>
                      <w:rFonts w:ascii="Times New Roman" w:hAnsi="Times New Roman" w:eastAsia="宋体" w:cs="Times New Roman"/>
                      <w:bCs/>
                      <w:color w:val="auto"/>
                      <w:sz w:val="21"/>
                      <w:szCs w:val="21"/>
                      <w:highlight w:val="none"/>
                    </w:rPr>
                  </w:pPr>
                  <w:r>
                    <w:rPr>
                      <w:rFonts w:ascii="Times New Roman" w:hAnsi="Times New Roman"/>
                      <w:color w:val="auto"/>
                      <w:sz w:val="21"/>
                      <w:highlight w:val="none"/>
                    </w:rPr>
                    <w:t>≤10</w:t>
                  </w:r>
                </w:p>
              </w:tc>
            </w:tr>
          </w:tbl>
          <w:p>
            <w:pPr>
              <w:spacing w:line="360" w:lineRule="auto"/>
              <w:ind w:firstLine="482" w:firstLineChars="200"/>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2、大气</w:t>
            </w:r>
          </w:p>
          <w:p>
            <w:pPr>
              <w:spacing w:line="360" w:lineRule="auto"/>
              <w:ind w:firstLine="480" w:firstLineChars="200"/>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（1）项目工艺过程产生的有机废气（以非甲烷总烃表征）：</w:t>
            </w:r>
            <w:r>
              <w:rPr>
                <w:rFonts w:ascii="Times New Roman" w:hAnsi="Times New Roman" w:eastAsia="宋体" w:cs="Times New Roman"/>
                <w:color w:val="auto"/>
                <w:sz w:val="24"/>
                <w:highlight w:val="none"/>
              </w:rPr>
              <w:t>有组织排放的非甲烷总烃执行《合成树脂工业污染物排放标准》（GB31572-2015）“表</w:t>
            </w:r>
            <w:r>
              <w:rPr>
                <w:rFonts w:hint="eastAsia" w:ascii="Times New Roman" w:hAnsi="Times New Roman" w:eastAsia="宋体" w:cs="Times New Roman"/>
                <w:color w:val="auto"/>
                <w:sz w:val="24"/>
                <w:highlight w:val="none"/>
              </w:rPr>
              <w:t>4</w:t>
            </w:r>
            <w:r>
              <w:rPr>
                <w:rFonts w:ascii="Times New Roman" w:hAnsi="Times New Roman" w:eastAsia="宋体" w:cs="Times New Roman"/>
                <w:color w:val="auto"/>
                <w:sz w:val="24"/>
                <w:highlight w:val="none"/>
              </w:rPr>
              <w:t>大气污染物排放限值”，非甲烷总烃</w:t>
            </w:r>
            <w:r>
              <w:rPr>
                <w:rFonts w:ascii="Times New Roman" w:hAnsi="Times New Roman" w:eastAsia="宋体" w:cs="Times New Roman"/>
                <w:bCs/>
                <w:color w:val="auto"/>
                <w:sz w:val="24"/>
                <w:highlight w:val="none"/>
              </w:rPr>
              <w:t>≤100</w:t>
            </w:r>
            <w:r>
              <w:rPr>
                <w:rFonts w:ascii="Times New Roman" w:hAnsi="Times New Roman" w:eastAsia="宋体" w:cs="Times New Roman"/>
                <w:color w:val="auto"/>
                <w:sz w:val="24"/>
                <w:highlight w:val="none"/>
              </w:rPr>
              <w:t>mg/m³； 无组织排放的非甲烷总烃执行《合成树脂工业污染物排放标准》（GB31572-2015）“表9企业边界大气污染物浓度限值”，非甲烷总烃</w:t>
            </w:r>
            <w:r>
              <w:rPr>
                <w:rFonts w:ascii="Times New Roman" w:hAnsi="Times New Roman" w:eastAsia="宋体" w:cs="Times New Roman"/>
                <w:bCs/>
                <w:color w:val="auto"/>
                <w:sz w:val="24"/>
                <w:highlight w:val="none"/>
              </w:rPr>
              <w:t>≤</w:t>
            </w:r>
            <w:r>
              <w:rPr>
                <w:rFonts w:ascii="Times New Roman" w:hAnsi="Times New Roman" w:eastAsia="宋体" w:cs="Times New Roman"/>
                <w:color w:val="auto"/>
                <w:sz w:val="24"/>
                <w:highlight w:val="none"/>
              </w:rPr>
              <w:t>4.0mg/m³；</w:t>
            </w:r>
            <w:r>
              <w:rPr>
                <w:rFonts w:hint="eastAsia" w:ascii="Times New Roman" w:hAnsi="Times New Roman" w:eastAsia="宋体" w:cs="Times New Roman"/>
                <w:color w:val="auto"/>
                <w:sz w:val="24"/>
                <w:highlight w:val="none"/>
              </w:rPr>
              <w:t>单位产品排放量执行《合成树脂工业污染物排放标准》（GB31572-2015）表4单位产品非甲烷总烃排放量。</w:t>
            </w:r>
          </w:p>
          <w:p>
            <w:pPr>
              <w:spacing w:line="276" w:lineRule="auto"/>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表</w:t>
            </w:r>
            <w:r>
              <w:rPr>
                <w:rFonts w:hint="eastAsia" w:ascii="Times New Roman" w:hAnsi="Times New Roman" w:eastAsia="宋体" w:cs="Times New Roman"/>
                <w:b/>
                <w:color w:val="auto"/>
                <w:szCs w:val="21"/>
                <w:highlight w:val="none"/>
              </w:rPr>
              <w:t>4-3</w:t>
            </w:r>
            <w:r>
              <w:rPr>
                <w:rFonts w:ascii="Times New Roman" w:hAnsi="Times New Roman" w:eastAsia="宋体" w:cs="Times New Roman"/>
                <w:b/>
                <w:color w:val="auto"/>
                <w:szCs w:val="21"/>
                <w:highlight w:val="none"/>
              </w:rPr>
              <w:t>《合成树脂工业污染物排放标准》（GB31572-2015）（摘录）</w:t>
            </w:r>
          </w:p>
          <w:tbl>
            <w:tblPr>
              <w:tblStyle w:val="23"/>
              <w:tblW w:w="7751"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47"/>
              <w:gridCol w:w="1527"/>
              <w:gridCol w:w="1015"/>
              <w:gridCol w:w="2031"/>
              <w:gridCol w:w="203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1147"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污染物</w:t>
                  </w:r>
                </w:p>
              </w:tc>
              <w:tc>
                <w:tcPr>
                  <w:tcW w:w="1527"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最高允许排放浓度(mg/m</w:t>
                  </w:r>
                  <w:r>
                    <w:rPr>
                      <w:rFonts w:ascii="Times New Roman" w:hAnsi="Times New Roman" w:eastAsia="宋体" w:cs="Times New Roman"/>
                      <w:bCs/>
                      <w:color w:val="auto"/>
                      <w:szCs w:val="21"/>
                      <w:highlight w:val="none"/>
                      <w:vertAlign w:val="superscript"/>
                    </w:rPr>
                    <w:t xml:space="preserve"> 3 </w:t>
                  </w:r>
                  <w:r>
                    <w:rPr>
                      <w:rFonts w:ascii="Times New Roman" w:hAnsi="Times New Roman" w:eastAsia="宋体" w:cs="Times New Roman"/>
                      <w:bCs/>
                      <w:color w:val="auto"/>
                      <w:szCs w:val="21"/>
                      <w:highlight w:val="none"/>
                    </w:rPr>
                    <w:t>)</w:t>
                  </w:r>
                </w:p>
              </w:tc>
              <w:tc>
                <w:tcPr>
                  <w:tcW w:w="1015"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排气筒</w:t>
                  </w:r>
                </w:p>
              </w:tc>
              <w:tc>
                <w:tcPr>
                  <w:tcW w:w="2031"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 xml:space="preserve">企业边界任何1小时大气污染物平均浓度（mg/m </w:t>
                  </w:r>
                  <w:r>
                    <w:rPr>
                      <w:rFonts w:ascii="Times New Roman" w:hAnsi="Times New Roman" w:eastAsia="宋体" w:cs="Times New Roman"/>
                      <w:bCs/>
                      <w:color w:val="auto"/>
                      <w:szCs w:val="21"/>
                      <w:highlight w:val="none"/>
                      <w:vertAlign w:val="superscript"/>
                    </w:rPr>
                    <w:t xml:space="preserve">3 </w:t>
                  </w:r>
                  <w:r>
                    <w:rPr>
                      <w:rFonts w:ascii="Times New Roman" w:hAnsi="Times New Roman" w:eastAsia="宋体" w:cs="Times New Roman"/>
                      <w:bCs/>
                      <w:color w:val="auto"/>
                      <w:szCs w:val="21"/>
                      <w:highlight w:val="none"/>
                    </w:rPr>
                    <w:t>）</w:t>
                  </w:r>
                </w:p>
              </w:tc>
              <w:tc>
                <w:tcPr>
                  <w:tcW w:w="2031"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hint="eastAsia" w:ascii="Times New Roman" w:hAnsi="Times New Roman" w:eastAsia="宋体" w:cs="Times New Roman"/>
                      <w:bCs/>
                      <w:color w:val="auto"/>
                      <w:szCs w:val="21"/>
                      <w:highlight w:val="none"/>
                    </w:rPr>
                    <w:t>单位产品排放量（kg/t产品）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1147"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非甲烷总烃</w:t>
                  </w:r>
                </w:p>
              </w:tc>
              <w:tc>
                <w:tcPr>
                  <w:tcW w:w="1527"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100</w:t>
                  </w:r>
                </w:p>
              </w:tc>
              <w:tc>
                <w:tcPr>
                  <w:tcW w:w="1015"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不低于15m</w:t>
                  </w:r>
                </w:p>
              </w:tc>
              <w:tc>
                <w:tcPr>
                  <w:tcW w:w="2031" w:type="dxa"/>
                  <w:tcBorders>
                    <w:tl2br w:val="nil"/>
                    <w:tr2bl w:val="nil"/>
                  </w:tcBorders>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bCs/>
                      <w:color w:val="auto"/>
                      <w:szCs w:val="21"/>
                      <w:highlight w:val="none"/>
                    </w:rPr>
                    <w:t>4.0</w:t>
                  </w:r>
                </w:p>
              </w:tc>
              <w:tc>
                <w:tcPr>
                  <w:tcW w:w="2031"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hint="eastAsia" w:ascii="Times New Roman" w:hAnsi="Times New Roman" w:eastAsia="宋体" w:cs="Times New Roman"/>
                      <w:bCs/>
                      <w:color w:val="auto"/>
                      <w:szCs w:val="21"/>
                      <w:highlight w:val="none"/>
                    </w:rPr>
                    <w:t>0.5</w:t>
                  </w:r>
                </w:p>
              </w:tc>
            </w:tr>
          </w:tbl>
          <w:p>
            <w:pPr>
              <w:pStyle w:val="3"/>
              <w:numPr>
                <w:ilvl w:val="0"/>
                <w:numId w:val="3"/>
              </w:numPr>
              <w:spacing w:before="0" w:after="0" w:line="360" w:lineRule="auto"/>
              <w:ind w:firstLine="480" w:firstLineChars="200"/>
              <w:jc w:val="left"/>
              <w:outlineLvl w:val="0"/>
              <w:rPr>
                <w:b w:val="0"/>
                <w:bCs/>
                <w:color w:val="auto"/>
                <w:sz w:val="24"/>
                <w:highlight w:val="none"/>
              </w:rPr>
            </w:pPr>
            <w:r>
              <w:rPr>
                <w:b w:val="0"/>
                <w:bCs/>
                <w:color w:val="auto"/>
                <w:sz w:val="24"/>
                <w:highlight w:val="none"/>
              </w:rPr>
              <w:t>项目食堂油烟排放浓度执行《饮食业油烟排放标准》GB18483-2001）的相关要求（油烟排放浓度≤2mg/m</w:t>
            </w:r>
            <w:r>
              <w:rPr>
                <w:b w:val="0"/>
                <w:bCs/>
                <w:color w:val="auto"/>
                <w:sz w:val="24"/>
                <w:highlight w:val="none"/>
                <w:vertAlign w:val="superscript"/>
              </w:rPr>
              <w:t>3</w:t>
            </w:r>
            <w:r>
              <w:rPr>
                <w:b w:val="0"/>
                <w:bCs/>
                <w:color w:val="auto"/>
                <w:sz w:val="24"/>
                <w:highlight w:val="none"/>
              </w:rPr>
              <w:t>）。</w:t>
            </w:r>
          </w:p>
          <w:p>
            <w:pPr>
              <w:spacing w:line="360" w:lineRule="auto"/>
              <w:ind w:firstLine="482" w:firstLineChars="200"/>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3、噪声</w:t>
            </w:r>
          </w:p>
          <w:p>
            <w:pPr>
              <w:spacing w:line="360" w:lineRule="auto"/>
              <w:ind w:firstLine="480" w:firstLineChars="200"/>
              <w:rPr>
                <w:rFonts w:ascii="Times New Roman" w:hAnsi="Times New Roman" w:eastAsia="宋体" w:cs="Times New Roman"/>
                <w:b/>
                <w:color w:val="auto"/>
                <w:sz w:val="24"/>
                <w:highlight w:val="none"/>
              </w:rPr>
            </w:pPr>
            <w:r>
              <w:rPr>
                <w:rFonts w:ascii="Times New Roman" w:hAnsi="Times New Roman" w:eastAsia="宋体" w:cs="Times New Roman"/>
                <w:bCs/>
                <w:color w:val="auto"/>
                <w:sz w:val="24"/>
                <w:highlight w:val="none"/>
              </w:rPr>
              <w:t>项目营运期界噪声执行《工业企业厂界环境噪声排放标准》（GB12348-2008）3类标准。</w:t>
            </w:r>
          </w:p>
          <w:p>
            <w:pPr>
              <w:spacing w:line="276" w:lineRule="auto"/>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表</w:t>
            </w:r>
            <w:r>
              <w:rPr>
                <w:rFonts w:hint="eastAsia" w:ascii="Times New Roman" w:hAnsi="Times New Roman" w:eastAsia="宋体" w:cs="Times New Roman"/>
                <w:b/>
                <w:color w:val="auto"/>
                <w:szCs w:val="21"/>
                <w:highlight w:val="none"/>
              </w:rPr>
              <w:t>4-4</w:t>
            </w:r>
            <w:r>
              <w:rPr>
                <w:rFonts w:ascii="Times New Roman" w:hAnsi="Times New Roman" w:eastAsia="宋体" w:cs="Times New Roman"/>
                <w:b/>
                <w:color w:val="auto"/>
                <w:szCs w:val="21"/>
                <w:highlight w:val="none"/>
              </w:rPr>
              <w:t>项目厂界环境噪声排放标准单位：dB（A）</w:t>
            </w:r>
          </w:p>
          <w:tbl>
            <w:tblPr>
              <w:tblStyle w:val="23"/>
              <w:tblW w:w="7751"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590"/>
              <w:gridCol w:w="2158"/>
              <w:gridCol w:w="1386"/>
              <w:gridCol w:w="1127"/>
              <w:gridCol w:w="149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21" w:hRule="atLeast"/>
                <w:jc w:val="center"/>
              </w:trPr>
              <w:tc>
                <w:tcPr>
                  <w:tcW w:w="1590" w:type="dxa"/>
                  <w:tcBorders>
                    <w:tl2br w:val="nil"/>
                    <w:tr2bl w:val="nil"/>
                  </w:tcBorders>
                  <w:vAlign w:val="center"/>
                </w:tcPr>
                <w:p>
                  <w:pPr>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要素分类</w:t>
                  </w:r>
                </w:p>
              </w:tc>
              <w:tc>
                <w:tcPr>
                  <w:tcW w:w="2158" w:type="dxa"/>
                  <w:tcBorders>
                    <w:tl2br w:val="nil"/>
                    <w:tr2bl w:val="nil"/>
                  </w:tcBorders>
                  <w:vAlign w:val="center"/>
                </w:tcPr>
                <w:p>
                  <w:pPr>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标准名称</w:t>
                  </w:r>
                </w:p>
              </w:tc>
              <w:tc>
                <w:tcPr>
                  <w:tcW w:w="1386" w:type="dxa"/>
                  <w:tcBorders>
                    <w:tl2br w:val="nil"/>
                    <w:tr2bl w:val="nil"/>
                  </w:tcBorders>
                  <w:vAlign w:val="center"/>
                </w:tcPr>
                <w:p>
                  <w:pPr>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污染因子</w:t>
                  </w:r>
                </w:p>
              </w:tc>
              <w:tc>
                <w:tcPr>
                  <w:tcW w:w="1127" w:type="dxa"/>
                  <w:tcBorders>
                    <w:tl2br w:val="nil"/>
                    <w:tr2bl w:val="nil"/>
                  </w:tcBorders>
                  <w:vAlign w:val="center"/>
                </w:tcPr>
                <w:p>
                  <w:pPr>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适用类别</w:t>
                  </w:r>
                </w:p>
              </w:tc>
              <w:tc>
                <w:tcPr>
                  <w:tcW w:w="1490" w:type="dxa"/>
                  <w:tcBorders>
                    <w:tl2br w:val="nil"/>
                    <w:tr2bl w:val="nil"/>
                  </w:tcBorders>
                  <w:vAlign w:val="center"/>
                </w:tcPr>
                <w:p>
                  <w:pPr>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排放限值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1590"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噪声</w:t>
                  </w:r>
                </w:p>
              </w:tc>
              <w:tc>
                <w:tcPr>
                  <w:tcW w:w="2158"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《工业企业厂界环境</w:t>
                  </w:r>
                </w:p>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噪声排放标准》</w:t>
                  </w:r>
                </w:p>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（GB12348-2008）</w:t>
                  </w:r>
                </w:p>
              </w:tc>
              <w:tc>
                <w:tcPr>
                  <w:tcW w:w="1386"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等效连续 A</w:t>
                  </w:r>
                </w:p>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声级 Leq</w:t>
                  </w:r>
                </w:p>
              </w:tc>
              <w:tc>
                <w:tcPr>
                  <w:tcW w:w="1127"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3类</w:t>
                  </w:r>
                </w:p>
              </w:tc>
              <w:tc>
                <w:tcPr>
                  <w:tcW w:w="1490"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昼间65dB(A)</w:t>
                  </w:r>
                </w:p>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夜间 55dB(A)</w:t>
                  </w:r>
                </w:p>
              </w:tc>
            </w:tr>
          </w:tbl>
          <w:p>
            <w:pPr>
              <w:spacing w:line="360" w:lineRule="auto"/>
              <w:ind w:firstLine="482" w:firstLineChars="200"/>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4 、固体废弃物污染物控制标准</w:t>
            </w:r>
          </w:p>
          <w:p>
            <w:pPr>
              <w:spacing w:line="360" w:lineRule="auto"/>
              <w:ind w:firstLine="480" w:firstLineChars="200"/>
              <w:rPr>
                <w:rFonts w:ascii="Times New Roman" w:hAnsi="Times New Roman" w:eastAsia="宋体" w:cs="Times New Roman"/>
                <w:bCs/>
                <w:color w:val="auto"/>
                <w:sz w:val="24"/>
                <w:highlight w:val="none"/>
              </w:rPr>
            </w:pPr>
            <w:r>
              <w:rPr>
                <w:rFonts w:ascii="Times New Roman" w:hAnsi="Times New Roman" w:cs="Times New Roman"/>
                <w:color w:val="auto"/>
                <w:sz w:val="24"/>
                <w:highlight w:val="none"/>
              </w:rPr>
              <w:t>本项目固体废物管理应遵照《中华人民共和国固体废物污染环境防治法》、《广东省固体废物污染环境防治条例》、《国家危险废物名录》（环境保护部令第39号，2016年8月1日起实行）以及《一般工业固体废物贮存、处置污染控制标准》（GB18599-2001）（及2013年修改单）、《国家危险废物名录》（2016 年）的相关规定进行处理。危险废物执行《危险废物贮存污染控制标准》（GB 18597-2001）及其修改单。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25" w:type="dxa"/>
            <w:vAlign w:val="center"/>
          </w:tcPr>
          <w:p>
            <w:pPr>
              <w:pStyle w:val="10"/>
              <w:rPr>
                <w:rFonts w:ascii="Times New Roman" w:hAnsi="Times New Roman" w:eastAsia="宋体" w:cs="Times New Roman"/>
                <w:b/>
                <w:bCs/>
                <w:color w:val="auto"/>
                <w:sz w:val="28"/>
                <w:szCs w:val="28"/>
                <w:highlight w:val="none"/>
              </w:rPr>
            </w:pPr>
            <w:r>
              <w:rPr>
                <w:rFonts w:ascii="Times New Roman" w:hAnsi="Times New Roman" w:eastAsia="宋体" w:cs="Times New Roman"/>
                <w:b/>
                <w:bCs/>
                <w:color w:val="auto"/>
                <w:sz w:val="28"/>
                <w:szCs w:val="28"/>
                <w:highlight w:val="none"/>
              </w:rPr>
              <w:t>总</w:t>
            </w:r>
          </w:p>
          <w:p>
            <w:pPr>
              <w:pStyle w:val="10"/>
              <w:rPr>
                <w:rFonts w:ascii="Times New Roman" w:hAnsi="Times New Roman" w:eastAsia="宋体" w:cs="Times New Roman"/>
                <w:b/>
                <w:bCs/>
                <w:color w:val="auto"/>
                <w:sz w:val="28"/>
                <w:szCs w:val="28"/>
                <w:highlight w:val="none"/>
              </w:rPr>
            </w:pPr>
            <w:r>
              <w:rPr>
                <w:rFonts w:ascii="Times New Roman" w:hAnsi="Times New Roman" w:eastAsia="宋体" w:cs="Times New Roman"/>
                <w:b/>
                <w:bCs/>
                <w:color w:val="auto"/>
                <w:sz w:val="28"/>
                <w:szCs w:val="28"/>
                <w:highlight w:val="none"/>
              </w:rPr>
              <w:t>量</w:t>
            </w:r>
          </w:p>
          <w:p>
            <w:pPr>
              <w:pStyle w:val="10"/>
              <w:rPr>
                <w:rFonts w:ascii="Times New Roman" w:hAnsi="Times New Roman" w:eastAsia="宋体" w:cs="Times New Roman"/>
                <w:b/>
                <w:bCs/>
                <w:color w:val="auto"/>
                <w:sz w:val="28"/>
                <w:szCs w:val="28"/>
                <w:highlight w:val="none"/>
              </w:rPr>
            </w:pPr>
            <w:r>
              <w:rPr>
                <w:rFonts w:ascii="Times New Roman" w:hAnsi="Times New Roman" w:eastAsia="宋体" w:cs="Times New Roman"/>
                <w:b/>
                <w:bCs/>
                <w:color w:val="auto"/>
                <w:sz w:val="28"/>
                <w:szCs w:val="28"/>
                <w:highlight w:val="none"/>
              </w:rPr>
              <w:t>控</w:t>
            </w:r>
          </w:p>
          <w:p>
            <w:pPr>
              <w:pStyle w:val="10"/>
              <w:rPr>
                <w:rFonts w:ascii="Times New Roman" w:hAnsi="Times New Roman" w:eastAsia="宋体" w:cs="Times New Roman"/>
                <w:b/>
                <w:bCs/>
                <w:color w:val="auto"/>
                <w:sz w:val="28"/>
                <w:szCs w:val="28"/>
                <w:highlight w:val="none"/>
              </w:rPr>
            </w:pPr>
            <w:r>
              <w:rPr>
                <w:rFonts w:ascii="Times New Roman" w:hAnsi="Times New Roman" w:eastAsia="宋体" w:cs="Times New Roman"/>
                <w:b/>
                <w:bCs/>
                <w:color w:val="auto"/>
                <w:sz w:val="28"/>
                <w:szCs w:val="28"/>
                <w:highlight w:val="none"/>
              </w:rPr>
              <w:t>制</w:t>
            </w:r>
          </w:p>
          <w:p>
            <w:pPr>
              <w:pStyle w:val="10"/>
              <w:rPr>
                <w:rFonts w:ascii="Times New Roman" w:hAnsi="Times New Roman" w:eastAsia="宋体" w:cs="Times New Roman"/>
                <w:b/>
                <w:bCs/>
                <w:color w:val="auto"/>
                <w:sz w:val="28"/>
                <w:szCs w:val="28"/>
                <w:highlight w:val="none"/>
              </w:rPr>
            </w:pPr>
            <w:r>
              <w:rPr>
                <w:rFonts w:ascii="Times New Roman" w:hAnsi="Times New Roman" w:eastAsia="宋体" w:cs="Times New Roman"/>
                <w:b/>
                <w:bCs/>
                <w:color w:val="auto"/>
                <w:sz w:val="28"/>
                <w:szCs w:val="28"/>
                <w:highlight w:val="none"/>
              </w:rPr>
              <w:t>指</w:t>
            </w:r>
          </w:p>
          <w:p>
            <w:pPr>
              <w:pStyle w:val="10"/>
              <w:rPr>
                <w:rFonts w:ascii="Times New Roman" w:hAnsi="Times New Roman" w:cs="Times New Roman"/>
                <w:b/>
                <w:color w:val="auto"/>
                <w:szCs w:val="28"/>
                <w:highlight w:val="none"/>
              </w:rPr>
            </w:pPr>
            <w:r>
              <w:rPr>
                <w:rFonts w:ascii="Times New Roman" w:hAnsi="Times New Roman" w:eastAsia="宋体" w:cs="Times New Roman"/>
                <w:b/>
                <w:bCs/>
                <w:color w:val="auto"/>
                <w:sz w:val="28"/>
                <w:szCs w:val="28"/>
                <w:highlight w:val="none"/>
              </w:rPr>
              <w:t>标</w:t>
            </w:r>
          </w:p>
        </w:tc>
        <w:tc>
          <w:tcPr>
            <w:tcW w:w="7997" w:type="dxa"/>
          </w:tcPr>
          <w:p>
            <w:pPr>
              <w:spacing w:line="360" w:lineRule="auto"/>
              <w:ind w:firstLine="496"/>
              <w:rPr>
                <w:rFonts w:ascii="Times New Roman" w:hAnsi="Times New Roman" w:cs="Times New Roman"/>
                <w:color w:val="auto"/>
                <w:sz w:val="24"/>
                <w:highlight w:val="none"/>
              </w:rPr>
            </w:pPr>
            <w:r>
              <w:rPr>
                <w:rFonts w:ascii="Times New Roman" w:hAnsi="Times New Roman" w:cs="Times New Roman"/>
                <w:color w:val="auto"/>
                <w:sz w:val="24"/>
                <w:highlight w:val="none"/>
              </w:rPr>
              <w:t>根据《国务院关于印发大气污染防治行动计划的通知》（国发（2013）37 号《广东省大气污染防治行动方案（2014~2017 年）》、《广东省环境保护厅关于印发广东省环境保护“十三五”规划的通知》(粤环〔2016〕51 号)的规定，广东省对化学需氧量（CODcr）、氨氮（NH</w:t>
            </w:r>
            <w:r>
              <w:rPr>
                <w:rFonts w:ascii="Times New Roman" w:hAnsi="Times New Roman" w:cs="Times New Roman"/>
                <w:color w:val="auto"/>
                <w:sz w:val="24"/>
                <w:highlight w:val="none"/>
                <w:vertAlign w:val="subscript"/>
              </w:rPr>
              <w:t>3</w:t>
            </w:r>
            <w:r>
              <w:rPr>
                <w:rFonts w:ascii="Times New Roman" w:hAnsi="Times New Roman" w:cs="Times New Roman"/>
                <w:color w:val="auto"/>
                <w:sz w:val="24"/>
                <w:highlight w:val="none"/>
              </w:rPr>
              <w:t>-N）、二氧化硫（SO</w:t>
            </w:r>
            <w:r>
              <w:rPr>
                <w:rFonts w:ascii="Times New Roman" w:hAnsi="Times New Roman" w:cs="Times New Roman"/>
                <w:color w:val="auto"/>
                <w:sz w:val="24"/>
                <w:highlight w:val="none"/>
                <w:vertAlign w:val="subscript"/>
              </w:rPr>
              <w:t>2</w:t>
            </w:r>
            <w:r>
              <w:rPr>
                <w:rFonts w:ascii="Times New Roman" w:hAnsi="Times New Roman" w:cs="Times New Roman"/>
                <w:color w:val="auto"/>
                <w:sz w:val="24"/>
                <w:highlight w:val="none"/>
              </w:rPr>
              <w:t>）、氮氧化物（NOx）、烟（粉）尘、含挥发性有机物（VOCs）六种主要污染物实行排放总量控制计划管理；结合本项目实际情况，该项目水污染物总量控制指标为CODcr、NH</w:t>
            </w:r>
            <w:r>
              <w:rPr>
                <w:rFonts w:ascii="Times New Roman" w:hAnsi="Times New Roman" w:cs="Times New Roman"/>
                <w:color w:val="auto"/>
                <w:sz w:val="24"/>
                <w:highlight w:val="none"/>
                <w:vertAlign w:val="subscript"/>
              </w:rPr>
              <w:t>3</w:t>
            </w:r>
            <w:r>
              <w:rPr>
                <w:rFonts w:ascii="Times New Roman" w:hAnsi="Times New Roman" w:cs="Times New Roman"/>
                <w:color w:val="auto"/>
                <w:sz w:val="24"/>
                <w:highlight w:val="none"/>
              </w:rPr>
              <w:t>-N，大气污染物总量控制指标为VOCs。如下所示：</w:t>
            </w:r>
          </w:p>
          <w:p>
            <w:pPr>
              <w:spacing w:line="360" w:lineRule="auto"/>
              <w:ind w:firstLine="498"/>
              <w:rPr>
                <w:rFonts w:ascii="Times New Roman" w:hAnsi="Times New Roman" w:cs="Times New Roman"/>
                <w:b/>
                <w:bCs/>
                <w:color w:val="auto"/>
                <w:sz w:val="24"/>
                <w:highlight w:val="none"/>
              </w:rPr>
            </w:pPr>
            <w:r>
              <w:rPr>
                <w:rFonts w:ascii="Times New Roman" w:hAnsi="Times New Roman" w:cs="Times New Roman"/>
                <w:b/>
                <w:bCs/>
                <w:color w:val="auto"/>
                <w:sz w:val="24"/>
                <w:highlight w:val="none"/>
              </w:rPr>
              <w:t>1.水污染物排放总量控制指标：</w:t>
            </w:r>
          </w:p>
          <w:p>
            <w:pPr>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项目产生水总量控制指标</w:t>
            </w:r>
            <w:r>
              <w:rPr>
                <w:rFonts w:hint="eastAsia" w:ascii="Times New Roman" w:hAnsi="Times New Roman" w:cs="Times New Roman"/>
                <w:color w:val="auto"/>
                <w:sz w:val="24"/>
                <w:highlight w:val="none"/>
              </w:rPr>
              <w:t>纳入开平裕进纺织厂有限公司水污染物排放总量控制指标（CODcr：34.80 t/a、氨氮：4.33t/a），本项目不设总量控制指标。</w:t>
            </w:r>
          </w:p>
          <w:p>
            <w:pPr>
              <w:pStyle w:val="24"/>
              <w:numPr>
                <w:ilvl w:val="0"/>
                <w:numId w:val="4"/>
              </w:numPr>
              <w:spacing w:line="360" w:lineRule="auto"/>
              <w:ind w:firstLine="590"/>
              <w:jc w:val="both"/>
              <w:rPr>
                <w:rFonts w:ascii="Times New Roman" w:hAnsi="Times New Roman" w:cs="Times New Roman"/>
                <w:b/>
                <w:bCs/>
                <w:color w:val="auto"/>
                <w:highlight w:val="none"/>
              </w:rPr>
            </w:pPr>
            <w:r>
              <w:rPr>
                <w:rFonts w:ascii="Times New Roman" w:hAnsi="Times New Roman" w:cs="Times New Roman"/>
                <w:b/>
                <w:bCs/>
                <w:color w:val="auto"/>
                <w:highlight w:val="none"/>
              </w:rPr>
              <w:t>大气污染物总量控制指标：</w:t>
            </w:r>
          </w:p>
          <w:p>
            <w:pPr>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项目产生废气总量控制指标为：VOCs（非甲烷总烃）0.8602t/a。其中，有组织排放：0.4570t/a，无组织排放：0.4032t/a。</w:t>
            </w:r>
          </w:p>
          <w:p>
            <w:pPr>
              <w:spacing w:line="360" w:lineRule="auto"/>
              <w:ind w:firstLine="480" w:firstLineChars="200"/>
              <w:rPr>
                <w:rFonts w:ascii="Times New Roman" w:hAnsi="Times New Roman" w:cs="Times New Roman"/>
                <w:color w:val="auto"/>
                <w:sz w:val="24"/>
                <w:highlight w:val="none"/>
              </w:rPr>
            </w:pPr>
          </w:p>
        </w:tc>
      </w:tr>
    </w:tbl>
    <w:p>
      <w:pPr>
        <w:pStyle w:val="3"/>
        <w:spacing w:before="0" w:after="0" w:line="240" w:lineRule="auto"/>
        <w:rPr>
          <w:rFonts w:ascii="Times New Roman" w:hAnsi="Times New Roman" w:cs="Times New Roman"/>
          <w:color w:val="auto"/>
          <w:sz w:val="32"/>
          <w:szCs w:val="32"/>
          <w:highlight w:val="none"/>
        </w:rPr>
      </w:pPr>
      <w:bookmarkStart w:id="16" w:name="_Toc21203"/>
      <w:bookmarkStart w:id="17" w:name="_Toc28347"/>
      <w:bookmarkStart w:id="18" w:name="_Toc11373_WPSOffice_Level1"/>
      <w:bookmarkStart w:id="19" w:name="_Toc28875_WPSOffice_Level1"/>
      <w:r>
        <w:rPr>
          <w:rFonts w:ascii="Times New Roman" w:hAnsi="Times New Roman" w:cs="Times New Roman"/>
          <w:color w:val="auto"/>
          <w:sz w:val="32"/>
          <w:szCs w:val="32"/>
          <w:highlight w:val="none"/>
        </w:rPr>
        <w:t>五、建设项目工程分析</w:t>
      </w:r>
      <w:bookmarkEnd w:id="16"/>
      <w:bookmarkEnd w:id="17"/>
      <w:bookmarkEnd w:id="18"/>
      <w:bookmarkEnd w:id="19"/>
    </w:p>
    <w:tbl>
      <w:tblPr>
        <w:tblStyle w:val="2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69" w:hRule="atLeast"/>
        </w:trPr>
        <w:tc>
          <w:tcPr>
            <w:tcW w:w="8522" w:type="dxa"/>
            <w:shd w:val="clear" w:color="auto" w:fill="auto"/>
          </w:tcPr>
          <w:p>
            <w:pPr>
              <w:pStyle w:val="10"/>
              <w:spacing w:line="360" w:lineRule="auto"/>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一、 营运期工艺流程简述：</w:t>
            </w:r>
          </w:p>
          <w:p>
            <w:pPr>
              <w:pStyle w:val="10"/>
              <w:spacing w:line="360" w:lineRule="auto"/>
              <w:ind w:firstLine="482" w:firstLineChars="200"/>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drawing>
                <wp:anchor distT="0" distB="0" distL="114300" distR="114300" simplePos="0" relativeHeight="251208704" behindDoc="1" locked="0" layoutInCell="1" allowOverlap="1">
                  <wp:simplePos x="0" y="0"/>
                  <wp:positionH relativeFrom="column">
                    <wp:posOffset>647700</wp:posOffset>
                  </wp:positionH>
                  <wp:positionV relativeFrom="paragraph">
                    <wp:posOffset>276225</wp:posOffset>
                  </wp:positionV>
                  <wp:extent cx="4152900" cy="4185285"/>
                  <wp:effectExtent l="0" t="0" r="0" b="5715"/>
                  <wp:wrapNone/>
                  <wp:docPr id="14" name="图片 14" descr="EPS生产工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PS生产工艺"/>
                          <pic:cNvPicPr>
                            <a:picLocks noChangeAspect="1"/>
                          </pic:cNvPicPr>
                        </pic:nvPicPr>
                        <pic:blipFill>
                          <a:blip r:embed="rId14" cstate="print"/>
                          <a:stretch>
                            <a:fillRect/>
                          </a:stretch>
                        </pic:blipFill>
                        <pic:spPr>
                          <a:xfrm>
                            <a:off x="0" y="0"/>
                            <a:ext cx="4152900" cy="4185285"/>
                          </a:xfrm>
                          <a:prstGeom prst="rect">
                            <a:avLst/>
                          </a:prstGeom>
                        </pic:spPr>
                      </pic:pic>
                    </a:graphicData>
                  </a:graphic>
                </wp:anchor>
              </w:drawing>
            </w:r>
            <w:r>
              <w:rPr>
                <w:rFonts w:ascii="Times New Roman" w:hAnsi="Times New Roman" w:eastAsia="宋体" w:cs="Times New Roman"/>
                <w:b/>
                <w:bCs/>
                <w:color w:val="auto"/>
                <w:sz w:val="24"/>
                <w:highlight w:val="none"/>
              </w:rPr>
              <w:t>1、泡沫包装产品生产工艺流程图：</w:t>
            </w:r>
          </w:p>
          <w:p>
            <w:pPr>
              <w:rPr>
                <w:rFonts w:ascii="Times New Roman" w:hAnsi="Times New Roman" w:cs="Times New Roman"/>
                <w:color w:val="auto"/>
                <w:highlight w:val="none"/>
              </w:rPr>
            </w:pPr>
          </w:p>
          <w:p>
            <w:pPr>
              <w:rPr>
                <w:rFonts w:ascii="Times New Roman" w:hAnsi="Times New Roman" w:cs="Times New Roman"/>
                <w:color w:val="auto"/>
                <w:highlight w:val="none"/>
              </w:rPr>
            </w:pPr>
          </w:p>
          <w:p>
            <w:pPr>
              <w:rPr>
                <w:rFonts w:ascii="Times New Roman" w:hAnsi="Times New Roman" w:cs="Times New Roman"/>
                <w:color w:val="auto"/>
                <w:highlight w:val="none"/>
              </w:rPr>
            </w:pPr>
          </w:p>
          <w:p>
            <w:pPr>
              <w:rPr>
                <w:rFonts w:ascii="Times New Roman" w:hAnsi="Times New Roman" w:cs="Times New Roman"/>
                <w:color w:val="auto"/>
                <w:highlight w:val="none"/>
              </w:rPr>
            </w:pPr>
          </w:p>
          <w:p>
            <w:pPr>
              <w:rPr>
                <w:rFonts w:ascii="Times New Roman" w:hAnsi="Times New Roman" w:cs="Times New Roman"/>
                <w:color w:val="auto"/>
                <w:highlight w:val="none"/>
              </w:rPr>
            </w:pPr>
          </w:p>
          <w:p>
            <w:pPr>
              <w:rPr>
                <w:rFonts w:ascii="Times New Roman" w:hAnsi="Times New Roman" w:cs="Times New Roman"/>
                <w:color w:val="auto"/>
                <w:highlight w:val="none"/>
              </w:rPr>
            </w:pPr>
          </w:p>
          <w:p>
            <w:pPr>
              <w:rPr>
                <w:rFonts w:ascii="Times New Roman" w:hAnsi="Times New Roman" w:cs="Times New Roman"/>
                <w:color w:val="auto"/>
                <w:highlight w:val="none"/>
              </w:rPr>
            </w:pPr>
          </w:p>
          <w:p>
            <w:pPr>
              <w:rPr>
                <w:rFonts w:ascii="Times New Roman" w:hAnsi="Times New Roman" w:cs="Times New Roman"/>
                <w:color w:val="auto"/>
                <w:highlight w:val="none"/>
              </w:rPr>
            </w:pPr>
          </w:p>
          <w:p>
            <w:pPr>
              <w:rPr>
                <w:rFonts w:ascii="Times New Roman" w:hAnsi="Times New Roman" w:cs="Times New Roman"/>
                <w:color w:val="auto"/>
                <w:highlight w:val="none"/>
              </w:rPr>
            </w:pPr>
          </w:p>
          <w:p>
            <w:pPr>
              <w:rPr>
                <w:rFonts w:ascii="Times New Roman" w:hAnsi="Times New Roman" w:cs="Times New Roman"/>
                <w:color w:val="auto"/>
                <w:highlight w:val="none"/>
              </w:rPr>
            </w:pPr>
          </w:p>
          <w:p>
            <w:pPr>
              <w:rPr>
                <w:rFonts w:ascii="Times New Roman" w:hAnsi="Times New Roman" w:cs="Times New Roman"/>
                <w:color w:val="auto"/>
                <w:highlight w:val="none"/>
              </w:rPr>
            </w:pPr>
          </w:p>
          <w:p>
            <w:pPr>
              <w:rPr>
                <w:rFonts w:ascii="Times New Roman" w:hAnsi="Times New Roman" w:cs="Times New Roman"/>
                <w:color w:val="auto"/>
                <w:highlight w:val="none"/>
              </w:rPr>
            </w:pPr>
          </w:p>
          <w:p>
            <w:pPr>
              <w:rPr>
                <w:rFonts w:ascii="Times New Roman" w:hAnsi="Times New Roman" w:cs="Times New Roman"/>
                <w:color w:val="auto"/>
                <w:highlight w:val="none"/>
              </w:rPr>
            </w:pPr>
          </w:p>
          <w:p>
            <w:pPr>
              <w:rPr>
                <w:rFonts w:ascii="Times New Roman" w:hAnsi="Times New Roman" w:cs="Times New Roman"/>
                <w:color w:val="auto"/>
                <w:highlight w:val="none"/>
              </w:rPr>
            </w:pPr>
          </w:p>
          <w:p>
            <w:pPr>
              <w:rPr>
                <w:rFonts w:ascii="Times New Roman" w:hAnsi="Times New Roman" w:cs="Times New Roman"/>
                <w:color w:val="auto"/>
                <w:highlight w:val="none"/>
              </w:rPr>
            </w:pPr>
          </w:p>
          <w:p>
            <w:pPr>
              <w:rPr>
                <w:rFonts w:ascii="Times New Roman" w:hAnsi="Times New Roman" w:cs="Times New Roman"/>
                <w:color w:val="auto"/>
                <w:highlight w:val="none"/>
              </w:rPr>
            </w:pPr>
          </w:p>
          <w:p>
            <w:pPr>
              <w:ind w:firstLine="2409" w:firstLineChars="1000"/>
              <w:rPr>
                <w:rFonts w:ascii="Times New Roman" w:hAnsi="Times New Roman" w:eastAsia="宋体" w:cs="Times New Roman"/>
                <w:b/>
                <w:color w:val="auto"/>
                <w:sz w:val="24"/>
                <w:highlight w:val="none"/>
              </w:rPr>
            </w:pPr>
          </w:p>
          <w:p>
            <w:pPr>
              <w:ind w:firstLine="2409" w:firstLineChars="1000"/>
              <w:rPr>
                <w:rFonts w:ascii="Times New Roman" w:hAnsi="Times New Roman" w:eastAsia="宋体" w:cs="Times New Roman"/>
                <w:b/>
                <w:color w:val="auto"/>
                <w:sz w:val="24"/>
                <w:highlight w:val="none"/>
              </w:rPr>
            </w:pPr>
          </w:p>
          <w:p>
            <w:pPr>
              <w:ind w:firstLine="2409" w:firstLineChars="1000"/>
              <w:rPr>
                <w:rFonts w:ascii="Times New Roman" w:hAnsi="Times New Roman" w:eastAsia="宋体" w:cs="Times New Roman"/>
                <w:b/>
                <w:color w:val="auto"/>
                <w:sz w:val="24"/>
                <w:highlight w:val="none"/>
              </w:rPr>
            </w:pPr>
          </w:p>
          <w:p>
            <w:pPr>
              <w:ind w:firstLine="2409" w:firstLineChars="1000"/>
              <w:rPr>
                <w:rFonts w:ascii="Times New Roman" w:hAnsi="Times New Roman" w:eastAsia="宋体" w:cs="Times New Roman"/>
                <w:b/>
                <w:color w:val="auto"/>
                <w:sz w:val="24"/>
                <w:highlight w:val="none"/>
              </w:rPr>
            </w:pPr>
          </w:p>
          <w:p>
            <w:pPr>
              <w:ind w:firstLine="2409" w:firstLineChars="1000"/>
              <w:rPr>
                <w:rFonts w:ascii="Times New Roman" w:hAnsi="Times New Roman" w:eastAsia="宋体" w:cs="Times New Roman"/>
                <w:b/>
                <w:color w:val="auto"/>
                <w:sz w:val="24"/>
                <w:highlight w:val="none"/>
              </w:rPr>
            </w:pPr>
          </w:p>
          <w:p>
            <w:pPr>
              <w:ind w:firstLine="2108" w:firstLineChars="1000"/>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图</w:t>
            </w:r>
            <w:r>
              <w:rPr>
                <w:rFonts w:hint="eastAsia" w:ascii="Times New Roman" w:hAnsi="Times New Roman" w:eastAsia="宋体" w:cs="Times New Roman"/>
                <w:b/>
                <w:color w:val="auto"/>
                <w:szCs w:val="21"/>
                <w:highlight w:val="none"/>
              </w:rPr>
              <w:t>5-1</w:t>
            </w:r>
            <w:r>
              <w:rPr>
                <w:rFonts w:ascii="Times New Roman" w:hAnsi="Times New Roman" w:eastAsia="宋体" w:cs="Times New Roman"/>
                <w:b/>
                <w:color w:val="auto"/>
                <w:szCs w:val="21"/>
                <w:highlight w:val="none"/>
              </w:rPr>
              <w:t xml:space="preserve">  泡沫包装产品生产工艺流程图</w:t>
            </w:r>
          </w:p>
          <w:p>
            <w:pPr>
              <w:spacing w:line="360" w:lineRule="auto"/>
              <w:ind w:firstLine="482" w:firstLineChars="200"/>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2、工艺流程说明</w:t>
            </w:r>
          </w:p>
          <w:p>
            <w:pPr>
              <w:spacing w:line="360" w:lineRule="auto"/>
              <w:ind w:firstLine="480" w:firstLineChars="200"/>
              <w:rPr>
                <w:rFonts w:ascii="Times New Roman" w:hAnsi="Times New Roman" w:eastAsia="宋体" w:cs="Times New Roman"/>
                <w:bCs/>
                <w:color w:val="auto"/>
                <w:sz w:val="24"/>
                <w:highlight w:val="none"/>
              </w:rPr>
            </w:pPr>
            <w:r>
              <w:rPr>
                <w:rFonts w:hint="eastAsia" w:ascii="宋体" w:hAnsi="宋体" w:eastAsia="宋体" w:cs="宋体"/>
                <w:bCs/>
                <w:color w:val="auto"/>
                <w:sz w:val="24"/>
                <w:highlight w:val="none"/>
              </w:rPr>
              <w:t>①</w:t>
            </w:r>
            <w:r>
              <w:rPr>
                <w:rFonts w:ascii="Times New Roman" w:hAnsi="Times New Roman" w:eastAsia="宋体" w:cs="Times New Roman"/>
                <w:bCs/>
                <w:color w:val="auto"/>
                <w:sz w:val="24"/>
                <w:highlight w:val="none"/>
              </w:rPr>
              <w:t>原料：将EPS原料倒入预发料斗。</w:t>
            </w:r>
          </w:p>
          <w:p>
            <w:pPr>
              <w:spacing w:line="360" w:lineRule="auto"/>
              <w:ind w:firstLine="480" w:firstLineChars="200"/>
              <w:rPr>
                <w:rFonts w:ascii="Times New Roman" w:hAnsi="Times New Roman" w:eastAsia="宋体" w:cs="Times New Roman"/>
                <w:bCs/>
                <w:color w:val="auto"/>
                <w:sz w:val="24"/>
                <w:highlight w:val="none"/>
              </w:rPr>
            </w:pPr>
            <w:r>
              <w:rPr>
                <w:rFonts w:hint="eastAsia" w:ascii="宋体" w:hAnsi="宋体" w:eastAsia="宋体" w:cs="宋体"/>
                <w:bCs/>
                <w:color w:val="auto"/>
                <w:sz w:val="24"/>
                <w:highlight w:val="none"/>
              </w:rPr>
              <w:t>②</w:t>
            </w:r>
            <w:r>
              <w:rPr>
                <w:rFonts w:ascii="Times New Roman" w:hAnsi="Times New Roman" w:eastAsia="宋体" w:cs="Times New Roman"/>
                <w:bCs/>
                <w:color w:val="auto"/>
                <w:sz w:val="24"/>
                <w:highlight w:val="none"/>
              </w:rPr>
              <w:t>发泡：将EPS珠粒预发成为均匀一致的泡沫珠粒，以使泡粒在模腔内均匀膨胀容重一致，外购含有发泡剂的珠粒，当把粒子投入预发机再通入蒸汽，发泡剂受热体积膨胀将软化的粒子膨化为内部充满泡孔的泡沫粒子。预发泡温度控制在150℃。物理发泡的工作原理：发泡剂开孔，蒸汽扩孔。要使蒸汽进入泡孔的速度大于发泡剂从泡孔中逸出的速度，发泡剂在泡孔中来不及完全逸出，聚合物就牵伸呈橡胶状态，其强度足以平衡内部的压力，从而使珠粒发泡。此工序会产生噪声和少量的有机废气（以非甲烷总烃表示）</w:t>
            </w:r>
            <w:r>
              <w:rPr>
                <w:rFonts w:hint="eastAsia" w:ascii="Times New Roman" w:hAnsi="Times New Roman" w:eastAsia="宋体" w:cs="Times New Roman"/>
                <w:bCs/>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8522" w:type="dxa"/>
          </w:tcPr>
          <w:p>
            <w:pPr>
              <w:spacing w:line="360" w:lineRule="auto"/>
              <w:ind w:firstLine="480" w:firstLineChars="200"/>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③熟化：刚出发泡机的颗粒是一种潮湿、温热、无弹性的泡沫珠粒。</w:t>
            </w:r>
            <w:r>
              <w:rPr>
                <w:rFonts w:hint="eastAsia" w:ascii="Times New Roman" w:hAnsi="Times New Roman" w:eastAsia="宋体" w:cs="Times New Roman"/>
                <w:bCs/>
                <w:color w:val="auto"/>
                <w:sz w:val="24"/>
                <w:highlight w:val="none"/>
              </w:rPr>
              <w:t>将发泡好的珠粒通过管道输送于通风的料仓中常温熟化4-6h后待用，一方面使其干燥自然冷却，另一方面使空气通过泡孔膜渗透到泡孔内部，进一步使泡孔内的压力与外界压力相平衡，使得珠粒具有弹性，以利于制品成型。由于</w:t>
            </w:r>
            <w:r>
              <w:rPr>
                <w:rFonts w:ascii="Times New Roman" w:hAnsi="Times New Roman" w:eastAsia="宋体" w:cs="Times New Roman"/>
                <w:color w:val="auto"/>
                <w:sz w:val="24"/>
                <w:highlight w:val="none"/>
              </w:rPr>
              <w:t>聚苯乙烯材料在280℃以上时会分解产生有毒有害气体，而本项目</w:t>
            </w:r>
            <w:r>
              <w:rPr>
                <w:rFonts w:hint="eastAsia" w:ascii="Times New Roman" w:hAnsi="Times New Roman" w:eastAsia="宋体" w:cs="Times New Roman"/>
                <w:color w:val="auto"/>
                <w:sz w:val="24"/>
                <w:highlight w:val="none"/>
              </w:rPr>
              <w:t>熟化工艺无需加热，</w:t>
            </w:r>
            <w:r>
              <w:rPr>
                <w:rFonts w:ascii="Times New Roman" w:hAnsi="Times New Roman" w:eastAsia="宋体" w:cs="Times New Roman"/>
                <w:color w:val="auto"/>
                <w:sz w:val="24"/>
                <w:highlight w:val="none"/>
              </w:rPr>
              <w:t>不足使其分解，</w:t>
            </w:r>
            <w:r>
              <w:rPr>
                <w:rFonts w:hint="eastAsia" w:ascii="Times New Roman" w:hAnsi="Times New Roman" w:eastAsia="宋体" w:cs="Times New Roman"/>
                <w:color w:val="auto"/>
                <w:sz w:val="24"/>
                <w:highlight w:val="none"/>
              </w:rPr>
              <w:t>因此</w:t>
            </w:r>
            <w:r>
              <w:rPr>
                <w:rFonts w:hint="eastAsia" w:ascii="Times New Roman" w:hAnsi="Times New Roman" w:eastAsia="宋体" w:cs="Times New Roman"/>
                <w:bCs/>
                <w:color w:val="auto"/>
                <w:sz w:val="24"/>
                <w:highlight w:val="none"/>
              </w:rPr>
              <w:t>在静置熟化中不会产生有机废气。</w:t>
            </w:r>
          </w:p>
          <w:p>
            <w:pPr>
              <w:spacing w:line="360" w:lineRule="auto"/>
              <w:ind w:firstLine="480" w:firstLineChars="200"/>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④成型：熟化后的EPS颗粒通过管道投入自动成型机中，通过蒸汽直接加热（</w:t>
            </w:r>
            <w:r>
              <w:rPr>
                <w:rFonts w:hint="eastAsia" w:ascii="Times New Roman" w:hAnsi="Times New Roman" w:eastAsia="宋体" w:cs="Times New Roman"/>
                <w:bCs/>
                <w:color w:val="auto"/>
                <w:sz w:val="24"/>
                <w:highlight w:val="none"/>
              </w:rPr>
              <w:t>温度控制在</w:t>
            </w:r>
            <w:r>
              <w:rPr>
                <w:rFonts w:ascii="Times New Roman" w:hAnsi="Times New Roman" w:eastAsia="宋体" w:cs="Times New Roman"/>
                <w:bCs/>
                <w:color w:val="auto"/>
                <w:sz w:val="24"/>
                <w:highlight w:val="none"/>
              </w:rPr>
              <w:t>150℃</w:t>
            </w:r>
            <w:r>
              <w:rPr>
                <w:rFonts w:hint="eastAsia" w:ascii="Times New Roman" w:hAnsi="Times New Roman" w:eastAsia="宋体" w:cs="Times New Roman"/>
                <w:bCs/>
                <w:color w:val="auto"/>
                <w:sz w:val="24"/>
                <w:highlight w:val="none"/>
              </w:rPr>
              <w:t>左右</w:t>
            </w:r>
            <w:r>
              <w:rPr>
                <w:rFonts w:ascii="Times New Roman" w:hAnsi="Times New Roman" w:eastAsia="宋体" w:cs="Times New Roman"/>
                <w:bCs/>
                <w:color w:val="auto"/>
                <w:sz w:val="24"/>
                <w:highlight w:val="none"/>
              </w:rPr>
              <w:t>）约10</w:t>
            </w:r>
            <w:r>
              <w:rPr>
                <w:rFonts w:hint="eastAsia" w:ascii="Times New Roman" w:hAnsi="Times New Roman" w:eastAsia="宋体" w:cs="Times New Roman"/>
                <w:bCs/>
                <w:color w:val="auto"/>
                <w:sz w:val="24"/>
                <w:highlight w:val="none"/>
              </w:rPr>
              <w:t>s</w:t>
            </w:r>
            <w:r>
              <w:rPr>
                <w:rFonts w:ascii="Times New Roman" w:hAnsi="Times New Roman" w:eastAsia="宋体" w:cs="Times New Roman"/>
                <w:bCs/>
                <w:color w:val="auto"/>
                <w:sz w:val="24"/>
                <w:highlight w:val="none"/>
              </w:rPr>
              <w:t>，</w:t>
            </w:r>
            <w:r>
              <w:rPr>
                <w:rFonts w:hint="eastAsia" w:ascii="Times New Roman" w:hAnsi="Times New Roman" w:eastAsia="宋体" w:cs="Times New Roman"/>
                <w:bCs/>
                <w:color w:val="auto"/>
                <w:sz w:val="24"/>
                <w:highlight w:val="none"/>
              </w:rPr>
              <w:t>珠粒受热软化，使泡孔膨胀。珠粒膨胀至填满相互间的空隙，并粘结成均匀的泡沫体，</w:t>
            </w:r>
            <w:r>
              <w:rPr>
                <w:rFonts w:ascii="Times New Roman" w:hAnsi="Times New Roman" w:eastAsia="宋体" w:cs="Times New Roman"/>
                <w:bCs/>
                <w:color w:val="auto"/>
                <w:sz w:val="24"/>
                <w:highlight w:val="none"/>
              </w:rPr>
              <w:t>然后</w:t>
            </w:r>
            <w:r>
              <w:rPr>
                <w:rFonts w:hint="eastAsia" w:ascii="Times New Roman" w:hAnsi="Times New Roman" w:eastAsia="宋体" w:cs="Times New Roman"/>
                <w:bCs/>
                <w:color w:val="auto"/>
                <w:sz w:val="24"/>
                <w:highlight w:val="none"/>
              </w:rPr>
              <w:t>进行</w:t>
            </w:r>
            <w:r>
              <w:rPr>
                <w:rFonts w:ascii="Times New Roman" w:hAnsi="Times New Roman" w:eastAsia="宋体" w:cs="Times New Roman"/>
                <w:bCs/>
                <w:color w:val="auto"/>
                <w:sz w:val="24"/>
                <w:highlight w:val="none"/>
              </w:rPr>
              <w:t>冷却</w:t>
            </w:r>
            <w:r>
              <w:rPr>
                <w:rFonts w:hint="eastAsia" w:ascii="Times New Roman" w:hAnsi="Times New Roman" w:eastAsia="宋体" w:cs="Times New Roman"/>
                <w:bCs/>
                <w:color w:val="auto"/>
                <w:sz w:val="24"/>
                <w:highlight w:val="none"/>
              </w:rPr>
              <w:t>，达到稳定泡沫的目的。</w:t>
            </w:r>
            <w:r>
              <w:rPr>
                <w:rFonts w:ascii="Times New Roman" w:hAnsi="Times New Roman" w:eastAsia="宋体" w:cs="Times New Roman"/>
                <w:bCs/>
                <w:color w:val="auto"/>
                <w:sz w:val="24"/>
                <w:highlight w:val="none"/>
              </w:rPr>
              <w:t>成型工序需对成型机水冷降温，冷却水排至循环水塔降温后循环使用，不外排。</w:t>
            </w:r>
            <w:r>
              <w:rPr>
                <w:rFonts w:hint="eastAsia" w:ascii="Times New Roman" w:hAnsi="Times New Roman" w:eastAsia="宋体" w:cs="Times New Roman"/>
                <w:bCs/>
                <w:color w:val="auto"/>
                <w:sz w:val="24"/>
                <w:highlight w:val="none"/>
              </w:rPr>
              <w:t>由于成型工序加热过程中会有挥发性有机物产生，</w:t>
            </w:r>
            <w:r>
              <w:rPr>
                <w:rFonts w:ascii="Times New Roman" w:hAnsi="Times New Roman" w:eastAsia="宋体" w:cs="Times New Roman"/>
                <w:bCs/>
                <w:color w:val="auto"/>
                <w:sz w:val="24"/>
                <w:highlight w:val="none"/>
              </w:rPr>
              <w:t>本工序产生的环境污染源主要是噪声</w:t>
            </w:r>
            <w:r>
              <w:rPr>
                <w:rFonts w:hint="eastAsia" w:ascii="Times New Roman" w:hAnsi="Times New Roman" w:eastAsia="宋体" w:cs="Times New Roman"/>
                <w:bCs/>
                <w:color w:val="auto"/>
                <w:sz w:val="24"/>
                <w:highlight w:val="none"/>
              </w:rPr>
              <w:t>、非甲烷总烃。</w:t>
            </w:r>
          </w:p>
          <w:p>
            <w:pPr>
              <w:spacing w:line="360" w:lineRule="auto"/>
              <w:ind w:firstLine="480" w:firstLineChars="200"/>
              <w:rPr>
                <w:rFonts w:ascii="Times New Roman" w:hAnsi="Times New Roman" w:eastAsia="仿宋_GB2312" w:cs="Times New Roman"/>
                <w:bCs/>
                <w:color w:val="auto"/>
                <w:sz w:val="24"/>
                <w:highlight w:val="none"/>
              </w:rPr>
            </w:pPr>
            <w:r>
              <w:rPr>
                <w:rFonts w:ascii="Times New Roman" w:hAnsi="Times New Roman" w:eastAsia="宋体" w:cs="Times New Roman"/>
                <w:bCs/>
                <w:color w:val="auto"/>
                <w:sz w:val="24"/>
                <w:highlight w:val="none"/>
              </w:rPr>
              <w:t>⑤烘干：</w:t>
            </w:r>
            <w:r>
              <w:rPr>
                <w:rFonts w:ascii="Times New Roman" w:hAnsi="Times New Roman" w:eastAsia="宋体" w:cs="Times New Roman"/>
                <w:color w:val="auto"/>
                <w:sz w:val="24"/>
                <w:highlight w:val="none"/>
              </w:rPr>
              <w:t>项目设置了烘房，利用蒸汽在管道中通过热传递加热空气，烘干成型后泡沫表面蒸汽冷凝产生的水，项目烘干是为了加快水分的蒸发，烘干房以蒸汽为能源，由于EPS的熔点在240-280℃，需烘干温度在40℃~50℃左右，</w:t>
            </w:r>
            <w:r>
              <w:rPr>
                <w:rFonts w:ascii="Times New Roman" w:hAnsi="Times New Roman" w:eastAsia="宋体" w:cs="Times New Roman"/>
                <w:bCs/>
                <w:color w:val="auto"/>
                <w:sz w:val="24"/>
                <w:highlight w:val="none"/>
              </w:rPr>
              <w:t>烘干时间约4小时，</w:t>
            </w:r>
            <w:r>
              <w:rPr>
                <w:rFonts w:ascii="Times New Roman" w:hAnsi="Times New Roman" w:eastAsia="宋体" w:cs="Times New Roman"/>
                <w:color w:val="auto"/>
                <w:sz w:val="24"/>
                <w:highlight w:val="none"/>
              </w:rPr>
              <w:t>故干燥过程中EPS不会熔化从而产生有机废气，该过程主要是水蒸汽挥发。故项目烘干过程不会对外环境产生废气污染。</w:t>
            </w:r>
          </w:p>
          <w:p>
            <w:pPr>
              <w:spacing w:line="360" w:lineRule="auto"/>
              <w:ind w:firstLine="480" w:firstLineChars="200"/>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⑥成品包装入库：对烘干后的产品进行包装入库。</w:t>
            </w:r>
          </w:p>
          <w:p>
            <w:pPr>
              <w:spacing w:line="360" w:lineRule="auto"/>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二 、主要污染工序：</w:t>
            </w:r>
          </w:p>
          <w:p>
            <w:pPr>
              <w:spacing w:line="360" w:lineRule="auto"/>
              <w:ind w:firstLine="482" w:firstLineChars="200"/>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1、施工期环境污染分析</w:t>
            </w:r>
          </w:p>
          <w:p>
            <w:pPr>
              <w:spacing w:line="360" w:lineRule="auto"/>
              <w:ind w:firstLine="480" w:firstLineChars="200"/>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项目租用现有厂房，无土建施工活动，因此无施工期污染。</w:t>
            </w:r>
          </w:p>
          <w:p>
            <w:pPr>
              <w:spacing w:line="360" w:lineRule="auto"/>
              <w:ind w:firstLine="482" w:firstLineChars="200"/>
              <w:rPr>
                <w:rFonts w:ascii="Times New Roman" w:hAnsi="Times New Roman" w:eastAsia="宋体" w:cs="Times New Roman"/>
                <w:bCs/>
                <w:color w:val="auto"/>
                <w:sz w:val="24"/>
                <w:highlight w:val="none"/>
              </w:rPr>
            </w:pPr>
            <w:r>
              <w:rPr>
                <w:rFonts w:ascii="Times New Roman" w:hAnsi="Times New Roman" w:eastAsia="宋体" w:cs="Times New Roman"/>
                <w:b/>
                <w:color w:val="auto"/>
                <w:sz w:val="24"/>
                <w:highlight w:val="none"/>
              </w:rPr>
              <w:t>2、营运期污染源分析</w:t>
            </w:r>
          </w:p>
          <w:p>
            <w:pPr>
              <w:spacing w:line="360" w:lineRule="auto"/>
              <w:ind w:firstLine="482" w:firstLineChars="200"/>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（1）大气污染源</w:t>
            </w:r>
          </w:p>
          <w:p>
            <w:pPr>
              <w:spacing w:line="360" w:lineRule="auto"/>
              <w:ind w:firstLine="482" w:firstLineChars="200"/>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①发泡</w:t>
            </w:r>
            <w:r>
              <w:rPr>
                <w:rFonts w:hint="eastAsia" w:ascii="Times New Roman" w:hAnsi="Times New Roman" w:eastAsia="宋体" w:cs="Times New Roman"/>
                <w:b/>
                <w:color w:val="auto"/>
                <w:sz w:val="24"/>
                <w:highlight w:val="none"/>
              </w:rPr>
              <w:t>、成型</w:t>
            </w:r>
            <w:r>
              <w:rPr>
                <w:rFonts w:ascii="Times New Roman" w:hAnsi="Times New Roman" w:eastAsia="宋体" w:cs="Times New Roman"/>
                <w:b/>
                <w:color w:val="auto"/>
                <w:sz w:val="24"/>
                <w:highlight w:val="none"/>
              </w:rPr>
              <w:t>工序产生的</w:t>
            </w:r>
            <w:r>
              <w:rPr>
                <w:rFonts w:hint="eastAsia" w:ascii="Times New Roman" w:hAnsi="Times New Roman" w:eastAsia="宋体" w:cs="Times New Roman"/>
                <w:b/>
                <w:color w:val="auto"/>
                <w:sz w:val="24"/>
                <w:highlight w:val="none"/>
              </w:rPr>
              <w:t>废气（非甲烷总烃）</w:t>
            </w:r>
          </w:p>
          <w:p>
            <w:pPr>
              <w:spacing w:line="360" w:lineRule="auto"/>
              <w:ind w:firstLine="480"/>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本项目熟化工序半成品已冷却静置，达不到石油醚沸点；成型工序加热时间太短，石油醚来不及通过密闭的泡孔挥发至外环境。因此生产废气主要是在</w:t>
            </w:r>
            <w:r>
              <w:rPr>
                <w:rFonts w:ascii="Times New Roman" w:hAnsi="Times New Roman" w:eastAsia="宋体" w:cs="Times New Roman"/>
                <w:color w:val="auto"/>
                <w:sz w:val="24"/>
                <w:highlight w:val="none"/>
              </w:rPr>
              <w:t xml:space="preserve"> EPS 原料预发泡</w:t>
            </w:r>
            <w:r>
              <w:rPr>
                <w:rFonts w:hint="eastAsia" w:ascii="Times New Roman" w:hAnsi="Times New Roman" w:eastAsia="宋体" w:cs="Times New Roman"/>
                <w:color w:val="auto"/>
                <w:sz w:val="24"/>
                <w:highlight w:val="none"/>
              </w:rPr>
              <w:t>过程因加温时</w:t>
            </w:r>
            <w:r>
              <w:rPr>
                <w:rFonts w:ascii="Times New Roman" w:hAnsi="Times New Roman" w:eastAsia="宋体" w:cs="Times New Roman"/>
                <w:color w:val="auto"/>
                <w:sz w:val="24"/>
                <w:highlight w:val="none"/>
              </w:rPr>
              <w:t xml:space="preserve"> EPS 原料中的游离单体以及发泡剂挥发逸散形成的有机废气。</w:t>
            </w:r>
          </w:p>
          <w:p>
            <w:pPr>
              <w:spacing w:line="360" w:lineRule="auto"/>
              <w:ind w:firstLine="480"/>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原料聚苯乙烯珠体为高分子聚合物，无毒、无害材料，其分解温度约为</w:t>
            </w:r>
            <w:r>
              <w:rPr>
                <w:rFonts w:ascii="Times New Roman" w:hAnsi="Times New Roman" w:eastAsia="宋体" w:cs="Times New Roman"/>
                <w:color w:val="auto"/>
                <w:sz w:val="24"/>
                <w:highlight w:val="none"/>
              </w:rPr>
              <w:t xml:space="preserve"> 300℃。</w:t>
            </w:r>
            <w:r>
              <w:rPr>
                <w:rFonts w:hint="eastAsia" w:ascii="Times New Roman" w:hAnsi="Times New Roman" w:eastAsia="宋体" w:cs="Times New Roman"/>
                <w:color w:val="auto"/>
                <w:sz w:val="24"/>
                <w:highlight w:val="none"/>
              </w:rPr>
              <w:t>本项目为利用蒸汽热通过可发性聚苯乙烯珠粒（</w:t>
            </w:r>
            <w:r>
              <w:rPr>
                <w:rFonts w:ascii="Times New Roman" w:hAnsi="Times New Roman" w:eastAsia="宋体" w:cs="Times New Roman"/>
                <w:color w:val="auto"/>
                <w:sz w:val="24"/>
                <w:highlight w:val="none"/>
              </w:rPr>
              <w:t>EPS）和蒸汽在发泡机中的连续混合</w:t>
            </w:r>
            <w:r>
              <w:rPr>
                <w:rFonts w:hint="eastAsia" w:ascii="Times New Roman" w:hAnsi="Times New Roman" w:eastAsia="宋体" w:cs="Times New Roman"/>
                <w:color w:val="auto"/>
                <w:sz w:val="24"/>
                <w:highlight w:val="none"/>
              </w:rPr>
              <w:t>加热软化导致珠粒内产生膨胀，形成许多泡孔，发泡剂挥发。此过程主要是物理变化。预发过程会产生有机废气，其主要成分为非甲烷总烃。由于预发泡在密闭设备中进行，只有预发排气孔会有废气逸出。项目预发泡工序对聚苯乙烯的加热温度控制在</w:t>
            </w:r>
            <w:r>
              <w:rPr>
                <w:rFonts w:hint="eastAsia" w:ascii="Times New Roman" w:hAnsi="Times New Roman" w:eastAsia="宋体" w:cs="Times New Roman"/>
                <w:color w:val="auto"/>
                <w:sz w:val="24"/>
                <w:highlight w:val="none"/>
                <w:lang w:val="en-US" w:eastAsia="zh-CN"/>
              </w:rPr>
              <w:t>150</w:t>
            </w:r>
            <w:r>
              <w:rPr>
                <w:rFonts w:ascii="Times New Roman" w:hAnsi="Times New Roman" w:eastAsia="宋体" w:cs="Times New Roman"/>
                <w:color w:val="auto"/>
                <w:sz w:val="24"/>
                <w:highlight w:val="none"/>
              </w:rPr>
              <w:t>℃，聚苯乙烯不会发生分解产生废气，仅原料中发泡剂石油醚（戊烷与己烷的</w:t>
            </w:r>
            <w:r>
              <w:rPr>
                <w:rFonts w:hint="eastAsia" w:ascii="Times New Roman" w:hAnsi="Times New Roman" w:eastAsia="宋体" w:cs="Times New Roman"/>
                <w:color w:val="auto"/>
                <w:sz w:val="24"/>
                <w:highlight w:val="none"/>
              </w:rPr>
              <w:t>混合物）会部分挥发。</w:t>
            </w:r>
          </w:p>
          <w:p>
            <w:pPr>
              <w:spacing w:line="360" w:lineRule="auto"/>
              <w:ind w:firstLine="480"/>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本项目原料</w:t>
            </w:r>
            <w:r>
              <w:rPr>
                <w:rFonts w:ascii="Times New Roman" w:hAnsi="Times New Roman" w:eastAsia="宋体" w:cs="Times New Roman"/>
                <w:color w:val="auto"/>
                <w:sz w:val="24"/>
                <w:highlight w:val="none"/>
              </w:rPr>
              <w:t xml:space="preserve"> EPS 年用量为420吨，根据项目原料安全技术说明书（见附件 7），</w:t>
            </w:r>
            <w:r>
              <w:rPr>
                <w:rFonts w:hint="eastAsia" w:ascii="Times New Roman" w:hAnsi="Times New Roman" w:eastAsia="宋体" w:cs="Times New Roman"/>
                <w:color w:val="auto"/>
                <w:sz w:val="24"/>
                <w:highlight w:val="none"/>
              </w:rPr>
              <w:t>则其中含有石油醚</w:t>
            </w:r>
            <w:r>
              <w:rPr>
                <w:rFonts w:ascii="Times New Roman" w:hAnsi="Times New Roman" w:eastAsia="宋体" w:cs="Times New Roman"/>
                <w:color w:val="auto"/>
                <w:sz w:val="24"/>
                <w:highlight w:val="none"/>
              </w:rPr>
              <w:t>8.4吨。因项目发泡为增温使珠粒内的发泡剂受热汽化产生压力，</w:t>
            </w:r>
            <w:r>
              <w:rPr>
                <w:rFonts w:hint="eastAsia" w:ascii="Times New Roman" w:hAnsi="Times New Roman" w:eastAsia="宋体" w:cs="Times New Roman"/>
                <w:color w:val="auto"/>
                <w:sz w:val="24"/>
                <w:highlight w:val="none"/>
              </w:rPr>
              <w:t>从而使珠粒膨胀，并形成互不连通的泡孔（闭孔）。同时蒸汽也渗透到已膨胀的泡孔中，最终导致</w:t>
            </w:r>
            <w:r>
              <w:rPr>
                <w:rFonts w:ascii="Times New Roman" w:hAnsi="Times New Roman" w:eastAsia="宋体" w:cs="Times New Roman"/>
                <w:color w:val="auto"/>
                <w:sz w:val="24"/>
                <w:highlight w:val="none"/>
              </w:rPr>
              <w:t xml:space="preserve"> EPS 珠粒发泡。EPS 泡沫孤立存在，均匀分布在发泡体内，互不连通，</w:t>
            </w:r>
            <w:r>
              <w:rPr>
                <w:rFonts w:hint="eastAsia" w:ascii="Times New Roman" w:hAnsi="Times New Roman" w:eastAsia="宋体" w:cs="Times New Roman"/>
                <w:color w:val="auto"/>
                <w:sz w:val="24"/>
                <w:highlight w:val="none"/>
              </w:rPr>
              <w:t>气泡基本完整无破碎，泡孔壁形成发泡单体的连接相，发泡剂大多，留在出厂产品中，挥发量较少。因此，</w:t>
            </w:r>
            <w:r>
              <w:rPr>
                <w:rFonts w:ascii="Times New Roman" w:hAnsi="Times New Roman" w:eastAsia="宋体" w:cs="Times New Roman"/>
                <w:color w:val="auto"/>
                <w:sz w:val="24"/>
                <w:highlight w:val="none"/>
              </w:rPr>
              <w:t>EPS 珠粒内仅受热汽化的发泡剂会逸散挥发。</w:t>
            </w:r>
          </w:p>
          <w:p>
            <w:pPr>
              <w:spacing w:line="360" w:lineRule="auto"/>
              <w:ind w:firstLine="480"/>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参考同类型项目《宁海商旭包装材料有限公司年产</w:t>
            </w:r>
            <w:r>
              <w:rPr>
                <w:rFonts w:ascii="Times New Roman" w:hAnsi="Times New Roman" w:eastAsia="宋体" w:cs="Times New Roman"/>
                <w:color w:val="auto"/>
                <w:sz w:val="24"/>
                <w:highlight w:val="none"/>
              </w:rPr>
              <w:t xml:space="preserve"> 2500 万套泡沫包装生产线项</w:t>
            </w:r>
            <w:r>
              <w:rPr>
                <w:rFonts w:hint="eastAsia" w:ascii="Times New Roman" w:hAnsi="Times New Roman" w:eastAsia="宋体" w:cs="Times New Roman"/>
                <w:color w:val="auto"/>
                <w:sz w:val="24"/>
                <w:highlight w:val="none"/>
              </w:rPr>
              <w:t>目环境影响报告表》（批文号：宁环建【</w:t>
            </w:r>
            <w:r>
              <w:rPr>
                <w:rFonts w:ascii="Times New Roman" w:hAnsi="Times New Roman" w:eastAsia="宋体" w:cs="Times New Roman"/>
                <w:color w:val="auto"/>
                <w:sz w:val="24"/>
                <w:highlight w:val="none"/>
              </w:rPr>
              <w:t>2018】33 号），该项目 EPS 原料年用量为1150</w:t>
            </w:r>
            <w:r>
              <w:rPr>
                <w:rFonts w:hint="eastAsia" w:ascii="Times New Roman" w:hAnsi="Times New Roman" w:eastAsia="宋体" w:cs="Times New Roman"/>
                <w:color w:val="auto"/>
                <w:sz w:val="24"/>
                <w:highlight w:val="none"/>
              </w:rPr>
              <w:t>吨，含有发泡剂戊烷约</w:t>
            </w:r>
            <w:r>
              <w:rPr>
                <w:rFonts w:ascii="Times New Roman" w:hAnsi="Times New Roman" w:eastAsia="宋体" w:cs="Times New Roman"/>
                <w:color w:val="auto"/>
                <w:sz w:val="24"/>
                <w:highlight w:val="none"/>
              </w:rPr>
              <w:t xml:space="preserve"> 57.5 吨。其生产工艺亦为蒸汽直接加热物理发泡，生产过程中</w:t>
            </w:r>
            <w:r>
              <w:rPr>
                <w:rFonts w:hint="eastAsia" w:ascii="Times New Roman" w:hAnsi="Times New Roman" w:eastAsia="宋体" w:cs="Times New Roman"/>
                <w:color w:val="auto"/>
                <w:sz w:val="24"/>
                <w:highlight w:val="none"/>
              </w:rPr>
              <w:t>聚苯乙烯发泡的闭孔率约</w:t>
            </w:r>
            <w:r>
              <w:rPr>
                <w:rFonts w:ascii="Times New Roman" w:hAnsi="Times New Roman" w:eastAsia="宋体" w:cs="Times New Roman"/>
                <w:color w:val="auto"/>
                <w:sz w:val="24"/>
                <w:highlight w:val="none"/>
              </w:rPr>
              <w:t xml:space="preserve"> 95%，即95%的发泡剂仍然融合封闭在聚苯乙烯颗粒中。</w:t>
            </w:r>
          </w:p>
          <w:p>
            <w:pPr>
              <w:spacing w:line="360" w:lineRule="auto"/>
              <w:ind w:firstLine="480"/>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且根据《宁海商旭包装材料有限公司年产</w:t>
            </w:r>
            <w:r>
              <w:rPr>
                <w:rFonts w:ascii="Times New Roman" w:hAnsi="Times New Roman" w:eastAsia="宋体" w:cs="Times New Roman"/>
                <w:color w:val="auto"/>
                <w:sz w:val="24"/>
                <w:highlight w:val="none"/>
              </w:rPr>
              <w:t xml:space="preserve"> 2500 万套泡沫包装生产线项目竣工环</w:t>
            </w:r>
            <w:r>
              <w:rPr>
                <w:rFonts w:hint="eastAsia" w:ascii="Times New Roman" w:hAnsi="Times New Roman" w:eastAsia="宋体" w:cs="Times New Roman"/>
                <w:color w:val="auto"/>
                <w:sz w:val="24"/>
                <w:highlight w:val="none"/>
              </w:rPr>
              <w:t>境保护验收报告》中的验收监测数据（见下表</w:t>
            </w:r>
            <w:r>
              <w:rPr>
                <w:rFonts w:hint="eastAsia" w:ascii="Times New Roman" w:hAnsi="Times New Roman" w:eastAsia="宋体" w:cs="Times New Roman"/>
                <w:color w:val="auto"/>
                <w:sz w:val="24"/>
                <w:highlight w:val="none"/>
                <w:lang w:val="en-US" w:eastAsia="zh-CN"/>
              </w:rPr>
              <w:t>5-1</w:t>
            </w:r>
            <w:r>
              <w:rPr>
                <w:rFonts w:ascii="Times New Roman" w:hAnsi="Times New Roman" w:eastAsia="宋体" w:cs="Times New Roman"/>
                <w:color w:val="auto"/>
                <w:sz w:val="24"/>
                <w:highlight w:val="none"/>
              </w:rPr>
              <w:t>），该项目实际发泡有机废气有组织</w:t>
            </w:r>
            <w:r>
              <w:rPr>
                <w:rFonts w:hint="eastAsia" w:ascii="Times New Roman" w:hAnsi="Times New Roman" w:eastAsia="宋体" w:cs="Times New Roman"/>
                <w:color w:val="auto"/>
                <w:sz w:val="24"/>
                <w:highlight w:val="none"/>
              </w:rPr>
              <w:t>产生量约为</w:t>
            </w:r>
            <w:r>
              <w:rPr>
                <w:rFonts w:ascii="Times New Roman" w:hAnsi="Times New Roman" w:eastAsia="宋体" w:cs="Times New Roman"/>
                <w:color w:val="auto"/>
                <w:sz w:val="24"/>
                <w:highlight w:val="none"/>
              </w:rPr>
              <w:t xml:space="preserve"> 1.24t/a，处理设施集气效率为 90%，则可估算出该项目生产有机废气产生</w:t>
            </w:r>
            <w:r>
              <w:rPr>
                <w:rFonts w:hint="eastAsia" w:ascii="Times New Roman" w:hAnsi="Times New Roman" w:eastAsia="宋体" w:cs="Times New Roman"/>
                <w:color w:val="auto"/>
                <w:sz w:val="24"/>
                <w:highlight w:val="none"/>
              </w:rPr>
              <w:t>总量约</w:t>
            </w:r>
            <w:r>
              <w:rPr>
                <w:rFonts w:ascii="Times New Roman" w:hAnsi="Times New Roman" w:eastAsia="宋体" w:cs="Times New Roman"/>
                <w:color w:val="auto"/>
                <w:sz w:val="24"/>
                <w:highlight w:val="none"/>
              </w:rPr>
              <w:t xml:space="preserve"> 1.38t/a。</w:t>
            </w:r>
          </w:p>
          <w:p>
            <w:pPr>
              <w:spacing w:line="360" w:lineRule="auto"/>
              <w:ind w:firstLine="480"/>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可见，该项目生产过程中发泡剂逸出量约占发泡剂总量的</w:t>
            </w:r>
            <w:r>
              <w:rPr>
                <w:rFonts w:ascii="Times New Roman" w:hAnsi="Times New Roman" w:eastAsia="宋体" w:cs="Times New Roman"/>
                <w:color w:val="auto"/>
                <w:sz w:val="24"/>
                <w:highlight w:val="none"/>
              </w:rPr>
              <w:t xml:space="preserve"> 2.4%&lt;5%，聚苯乙烯发</w:t>
            </w:r>
            <w:r>
              <w:rPr>
                <w:rFonts w:hint="eastAsia" w:ascii="Times New Roman" w:hAnsi="Times New Roman" w:eastAsia="宋体" w:cs="Times New Roman"/>
                <w:color w:val="auto"/>
                <w:sz w:val="24"/>
                <w:highlight w:val="none"/>
              </w:rPr>
              <w:t>泡的闭孔率可达</w:t>
            </w:r>
            <w:r>
              <w:rPr>
                <w:rFonts w:ascii="Times New Roman" w:hAnsi="Times New Roman" w:eastAsia="宋体" w:cs="Times New Roman"/>
                <w:color w:val="auto"/>
                <w:sz w:val="24"/>
                <w:highlight w:val="none"/>
              </w:rPr>
              <w:t xml:space="preserve"> 95%以上。</w:t>
            </w:r>
          </w:p>
          <w:p>
            <w:pPr>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表5-1宁海商旭包装材料有限公司年产2500万套泡沫</w:t>
            </w:r>
          </w:p>
          <w:p>
            <w:pPr>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包装生产线项目验收发泡废气监测结果</w:t>
            </w:r>
          </w:p>
          <w:tbl>
            <w:tblPr>
              <w:tblStyle w:val="23"/>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
              <w:gridCol w:w="988"/>
              <w:gridCol w:w="382"/>
              <w:gridCol w:w="877"/>
              <w:gridCol w:w="1006"/>
              <w:gridCol w:w="861"/>
              <w:gridCol w:w="1006"/>
              <w:gridCol w:w="926"/>
              <w:gridCol w:w="1006"/>
              <w:gridCol w:w="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382" w:type="dxa"/>
                  <w:vMerge w:val="restart"/>
                  <w:vAlign w:val="center"/>
                </w:tcPr>
                <w:p>
                  <w:pPr>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监测点位</w:t>
                  </w:r>
                </w:p>
              </w:tc>
              <w:tc>
                <w:tcPr>
                  <w:tcW w:w="988" w:type="dxa"/>
                  <w:vMerge w:val="restart"/>
                  <w:vAlign w:val="center"/>
                </w:tcPr>
                <w:p>
                  <w:pPr>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监测日期</w:t>
                  </w:r>
                </w:p>
              </w:tc>
              <w:tc>
                <w:tcPr>
                  <w:tcW w:w="382" w:type="dxa"/>
                  <w:vMerge w:val="restart"/>
                  <w:vAlign w:val="center"/>
                </w:tcPr>
                <w:p>
                  <w:pPr>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监测次数</w:t>
                  </w:r>
                </w:p>
              </w:tc>
              <w:tc>
                <w:tcPr>
                  <w:tcW w:w="877" w:type="dxa"/>
                  <w:vMerge w:val="restart"/>
                  <w:vAlign w:val="center"/>
                </w:tcPr>
                <w:p>
                  <w:pPr>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标杆流量（m</w:t>
                  </w:r>
                  <w:r>
                    <w:rPr>
                      <w:rFonts w:ascii="Times New Roman" w:hAnsi="Times New Roman" w:eastAsia="宋体" w:cs="Times New Roman"/>
                      <w:b/>
                      <w:bCs/>
                      <w:color w:val="auto"/>
                      <w:sz w:val="18"/>
                      <w:szCs w:val="18"/>
                      <w:highlight w:val="none"/>
                      <w:vertAlign w:val="superscript"/>
                    </w:rPr>
                    <w:t>3</w:t>
                  </w:r>
                  <w:r>
                    <w:rPr>
                      <w:rFonts w:ascii="Times New Roman" w:hAnsi="Times New Roman" w:eastAsia="宋体" w:cs="Times New Roman"/>
                      <w:b/>
                      <w:bCs/>
                      <w:color w:val="auto"/>
                      <w:sz w:val="18"/>
                      <w:szCs w:val="18"/>
                      <w:highlight w:val="none"/>
                    </w:rPr>
                    <w:t>/h）</w:t>
                  </w:r>
                </w:p>
              </w:tc>
              <w:tc>
                <w:tcPr>
                  <w:tcW w:w="1867" w:type="dxa"/>
                  <w:gridSpan w:val="2"/>
                  <w:vAlign w:val="center"/>
                </w:tcPr>
                <w:p>
                  <w:pPr>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非甲烷总烃（以碳计）</w:t>
                  </w:r>
                </w:p>
              </w:tc>
              <w:tc>
                <w:tcPr>
                  <w:tcW w:w="1932" w:type="dxa"/>
                  <w:gridSpan w:val="2"/>
                  <w:vAlign w:val="center"/>
                </w:tcPr>
                <w:p>
                  <w:pPr>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苯乙烯</w:t>
                  </w:r>
                </w:p>
              </w:tc>
              <w:tc>
                <w:tcPr>
                  <w:tcW w:w="1868" w:type="dxa"/>
                  <w:gridSpan w:val="2"/>
                  <w:vAlign w:val="center"/>
                </w:tcPr>
                <w:p>
                  <w:pPr>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戊烷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trPr>
              <w:tc>
                <w:tcPr>
                  <w:tcW w:w="382" w:type="dxa"/>
                  <w:vMerge w:val="continue"/>
                  <w:vAlign w:val="center"/>
                </w:tcPr>
                <w:p>
                  <w:pPr>
                    <w:jc w:val="center"/>
                    <w:rPr>
                      <w:rFonts w:ascii="Times New Roman" w:hAnsi="Times New Roman" w:eastAsia="宋体" w:cs="Times New Roman"/>
                      <w:b/>
                      <w:bCs/>
                      <w:color w:val="auto"/>
                      <w:sz w:val="18"/>
                      <w:szCs w:val="18"/>
                      <w:highlight w:val="none"/>
                    </w:rPr>
                  </w:pPr>
                </w:p>
              </w:tc>
              <w:tc>
                <w:tcPr>
                  <w:tcW w:w="988" w:type="dxa"/>
                  <w:vMerge w:val="continue"/>
                  <w:vAlign w:val="center"/>
                </w:tcPr>
                <w:p>
                  <w:pPr>
                    <w:jc w:val="center"/>
                    <w:rPr>
                      <w:rFonts w:ascii="Times New Roman" w:hAnsi="Times New Roman" w:eastAsia="宋体" w:cs="Times New Roman"/>
                      <w:b/>
                      <w:bCs/>
                      <w:color w:val="auto"/>
                      <w:sz w:val="18"/>
                      <w:szCs w:val="18"/>
                      <w:highlight w:val="none"/>
                    </w:rPr>
                  </w:pPr>
                </w:p>
              </w:tc>
              <w:tc>
                <w:tcPr>
                  <w:tcW w:w="382" w:type="dxa"/>
                  <w:vMerge w:val="continue"/>
                  <w:vAlign w:val="center"/>
                </w:tcPr>
                <w:p>
                  <w:pPr>
                    <w:jc w:val="center"/>
                    <w:rPr>
                      <w:rFonts w:ascii="Times New Roman" w:hAnsi="Times New Roman" w:eastAsia="宋体" w:cs="Times New Roman"/>
                      <w:b/>
                      <w:bCs/>
                      <w:color w:val="auto"/>
                      <w:sz w:val="18"/>
                      <w:szCs w:val="18"/>
                      <w:highlight w:val="none"/>
                    </w:rPr>
                  </w:pPr>
                </w:p>
              </w:tc>
              <w:tc>
                <w:tcPr>
                  <w:tcW w:w="877" w:type="dxa"/>
                  <w:vMerge w:val="continue"/>
                  <w:vAlign w:val="center"/>
                </w:tcPr>
                <w:p>
                  <w:pPr>
                    <w:jc w:val="center"/>
                    <w:rPr>
                      <w:rFonts w:ascii="Times New Roman" w:hAnsi="Times New Roman" w:eastAsia="宋体" w:cs="Times New Roman"/>
                      <w:b/>
                      <w:bCs/>
                      <w:color w:val="auto"/>
                      <w:sz w:val="18"/>
                      <w:szCs w:val="18"/>
                      <w:highlight w:val="none"/>
                    </w:rPr>
                  </w:pPr>
                </w:p>
              </w:tc>
              <w:tc>
                <w:tcPr>
                  <w:tcW w:w="1006" w:type="dxa"/>
                  <w:vAlign w:val="center"/>
                </w:tcPr>
                <w:p>
                  <w:pPr>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排放浓度（mg/m</w:t>
                  </w:r>
                  <w:r>
                    <w:rPr>
                      <w:rFonts w:ascii="Times New Roman" w:hAnsi="Times New Roman" w:eastAsia="宋体" w:cs="Times New Roman"/>
                      <w:b/>
                      <w:bCs/>
                      <w:color w:val="auto"/>
                      <w:sz w:val="18"/>
                      <w:szCs w:val="18"/>
                      <w:highlight w:val="none"/>
                      <w:vertAlign w:val="superscript"/>
                    </w:rPr>
                    <w:t>3</w:t>
                  </w:r>
                  <w:r>
                    <w:rPr>
                      <w:rFonts w:ascii="Times New Roman" w:hAnsi="Times New Roman" w:eastAsia="宋体" w:cs="Times New Roman"/>
                      <w:b/>
                      <w:bCs/>
                      <w:color w:val="auto"/>
                      <w:sz w:val="18"/>
                      <w:szCs w:val="18"/>
                      <w:highlight w:val="none"/>
                    </w:rPr>
                    <w:t>）</w:t>
                  </w:r>
                </w:p>
              </w:tc>
              <w:tc>
                <w:tcPr>
                  <w:tcW w:w="861" w:type="dxa"/>
                  <w:vAlign w:val="center"/>
                </w:tcPr>
                <w:p>
                  <w:pPr>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排放速率（kg/h）</w:t>
                  </w:r>
                </w:p>
              </w:tc>
              <w:tc>
                <w:tcPr>
                  <w:tcW w:w="1006" w:type="dxa"/>
                  <w:vAlign w:val="center"/>
                </w:tcPr>
                <w:p>
                  <w:pPr>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排放浓度（mg/m</w:t>
                  </w:r>
                  <w:r>
                    <w:rPr>
                      <w:rFonts w:ascii="Times New Roman" w:hAnsi="Times New Roman" w:eastAsia="宋体" w:cs="Times New Roman"/>
                      <w:b/>
                      <w:bCs/>
                      <w:color w:val="auto"/>
                      <w:sz w:val="18"/>
                      <w:szCs w:val="18"/>
                      <w:highlight w:val="none"/>
                      <w:vertAlign w:val="superscript"/>
                    </w:rPr>
                    <w:t>3</w:t>
                  </w:r>
                  <w:r>
                    <w:rPr>
                      <w:rFonts w:ascii="Times New Roman" w:hAnsi="Times New Roman" w:eastAsia="宋体" w:cs="Times New Roman"/>
                      <w:b/>
                      <w:bCs/>
                      <w:color w:val="auto"/>
                      <w:sz w:val="18"/>
                      <w:szCs w:val="18"/>
                      <w:highlight w:val="none"/>
                    </w:rPr>
                    <w:t>）</w:t>
                  </w:r>
                </w:p>
              </w:tc>
              <w:tc>
                <w:tcPr>
                  <w:tcW w:w="926" w:type="dxa"/>
                  <w:vAlign w:val="center"/>
                </w:tcPr>
                <w:p>
                  <w:pPr>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排放速率（kg/h）</w:t>
                  </w:r>
                </w:p>
              </w:tc>
              <w:tc>
                <w:tcPr>
                  <w:tcW w:w="1006" w:type="dxa"/>
                  <w:vAlign w:val="center"/>
                </w:tcPr>
                <w:p>
                  <w:pPr>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排放浓度（mg/m</w:t>
                  </w:r>
                  <w:r>
                    <w:rPr>
                      <w:rFonts w:ascii="Times New Roman" w:hAnsi="Times New Roman" w:eastAsia="宋体" w:cs="Times New Roman"/>
                      <w:b/>
                      <w:bCs/>
                      <w:color w:val="auto"/>
                      <w:sz w:val="18"/>
                      <w:szCs w:val="18"/>
                      <w:highlight w:val="none"/>
                      <w:vertAlign w:val="superscript"/>
                    </w:rPr>
                    <w:t>3</w:t>
                  </w:r>
                  <w:r>
                    <w:rPr>
                      <w:rFonts w:ascii="Times New Roman" w:hAnsi="Times New Roman" w:eastAsia="宋体" w:cs="Times New Roman"/>
                      <w:b/>
                      <w:bCs/>
                      <w:color w:val="auto"/>
                      <w:sz w:val="18"/>
                      <w:szCs w:val="18"/>
                      <w:highlight w:val="none"/>
                    </w:rPr>
                    <w:t>）</w:t>
                  </w:r>
                </w:p>
              </w:tc>
              <w:tc>
                <w:tcPr>
                  <w:tcW w:w="862" w:type="dxa"/>
                  <w:vAlign w:val="center"/>
                </w:tcPr>
                <w:p>
                  <w:pPr>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82" w:type="dxa"/>
                  <w:vMerge w:val="restart"/>
                  <w:vAlign w:val="center"/>
                </w:tcPr>
                <w:p>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1#发泡废气进口</w:t>
                  </w:r>
                </w:p>
              </w:tc>
              <w:tc>
                <w:tcPr>
                  <w:tcW w:w="988" w:type="dxa"/>
                  <w:vMerge w:val="restart"/>
                  <w:vAlign w:val="center"/>
                </w:tcPr>
                <w:p>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2018-06-25</w:t>
                  </w:r>
                </w:p>
              </w:tc>
              <w:tc>
                <w:tcPr>
                  <w:tcW w:w="382" w:type="dxa"/>
                  <w:vAlign w:val="center"/>
                </w:tcPr>
                <w:p>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第一次</w:t>
                  </w:r>
                </w:p>
              </w:tc>
              <w:tc>
                <w:tcPr>
                  <w:tcW w:w="877"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5</w:t>
                  </w:r>
                  <w:r>
                    <w:rPr>
                      <w:rFonts w:ascii="Times New Roman" w:hAnsi="Times New Roman" w:eastAsia="宋体" w:cs="Times New Roman"/>
                      <w:color w:val="auto"/>
                      <w:sz w:val="18"/>
                      <w:szCs w:val="18"/>
                      <w:highlight w:val="none"/>
                    </w:rPr>
                    <w:t>161</w:t>
                  </w:r>
                </w:p>
              </w:tc>
              <w:tc>
                <w:tcPr>
                  <w:tcW w:w="1006"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5</w:t>
                  </w:r>
                  <w:r>
                    <w:rPr>
                      <w:rFonts w:ascii="Times New Roman" w:hAnsi="Times New Roman" w:eastAsia="宋体" w:cs="Times New Roman"/>
                      <w:color w:val="auto"/>
                      <w:sz w:val="18"/>
                      <w:szCs w:val="18"/>
                      <w:highlight w:val="none"/>
                    </w:rPr>
                    <w:t>2.1</w:t>
                  </w:r>
                </w:p>
              </w:tc>
              <w:tc>
                <w:tcPr>
                  <w:tcW w:w="861"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0</w:t>
                  </w:r>
                  <w:r>
                    <w:rPr>
                      <w:rFonts w:ascii="Times New Roman" w:hAnsi="Times New Roman" w:eastAsia="宋体" w:cs="Times New Roman"/>
                      <w:color w:val="auto"/>
                      <w:sz w:val="18"/>
                      <w:szCs w:val="18"/>
                      <w:highlight w:val="none"/>
                    </w:rPr>
                    <w:t>.27</w:t>
                  </w:r>
                </w:p>
              </w:tc>
              <w:tc>
                <w:tcPr>
                  <w:tcW w:w="1006"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0</w:t>
                  </w:r>
                  <w:r>
                    <w:rPr>
                      <w:rFonts w:ascii="Times New Roman" w:hAnsi="Times New Roman" w:eastAsia="宋体" w:cs="Times New Roman"/>
                      <w:color w:val="auto"/>
                      <w:sz w:val="18"/>
                      <w:szCs w:val="18"/>
                      <w:highlight w:val="none"/>
                    </w:rPr>
                    <w:t>.06</w:t>
                  </w:r>
                </w:p>
              </w:tc>
              <w:tc>
                <w:tcPr>
                  <w:tcW w:w="926"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3</w:t>
                  </w:r>
                  <w:r>
                    <w:rPr>
                      <w:rFonts w:ascii="Times New Roman" w:hAnsi="Times New Roman" w:eastAsia="宋体" w:cs="Times New Roman"/>
                      <w:color w:val="auto"/>
                      <w:sz w:val="18"/>
                      <w:szCs w:val="18"/>
                      <w:highlight w:val="none"/>
                    </w:rPr>
                    <w:t>.10</w:t>
                  </w:r>
                  <w:r>
                    <w:rPr>
                      <w:rFonts w:cs="Times New Roman" w:asciiTheme="minorEastAsia" w:hAnsiTheme="minorEastAsia"/>
                      <w:color w:val="auto"/>
                      <w:sz w:val="18"/>
                      <w:szCs w:val="18"/>
                      <w:highlight w:val="none"/>
                    </w:rPr>
                    <w:t>ⅹ</w:t>
                  </w:r>
                  <w:r>
                    <w:rPr>
                      <w:rFonts w:ascii="Times New Roman" w:hAnsi="Times New Roman" w:eastAsia="宋体" w:cs="Times New Roman"/>
                      <w:color w:val="auto"/>
                      <w:sz w:val="18"/>
                      <w:szCs w:val="18"/>
                      <w:highlight w:val="none"/>
                    </w:rPr>
                    <w:t>10</w:t>
                  </w:r>
                  <w:r>
                    <w:rPr>
                      <w:rFonts w:ascii="Times New Roman" w:hAnsi="Times New Roman" w:eastAsia="宋体" w:cs="Times New Roman"/>
                      <w:color w:val="auto"/>
                      <w:sz w:val="18"/>
                      <w:szCs w:val="18"/>
                      <w:highlight w:val="none"/>
                      <w:vertAlign w:val="superscript"/>
                    </w:rPr>
                    <w:t>-4</w:t>
                  </w:r>
                </w:p>
              </w:tc>
              <w:tc>
                <w:tcPr>
                  <w:tcW w:w="1006"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3</w:t>
                  </w:r>
                  <w:r>
                    <w:rPr>
                      <w:rFonts w:ascii="Times New Roman" w:hAnsi="Times New Roman" w:eastAsia="宋体" w:cs="Times New Roman"/>
                      <w:color w:val="auto"/>
                      <w:sz w:val="18"/>
                      <w:szCs w:val="18"/>
                      <w:highlight w:val="none"/>
                    </w:rPr>
                    <w:t>2.0</w:t>
                  </w:r>
                </w:p>
              </w:tc>
              <w:tc>
                <w:tcPr>
                  <w:tcW w:w="862"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0</w:t>
                  </w:r>
                  <w:r>
                    <w:rPr>
                      <w:rFonts w:ascii="Times New Roman" w:hAnsi="Times New Roman" w:eastAsia="宋体" w:cs="Times New Roman"/>
                      <w:color w:val="auto"/>
                      <w:sz w:val="18"/>
                      <w:szCs w:val="18"/>
                      <w:highlight w:val="none"/>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82" w:type="dxa"/>
                  <w:vMerge w:val="continue"/>
                  <w:vAlign w:val="center"/>
                </w:tcPr>
                <w:p>
                  <w:pPr>
                    <w:jc w:val="center"/>
                    <w:rPr>
                      <w:rFonts w:ascii="Times New Roman" w:hAnsi="Times New Roman" w:eastAsia="宋体" w:cs="Times New Roman"/>
                      <w:color w:val="auto"/>
                      <w:sz w:val="18"/>
                      <w:szCs w:val="18"/>
                      <w:highlight w:val="none"/>
                    </w:rPr>
                  </w:pPr>
                </w:p>
              </w:tc>
              <w:tc>
                <w:tcPr>
                  <w:tcW w:w="988" w:type="dxa"/>
                  <w:vMerge w:val="continue"/>
                  <w:vAlign w:val="center"/>
                </w:tcPr>
                <w:p>
                  <w:pPr>
                    <w:jc w:val="center"/>
                    <w:rPr>
                      <w:rFonts w:ascii="Times New Roman" w:hAnsi="Times New Roman" w:eastAsia="宋体" w:cs="Times New Roman"/>
                      <w:color w:val="auto"/>
                      <w:sz w:val="18"/>
                      <w:szCs w:val="18"/>
                      <w:highlight w:val="none"/>
                    </w:rPr>
                  </w:pPr>
                </w:p>
              </w:tc>
              <w:tc>
                <w:tcPr>
                  <w:tcW w:w="382" w:type="dxa"/>
                  <w:vAlign w:val="center"/>
                </w:tcPr>
                <w:p>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第二次</w:t>
                  </w:r>
                </w:p>
              </w:tc>
              <w:tc>
                <w:tcPr>
                  <w:tcW w:w="877"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4</w:t>
                  </w:r>
                  <w:r>
                    <w:rPr>
                      <w:rFonts w:ascii="Times New Roman" w:hAnsi="Times New Roman" w:eastAsia="宋体" w:cs="Times New Roman"/>
                      <w:color w:val="auto"/>
                      <w:sz w:val="18"/>
                      <w:szCs w:val="18"/>
                      <w:highlight w:val="none"/>
                    </w:rPr>
                    <w:t>944</w:t>
                  </w:r>
                </w:p>
              </w:tc>
              <w:tc>
                <w:tcPr>
                  <w:tcW w:w="1006"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4</w:t>
                  </w:r>
                  <w:r>
                    <w:rPr>
                      <w:rFonts w:ascii="Times New Roman" w:hAnsi="Times New Roman" w:eastAsia="宋体" w:cs="Times New Roman"/>
                      <w:color w:val="auto"/>
                      <w:sz w:val="18"/>
                      <w:szCs w:val="18"/>
                      <w:highlight w:val="none"/>
                    </w:rPr>
                    <w:t>6.6</w:t>
                  </w:r>
                </w:p>
              </w:tc>
              <w:tc>
                <w:tcPr>
                  <w:tcW w:w="861"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0</w:t>
                  </w:r>
                  <w:r>
                    <w:rPr>
                      <w:rFonts w:ascii="Times New Roman" w:hAnsi="Times New Roman" w:eastAsia="宋体" w:cs="Times New Roman"/>
                      <w:color w:val="auto"/>
                      <w:sz w:val="18"/>
                      <w:szCs w:val="18"/>
                      <w:highlight w:val="none"/>
                    </w:rPr>
                    <w:t>.23</w:t>
                  </w:r>
                </w:p>
              </w:tc>
              <w:tc>
                <w:tcPr>
                  <w:tcW w:w="1006"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0</w:t>
                  </w:r>
                  <w:r>
                    <w:rPr>
                      <w:rFonts w:ascii="Times New Roman" w:hAnsi="Times New Roman" w:eastAsia="宋体" w:cs="Times New Roman"/>
                      <w:color w:val="auto"/>
                      <w:sz w:val="18"/>
                      <w:szCs w:val="18"/>
                      <w:highlight w:val="none"/>
                    </w:rPr>
                    <w:t>.02</w:t>
                  </w:r>
                </w:p>
              </w:tc>
              <w:tc>
                <w:tcPr>
                  <w:tcW w:w="926"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9</w:t>
                  </w:r>
                  <w:r>
                    <w:rPr>
                      <w:rFonts w:ascii="Times New Roman" w:hAnsi="Times New Roman" w:eastAsia="宋体" w:cs="Times New Roman"/>
                      <w:color w:val="auto"/>
                      <w:sz w:val="18"/>
                      <w:szCs w:val="18"/>
                      <w:highlight w:val="none"/>
                    </w:rPr>
                    <w:t>.89</w:t>
                  </w:r>
                  <w:r>
                    <w:rPr>
                      <w:rFonts w:cs="Times New Roman" w:asciiTheme="minorEastAsia" w:hAnsiTheme="minorEastAsia"/>
                      <w:color w:val="auto"/>
                      <w:sz w:val="18"/>
                      <w:szCs w:val="18"/>
                      <w:highlight w:val="none"/>
                    </w:rPr>
                    <w:t>ⅹ</w:t>
                  </w:r>
                  <w:r>
                    <w:rPr>
                      <w:rFonts w:ascii="Times New Roman" w:hAnsi="Times New Roman" w:eastAsia="宋体" w:cs="Times New Roman"/>
                      <w:color w:val="auto"/>
                      <w:sz w:val="18"/>
                      <w:szCs w:val="18"/>
                      <w:highlight w:val="none"/>
                    </w:rPr>
                    <w:t>10</w:t>
                  </w:r>
                  <w:r>
                    <w:rPr>
                      <w:rFonts w:ascii="Times New Roman" w:hAnsi="Times New Roman" w:eastAsia="宋体" w:cs="Times New Roman"/>
                      <w:color w:val="auto"/>
                      <w:sz w:val="18"/>
                      <w:szCs w:val="18"/>
                      <w:highlight w:val="none"/>
                      <w:vertAlign w:val="superscript"/>
                    </w:rPr>
                    <w:t>-5</w:t>
                  </w:r>
                </w:p>
              </w:tc>
              <w:tc>
                <w:tcPr>
                  <w:tcW w:w="1006"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3</w:t>
                  </w:r>
                  <w:r>
                    <w:rPr>
                      <w:rFonts w:ascii="Times New Roman" w:hAnsi="Times New Roman" w:eastAsia="宋体" w:cs="Times New Roman"/>
                      <w:color w:val="auto"/>
                      <w:sz w:val="18"/>
                      <w:szCs w:val="18"/>
                      <w:highlight w:val="none"/>
                    </w:rPr>
                    <w:t>0.4</w:t>
                  </w:r>
                </w:p>
              </w:tc>
              <w:tc>
                <w:tcPr>
                  <w:tcW w:w="862"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0</w:t>
                  </w:r>
                  <w:r>
                    <w:rPr>
                      <w:rFonts w:ascii="Times New Roman" w:hAnsi="Times New Roman" w:eastAsia="宋体" w:cs="Times New Roman"/>
                      <w:color w:val="auto"/>
                      <w:sz w:val="18"/>
                      <w:szCs w:val="18"/>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82" w:type="dxa"/>
                  <w:vMerge w:val="continue"/>
                  <w:vAlign w:val="center"/>
                </w:tcPr>
                <w:p>
                  <w:pPr>
                    <w:jc w:val="center"/>
                    <w:rPr>
                      <w:rFonts w:ascii="Times New Roman" w:hAnsi="Times New Roman" w:eastAsia="宋体" w:cs="Times New Roman"/>
                      <w:color w:val="auto"/>
                      <w:sz w:val="18"/>
                      <w:szCs w:val="18"/>
                      <w:highlight w:val="none"/>
                    </w:rPr>
                  </w:pPr>
                </w:p>
              </w:tc>
              <w:tc>
                <w:tcPr>
                  <w:tcW w:w="988" w:type="dxa"/>
                  <w:vMerge w:val="continue"/>
                  <w:vAlign w:val="center"/>
                </w:tcPr>
                <w:p>
                  <w:pPr>
                    <w:jc w:val="center"/>
                    <w:rPr>
                      <w:rFonts w:ascii="Times New Roman" w:hAnsi="Times New Roman" w:eastAsia="宋体" w:cs="Times New Roman"/>
                      <w:color w:val="auto"/>
                      <w:sz w:val="18"/>
                      <w:szCs w:val="18"/>
                      <w:highlight w:val="none"/>
                    </w:rPr>
                  </w:pPr>
                </w:p>
              </w:tc>
              <w:tc>
                <w:tcPr>
                  <w:tcW w:w="382" w:type="dxa"/>
                  <w:vAlign w:val="center"/>
                </w:tcPr>
                <w:p>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第三次</w:t>
                  </w:r>
                </w:p>
              </w:tc>
              <w:tc>
                <w:tcPr>
                  <w:tcW w:w="877"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4</w:t>
                  </w:r>
                  <w:r>
                    <w:rPr>
                      <w:rFonts w:ascii="Times New Roman" w:hAnsi="Times New Roman" w:eastAsia="宋体" w:cs="Times New Roman"/>
                      <w:color w:val="auto"/>
                      <w:sz w:val="18"/>
                      <w:szCs w:val="18"/>
                      <w:highlight w:val="none"/>
                    </w:rPr>
                    <w:t>990</w:t>
                  </w:r>
                </w:p>
              </w:tc>
              <w:tc>
                <w:tcPr>
                  <w:tcW w:w="1006"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5</w:t>
                  </w:r>
                  <w:r>
                    <w:rPr>
                      <w:rFonts w:ascii="Times New Roman" w:hAnsi="Times New Roman" w:eastAsia="宋体" w:cs="Times New Roman"/>
                      <w:color w:val="auto"/>
                      <w:sz w:val="18"/>
                      <w:szCs w:val="18"/>
                      <w:highlight w:val="none"/>
                    </w:rPr>
                    <w:t>3.6</w:t>
                  </w:r>
                </w:p>
              </w:tc>
              <w:tc>
                <w:tcPr>
                  <w:tcW w:w="861"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0</w:t>
                  </w:r>
                  <w:r>
                    <w:rPr>
                      <w:rFonts w:ascii="Times New Roman" w:hAnsi="Times New Roman" w:eastAsia="宋体" w:cs="Times New Roman"/>
                      <w:color w:val="auto"/>
                      <w:sz w:val="18"/>
                      <w:szCs w:val="18"/>
                      <w:highlight w:val="none"/>
                    </w:rPr>
                    <w:t>.27</w:t>
                  </w:r>
                </w:p>
              </w:tc>
              <w:tc>
                <w:tcPr>
                  <w:tcW w:w="1006"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0</w:t>
                  </w:r>
                  <w:r>
                    <w:rPr>
                      <w:rFonts w:ascii="Times New Roman" w:hAnsi="Times New Roman" w:eastAsia="宋体" w:cs="Times New Roman"/>
                      <w:color w:val="auto"/>
                      <w:sz w:val="18"/>
                      <w:szCs w:val="18"/>
                      <w:highlight w:val="none"/>
                    </w:rPr>
                    <w:t>.06</w:t>
                  </w:r>
                </w:p>
              </w:tc>
              <w:tc>
                <w:tcPr>
                  <w:tcW w:w="926"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2</w:t>
                  </w:r>
                  <w:r>
                    <w:rPr>
                      <w:rFonts w:ascii="Times New Roman" w:hAnsi="Times New Roman" w:eastAsia="宋体" w:cs="Times New Roman"/>
                      <w:color w:val="auto"/>
                      <w:sz w:val="18"/>
                      <w:szCs w:val="18"/>
                      <w:highlight w:val="none"/>
                    </w:rPr>
                    <w:t>.99</w:t>
                  </w:r>
                  <w:r>
                    <w:rPr>
                      <w:rFonts w:cs="Times New Roman" w:asciiTheme="minorEastAsia" w:hAnsiTheme="minorEastAsia"/>
                      <w:color w:val="auto"/>
                      <w:sz w:val="18"/>
                      <w:szCs w:val="18"/>
                      <w:highlight w:val="none"/>
                    </w:rPr>
                    <w:t>ⅹ</w:t>
                  </w:r>
                  <w:r>
                    <w:rPr>
                      <w:rFonts w:ascii="Times New Roman" w:hAnsi="Times New Roman" w:eastAsia="宋体" w:cs="Times New Roman"/>
                      <w:color w:val="auto"/>
                      <w:sz w:val="18"/>
                      <w:szCs w:val="18"/>
                      <w:highlight w:val="none"/>
                    </w:rPr>
                    <w:t>10</w:t>
                  </w:r>
                  <w:r>
                    <w:rPr>
                      <w:rFonts w:ascii="Times New Roman" w:hAnsi="Times New Roman" w:eastAsia="宋体" w:cs="Times New Roman"/>
                      <w:color w:val="auto"/>
                      <w:sz w:val="18"/>
                      <w:szCs w:val="18"/>
                      <w:highlight w:val="none"/>
                      <w:vertAlign w:val="superscript"/>
                    </w:rPr>
                    <w:t>-4</w:t>
                  </w:r>
                </w:p>
              </w:tc>
              <w:tc>
                <w:tcPr>
                  <w:tcW w:w="1006"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3</w:t>
                  </w:r>
                  <w:r>
                    <w:rPr>
                      <w:rFonts w:ascii="Times New Roman" w:hAnsi="Times New Roman" w:eastAsia="宋体" w:cs="Times New Roman"/>
                      <w:color w:val="auto"/>
                      <w:sz w:val="18"/>
                      <w:szCs w:val="18"/>
                      <w:highlight w:val="none"/>
                    </w:rPr>
                    <w:t>1.2</w:t>
                  </w:r>
                </w:p>
              </w:tc>
              <w:tc>
                <w:tcPr>
                  <w:tcW w:w="862"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0</w:t>
                  </w:r>
                  <w:r>
                    <w:rPr>
                      <w:rFonts w:ascii="Times New Roman" w:hAnsi="Times New Roman" w:eastAsia="宋体" w:cs="Times New Roman"/>
                      <w:color w:val="auto"/>
                      <w:sz w:val="18"/>
                      <w:szCs w:val="18"/>
                      <w:highlight w:val="none"/>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82" w:type="dxa"/>
                  <w:vMerge w:val="continue"/>
                  <w:vAlign w:val="center"/>
                </w:tcPr>
                <w:p>
                  <w:pPr>
                    <w:jc w:val="center"/>
                    <w:rPr>
                      <w:rFonts w:ascii="Times New Roman" w:hAnsi="Times New Roman" w:eastAsia="宋体" w:cs="Times New Roman"/>
                      <w:color w:val="auto"/>
                      <w:sz w:val="18"/>
                      <w:szCs w:val="18"/>
                      <w:highlight w:val="none"/>
                    </w:rPr>
                  </w:pPr>
                </w:p>
              </w:tc>
              <w:tc>
                <w:tcPr>
                  <w:tcW w:w="988" w:type="dxa"/>
                  <w:vMerge w:val="restart"/>
                  <w:vAlign w:val="center"/>
                </w:tcPr>
                <w:p>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2018-06-26</w:t>
                  </w:r>
                </w:p>
              </w:tc>
              <w:tc>
                <w:tcPr>
                  <w:tcW w:w="382" w:type="dxa"/>
                  <w:vAlign w:val="center"/>
                </w:tcPr>
                <w:p>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第一次</w:t>
                  </w:r>
                </w:p>
              </w:tc>
              <w:tc>
                <w:tcPr>
                  <w:tcW w:w="877"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5</w:t>
                  </w:r>
                  <w:r>
                    <w:rPr>
                      <w:rFonts w:ascii="Times New Roman" w:hAnsi="Times New Roman" w:eastAsia="宋体" w:cs="Times New Roman"/>
                      <w:color w:val="auto"/>
                      <w:sz w:val="18"/>
                      <w:szCs w:val="18"/>
                      <w:highlight w:val="none"/>
                    </w:rPr>
                    <w:t>107</w:t>
                  </w:r>
                </w:p>
              </w:tc>
              <w:tc>
                <w:tcPr>
                  <w:tcW w:w="1006"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4</w:t>
                  </w:r>
                  <w:r>
                    <w:rPr>
                      <w:rFonts w:ascii="Times New Roman" w:hAnsi="Times New Roman" w:eastAsia="宋体" w:cs="Times New Roman"/>
                      <w:color w:val="auto"/>
                      <w:sz w:val="18"/>
                      <w:szCs w:val="18"/>
                      <w:highlight w:val="none"/>
                    </w:rPr>
                    <w:t>3.7</w:t>
                  </w:r>
                </w:p>
              </w:tc>
              <w:tc>
                <w:tcPr>
                  <w:tcW w:w="861"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0</w:t>
                  </w:r>
                  <w:r>
                    <w:rPr>
                      <w:rFonts w:ascii="Times New Roman" w:hAnsi="Times New Roman" w:eastAsia="宋体" w:cs="Times New Roman"/>
                      <w:color w:val="auto"/>
                      <w:sz w:val="18"/>
                      <w:szCs w:val="18"/>
                      <w:highlight w:val="none"/>
                    </w:rPr>
                    <w:t>.22</w:t>
                  </w:r>
                </w:p>
              </w:tc>
              <w:tc>
                <w:tcPr>
                  <w:tcW w:w="1006"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0</w:t>
                  </w:r>
                  <w:r>
                    <w:rPr>
                      <w:rFonts w:ascii="Times New Roman" w:hAnsi="Times New Roman" w:eastAsia="宋体" w:cs="Times New Roman"/>
                      <w:color w:val="auto"/>
                      <w:sz w:val="18"/>
                      <w:szCs w:val="18"/>
                      <w:highlight w:val="none"/>
                    </w:rPr>
                    <w:t>.05</w:t>
                  </w:r>
                </w:p>
              </w:tc>
              <w:tc>
                <w:tcPr>
                  <w:tcW w:w="926"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2</w:t>
                  </w:r>
                  <w:r>
                    <w:rPr>
                      <w:rFonts w:ascii="Times New Roman" w:hAnsi="Times New Roman" w:eastAsia="宋体" w:cs="Times New Roman"/>
                      <w:color w:val="auto"/>
                      <w:sz w:val="18"/>
                      <w:szCs w:val="18"/>
                      <w:highlight w:val="none"/>
                    </w:rPr>
                    <w:t>.55</w:t>
                  </w:r>
                  <w:r>
                    <w:rPr>
                      <w:rFonts w:cs="Times New Roman" w:asciiTheme="minorEastAsia" w:hAnsiTheme="minorEastAsia"/>
                      <w:color w:val="auto"/>
                      <w:sz w:val="18"/>
                      <w:szCs w:val="18"/>
                      <w:highlight w:val="none"/>
                    </w:rPr>
                    <w:t>ⅹ</w:t>
                  </w:r>
                  <w:r>
                    <w:rPr>
                      <w:rFonts w:ascii="Times New Roman" w:hAnsi="Times New Roman" w:eastAsia="宋体" w:cs="Times New Roman"/>
                      <w:color w:val="auto"/>
                      <w:sz w:val="18"/>
                      <w:szCs w:val="18"/>
                      <w:highlight w:val="none"/>
                    </w:rPr>
                    <w:t>10</w:t>
                  </w:r>
                  <w:r>
                    <w:rPr>
                      <w:rFonts w:ascii="Times New Roman" w:hAnsi="Times New Roman" w:eastAsia="宋体" w:cs="Times New Roman"/>
                      <w:color w:val="auto"/>
                      <w:sz w:val="18"/>
                      <w:szCs w:val="18"/>
                      <w:highlight w:val="none"/>
                      <w:vertAlign w:val="superscript"/>
                    </w:rPr>
                    <w:t>-4</w:t>
                  </w:r>
                </w:p>
              </w:tc>
              <w:tc>
                <w:tcPr>
                  <w:tcW w:w="1006"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2</w:t>
                  </w:r>
                  <w:r>
                    <w:rPr>
                      <w:rFonts w:ascii="Times New Roman" w:hAnsi="Times New Roman" w:eastAsia="宋体" w:cs="Times New Roman"/>
                      <w:color w:val="auto"/>
                      <w:sz w:val="18"/>
                      <w:szCs w:val="18"/>
                      <w:highlight w:val="none"/>
                    </w:rPr>
                    <w:t>8.3</w:t>
                  </w:r>
                </w:p>
              </w:tc>
              <w:tc>
                <w:tcPr>
                  <w:tcW w:w="862"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0</w:t>
                  </w:r>
                  <w:r>
                    <w:rPr>
                      <w:rFonts w:ascii="Times New Roman" w:hAnsi="Times New Roman" w:eastAsia="宋体" w:cs="Times New Roman"/>
                      <w:color w:val="auto"/>
                      <w:sz w:val="18"/>
                      <w:szCs w:val="18"/>
                      <w:highlight w:val="none"/>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82" w:type="dxa"/>
                  <w:vMerge w:val="continue"/>
                  <w:vAlign w:val="center"/>
                </w:tcPr>
                <w:p>
                  <w:pPr>
                    <w:jc w:val="center"/>
                    <w:rPr>
                      <w:rFonts w:ascii="Times New Roman" w:hAnsi="Times New Roman" w:eastAsia="宋体" w:cs="Times New Roman"/>
                      <w:color w:val="auto"/>
                      <w:sz w:val="18"/>
                      <w:szCs w:val="18"/>
                      <w:highlight w:val="none"/>
                    </w:rPr>
                  </w:pPr>
                </w:p>
              </w:tc>
              <w:tc>
                <w:tcPr>
                  <w:tcW w:w="988" w:type="dxa"/>
                  <w:vMerge w:val="continue"/>
                  <w:vAlign w:val="center"/>
                </w:tcPr>
                <w:p>
                  <w:pPr>
                    <w:jc w:val="center"/>
                    <w:rPr>
                      <w:rFonts w:ascii="Times New Roman" w:hAnsi="Times New Roman" w:eastAsia="宋体" w:cs="Times New Roman"/>
                      <w:color w:val="auto"/>
                      <w:sz w:val="18"/>
                      <w:szCs w:val="18"/>
                      <w:highlight w:val="none"/>
                    </w:rPr>
                  </w:pPr>
                </w:p>
              </w:tc>
              <w:tc>
                <w:tcPr>
                  <w:tcW w:w="382" w:type="dxa"/>
                  <w:vAlign w:val="center"/>
                </w:tcPr>
                <w:p>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第二次</w:t>
                  </w:r>
                </w:p>
              </w:tc>
              <w:tc>
                <w:tcPr>
                  <w:tcW w:w="877"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4</w:t>
                  </w:r>
                  <w:r>
                    <w:rPr>
                      <w:rFonts w:ascii="Times New Roman" w:hAnsi="Times New Roman" w:eastAsia="宋体" w:cs="Times New Roman"/>
                      <w:color w:val="auto"/>
                      <w:sz w:val="18"/>
                      <w:szCs w:val="18"/>
                      <w:highlight w:val="none"/>
                    </w:rPr>
                    <w:t>885</w:t>
                  </w:r>
                </w:p>
              </w:tc>
              <w:tc>
                <w:tcPr>
                  <w:tcW w:w="1006"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5</w:t>
                  </w:r>
                  <w:r>
                    <w:rPr>
                      <w:rFonts w:ascii="Times New Roman" w:hAnsi="Times New Roman" w:eastAsia="宋体" w:cs="Times New Roman"/>
                      <w:color w:val="auto"/>
                      <w:sz w:val="18"/>
                      <w:szCs w:val="18"/>
                      <w:highlight w:val="none"/>
                    </w:rPr>
                    <w:t>3.7</w:t>
                  </w:r>
                </w:p>
              </w:tc>
              <w:tc>
                <w:tcPr>
                  <w:tcW w:w="861"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0</w:t>
                  </w:r>
                  <w:r>
                    <w:rPr>
                      <w:rFonts w:ascii="Times New Roman" w:hAnsi="Times New Roman" w:eastAsia="宋体" w:cs="Times New Roman"/>
                      <w:color w:val="auto"/>
                      <w:sz w:val="18"/>
                      <w:szCs w:val="18"/>
                      <w:highlight w:val="none"/>
                    </w:rPr>
                    <w:t>.26</w:t>
                  </w:r>
                </w:p>
              </w:tc>
              <w:tc>
                <w:tcPr>
                  <w:tcW w:w="1006"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0</w:t>
                  </w:r>
                  <w:r>
                    <w:rPr>
                      <w:rFonts w:ascii="Times New Roman" w:hAnsi="Times New Roman" w:eastAsia="宋体" w:cs="Times New Roman"/>
                      <w:color w:val="auto"/>
                      <w:sz w:val="18"/>
                      <w:szCs w:val="18"/>
                      <w:highlight w:val="none"/>
                    </w:rPr>
                    <w:t>.02</w:t>
                  </w:r>
                </w:p>
              </w:tc>
              <w:tc>
                <w:tcPr>
                  <w:tcW w:w="926"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9</w:t>
                  </w:r>
                  <w:r>
                    <w:rPr>
                      <w:rFonts w:ascii="Times New Roman" w:hAnsi="Times New Roman" w:eastAsia="宋体" w:cs="Times New Roman"/>
                      <w:color w:val="auto"/>
                      <w:sz w:val="18"/>
                      <w:szCs w:val="18"/>
                      <w:highlight w:val="none"/>
                    </w:rPr>
                    <w:t>.77</w:t>
                  </w:r>
                  <w:r>
                    <w:rPr>
                      <w:rFonts w:cs="Times New Roman" w:asciiTheme="minorEastAsia" w:hAnsiTheme="minorEastAsia"/>
                      <w:color w:val="auto"/>
                      <w:sz w:val="18"/>
                      <w:szCs w:val="18"/>
                      <w:highlight w:val="none"/>
                    </w:rPr>
                    <w:t>ⅹ</w:t>
                  </w:r>
                  <w:r>
                    <w:rPr>
                      <w:rFonts w:ascii="Times New Roman" w:hAnsi="Times New Roman" w:eastAsia="宋体" w:cs="Times New Roman"/>
                      <w:color w:val="auto"/>
                      <w:sz w:val="18"/>
                      <w:szCs w:val="18"/>
                      <w:highlight w:val="none"/>
                    </w:rPr>
                    <w:t>10</w:t>
                  </w:r>
                  <w:r>
                    <w:rPr>
                      <w:rFonts w:ascii="Times New Roman" w:hAnsi="Times New Roman" w:eastAsia="宋体" w:cs="Times New Roman"/>
                      <w:color w:val="auto"/>
                      <w:sz w:val="18"/>
                      <w:szCs w:val="18"/>
                      <w:highlight w:val="none"/>
                      <w:vertAlign w:val="superscript"/>
                    </w:rPr>
                    <w:t>-5</w:t>
                  </w:r>
                </w:p>
              </w:tc>
              <w:tc>
                <w:tcPr>
                  <w:tcW w:w="1006"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3</w:t>
                  </w:r>
                  <w:r>
                    <w:rPr>
                      <w:rFonts w:ascii="Times New Roman" w:hAnsi="Times New Roman" w:eastAsia="宋体" w:cs="Times New Roman"/>
                      <w:color w:val="auto"/>
                      <w:sz w:val="18"/>
                      <w:szCs w:val="18"/>
                      <w:highlight w:val="none"/>
                    </w:rPr>
                    <w:t>2.6</w:t>
                  </w:r>
                </w:p>
              </w:tc>
              <w:tc>
                <w:tcPr>
                  <w:tcW w:w="862"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0</w:t>
                  </w:r>
                  <w:r>
                    <w:rPr>
                      <w:rFonts w:ascii="Times New Roman" w:hAnsi="Times New Roman" w:eastAsia="宋体" w:cs="Times New Roman"/>
                      <w:color w:val="auto"/>
                      <w:sz w:val="18"/>
                      <w:szCs w:val="18"/>
                      <w:highlight w:val="none"/>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82" w:type="dxa"/>
                  <w:vMerge w:val="continue"/>
                  <w:vAlign w:val="center"/>
                </w:tcPr>
                <w:p>
                  <w:pPr>
                    <w:jc w:val="center"/>
                    <w:rPr>
                      <w:rFonts w:ascii="Times New Roman" w:hAnsi="Times New Roman" w:eastAsia="宋体" w:cs="Times New Roman"/>
                      <w:color w:val="auto"/>
                      <w:sz w:val="18"/>
                      <w:szCs w:val="18"/>
                      <w:highlight w:val="none"/>
                    </w:rPr>
                  </w:pPr>
                </w:p>
              </w:tc>
              <w:tc>
                <w:tcPr>
                  <w:tcW w:w="988" w:type="dxa"/>
                  <w:vMerge w:val="continue"/>
                  <w:vAlign w:val="center"/>
                </w:tcPr>
                <w:p>
                  <w:pPr>
                    <w:jc w:val="center"/>
                    <w:rPr>
                      <w:rFonts w:ascii="Times New Roman" w:hAnsi="Times New Roman" w:eastAsia="宋体" w:cs="Times New Roman"/>
                      <w:color w:val="auto"/>
                      <w:sz w:val="18"/>
                      <w:szCs w:val="18"/>
                      <w:highlight w:val="none"/>
                    </w:rPr>
                  </w:pPr>
                </w:p>
              </w:tc>
              <w:tc>
                <w:tcPr>
                  <w:tcW w:w="382" w:type="dxa"/>
                  <w:vAlign w:val="center"/>
                </w:tcPr>
                <w:p>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第三次</w:t>
                  </w:r>
                </w:p>
              </w:tc>
              <w:tc>
                <w:tcPr>
                  <w:tcW w:w="877"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4</w:t>
                  </w:r>
                  <w:r>
                    <w:rPr>
                      <w:rFonts w:ascii="Times New Roman" w:hAnsi="Times New Roman" w:eastAsia="宋体" w:cs="Times New Roman"/>
                      <w:color w:val="auto"/>
                      <w:sz w:val="18"/>
                      <w:szCs w:val="18"/>
                      <w:highlight w:val="none"/>
                    </w:rPr>
                    <w:t>995</w:t>
                  </w:r>
                </w:p>
              </w:tc>
              <w:tc>
                <w:tcPr>
                  <w:tcW w:w="1006"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5</w:t>
                  </w:r>
                  <w:r>
                    <w:rPr>
                      <w:rFonts w:ascii="Times New Roman" w:hAnsi="Times New Roman" w:eastAsia="宋体" w:cs="Times New Roman"/>
                      <w:color w:val="auto"/>
                      <w:sz w:val="18"/>
                      <w:szCs w:val="18"/>
                      <w:highlight w:val="none"/>
                    </w:rPr>
                    <w:t>2.4</w:t>
                  </w:r>
                </w:p>
              </w:tc>
              <w:tc>
                <w:tcPr>
                  <w:tcW w:w="861"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0</w:t>
                  </w:r>
                  <w:r>
                    <w:rPr>
                      <w:rFonts w:ascii="Times New Roman" w:hAnsi="Times New Roman" w:eastAsia="宋体" w:cs="Times New Roman"/>
                      <w:color w:val="auto"/>
                      <w:sz w:val="18"/>
                      <w:szCs w:val="18"/>
                      <w:highlight w:val="none"/>
                    </w:rPr>
                    <w:t>.26</w:t>
                  </w:r>
                </w:p>
              </w:tc>
              <w:tc>
                <w:tcPr>
                  <w:tcW w:w="1006" w:type="dxa"/>
                  <w:vAlign w:val="center"/>
                </w:tcPr>
                <w:p>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&lt;</w:t>
                  </w:r>
                  <w:r>
                    <w:rPr>
                      <w:rFonts w:hint="eastAsia" w:ascii="Times New Roman" w:hAnsi="Times New Roman" w:eastAsia="宋体" w:cs="Times New Roman"/>
                      <w:color w:val="auto"/>
                      <w:sz w:val="18"/>
                      <w:szCs w:val="18"/>
                      <w:highlight w:val="none"/>
                    </w:rPr>
                    <w:t>0</w:t>
                  </w:r>
                  <w:r>
                    <w:rPr>
                      <w:rFonts w:ascii="Times New Roman" w:hAnsi="Times New Roman" w:eastAsia="宋体" w:cs="Times New Roman"/>
                      <w:color w:val="auto"/>
                      <w:sz w:val="18"/>
                      <w:szCs w:val="18"/>
                      <w:highlight w:val="none"/>
                    </w:rPr>
                    <w:t>.01</w:t>
                  </w:r>
                </w:p>
              </w:tc>
              <w:tc>
                <w:tcPr>
                  <w:tcW w:w="926"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2</w:t>
                  </w:r>
                  <w:r>
                    <w:rPr>
                      <w:rFonts w:ascii="Times New Roman" w:hAnsi="Times New Roman" w:eastAsia="宋体" w:cs="Times New Roman"/>
                      <w:color w:val="auto"/>
                      <w:sz w:val="18"/>
                      <w:szCs w:val="18"/>
                      <w:highlight w:val="none"/>
                    </w:rPr>
                    <w:t>.50</w:t>
                  </w:r>
                  <w:r>
                    <w:rPr>
                      <w:rFonts w:cs="Times New Roman" w:asciiTheme="minorEastAsia" w:hAnsiTheme="minorEastAsia"/>
                      <w:color w:val="auto"/>
                      <w:sz w:val="18"/>
                      <w:szCs w:val="18"/>
                      <w:highlight w:val="none"/>
                    </w:rPr>
                    <w:t>ⅹ</w:t>
                  </w:r>
                  <w:r>
                    <w:rPr>
                      <w:rFonts w:ascii="Times New Roman" w:hAnsi="Times New Roman" w:eastAsia="宋体" w:cs="Times New Roman"/>
                      <w:color w:val="auto"/>
                      <w:sz w:val="18"/>
                      <w:szCs w:val="18"/>
                      <w:highlight w:val="none"/>
                    </w:rPr>
                    <w:t>10</w:t>
                  </w:r>
                  <w:r>
                    <w:rPr>
                      <w:rFonts w:ascii="Times New Roman" w:hAnsi="Times New Roman" w:eastAsia="宋体" w:cs="Times New Roman"/>
                      <w:color w:val="auto"/>
                      <w:sz w:val="18"/>
                      <w:szCs w:val="18"/>
                      <w:highlight w:val="none"/>
                      <w:vertAlign w:val="superscript"/>
                    </w:rPr>
                    <w:t>-4</w:t>
                  </w:r>
                </w:p>
              </w:tc>
              <w:tc>
                <w:tcPr>
                  <w:tcW w:w="1006"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2</w:t>
                  </w:r>
                  <w:r>
                    <w:rPr>
                      <w:rFonts w:ascii="Times New Roman" w:hAnsi="Times New Roman" w:eastAsia="宋体" w:cs="Times New Roman"/>
                      <w:color w:val="auto"/>
                      <w:sz w:val="18"/>
                      <w:szCs w:val="18"/>
                      <w:highlight w:val="none"/>
                    </w:rPr>
                    <w:t>4.9</w:t>
                  </w:r>
                </w:p>
              </w:tc>
              <w:tc>
                <w:tcPr>
                  <w:tcW w:w="862"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0</w:t>
                  </w:r>
                  <w:r>
                    <w:rPr>
                      <w:rFonts w:ascii="Times New Roman" w:hAnsi="Times New Roman" w:eastAsia="宋体" w:cs="Times New Roman"/>
                      <w:color w:val="auto"/>
                      <w:sz w:val="18"/>
                      <w:szCs w:val="18"/>
                      <w:highlight w:val="none"/>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29" w:type="dxa"/>
                  <w:gridSpan w:val="4"/>
                  <w:vAlign w:val="center"/>
                </w:tcPr>
                <w:p>
                  <w:pPr>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最大值</w:t>
                  </w:r>
                </w:p>
              </w:tc>
              <w:tc>
                <w:tcPr>
                  <w:tcW w:w="1006" w:type="dxa"/>
                  <w:vAlign w:val="center"/>
                </w:tcPr>
                <w:p>
                  <w:pPr>
                    <w:jc w:val="center"/>
                    <w:rPr>
                      <w:rFonts w:ascii="Times New Roman" w:hAnsi="Times New Roman" w:eastAsia="宋体" w:cs="Times New Roman"/>
                      <w:b/>
                      <w:bCs/>
                      <w:color w:val="auto"/>
                      <w:sz w:val="18"/>
                      <w:szCs w:val="18"/>
                      <w:highlight w:val="none"/>
                    </w:rPr>
                  </w:pPr>
                  <w:r>
                    <w:rPr>
                      <w:rFonts w:hint="eastAsia" w:ascii="Times New Roman" w:hAnsi="Times New Roman" w:eastAsia="宋体" w:cs="Times New Roman"/>
                      <w:b/>
                      <w:bCs/>
                      <w:color w:val="auto"/>
                      <w:sz w:val="18"/>
                      <w:szCs w:val="18"/>
                      <w:highlight w:val="none"/>
                    </w:rPr>
                    <w:t>5</w:t>
                  </w:r>
                  <w:r>
                    <w:rPr>
                      <w:rFonts w:ascii="Times New Roman" w:hAnsi="Times New Roman" w:eastAsia="宋体" w:cs="Times New Roman"/>
                      <w:b/>
                      <w:bCs/>
                      <w:color w:val="auto"/>
                      <w:sz w:val="18"/>
                      <w:szCs w:val="18"/>
                      <w:highlight w:val="none"/>
                    </w:rPr>
                    <w:t>3.7</w:t>
                  </w:r>
                </w:p>
              </w:tc>
              <w:tc>
                <w:tcPr>
                  <w:tcW w:w="861" w:type="dxa"/>
                  <w:vAlign w:val="center"/>
                </w:tcPr>
                <w:p>
                  <w:pPr>
                    <w:jc w:val="center"/>
                    <w:rPr>
                      <w:rFonts w:ascii="Times New Roman" w:hAnsi="Times New Roman" w:eastAsia="宋体" w:cs="Times New Roman"/>
                      <w:b/>
                      <w:bCs/>
                      <w:color w:val="auto"/>
                      <w:sz w:val="18"/>
                      <w:szCs w:val="18"/>
                      <w:highlight w:val="none"/>
                    </w:rPr>
                  </w:pPr>
                  <w:r>
                    <w:rPr>
                      <w:rFonts w:hint="eastAsia" w:ascii="Times New Roman" w:hAnsi="Times New Roman" w:eastAsia="宋体" w:cs="Times New Roman"/>
                      <w:b/>
                      <w:bCs/>
                      <w:color w:val="auto"/>
                      <w:sz w:val="18"/>
                      <w:szCs w:val="18"/>
                      <w:highlight w:val="none"/>
                    </w:rPr>
                    <w:t>0</w:t>
                  </w:r>
                  <w:r>
                    <w:rPr>
                      <w:rFonts w:ascii="Times New Roman" w:hAnsi="Times New Roman" w:eastAsia="宋体" w:cs="Times New Roman"/>
                      <w:b/>
                      <w:bCs/>
                      <w:color w:val="auto"/>
                      <w:sz w:val="18"/>
                      <w:szCs w:val="18"/>
                      <w:highlight w:val="none"/>
                    </w:rPr>
                    <w:t>.27</w:t>
                  </w:r>
                </w:p>
              </w:tc>
              <w:tc>
                <w:tcPr>
                  <w:tcW w:w="1006" w:type="dxa"/>
                  <w:vAlign w:val="center"/>
                </w:tcPr>
                <w:p>
                  <w:pPr>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0.06</w:t>
                  </w:r>
                </w:p>
              </w:tc>
              <w:tc>
                <w:tcPr>
                  <w:tcW w:w="926" w:type="dxa"/>
                  <w:vAlign w:val="center"/>
                </w:tcPr>
                <w:p>
                  <w:pPr>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3.10</w:t>
                  </w:r>
                  <w:r>
                    <w:rPr>
                      <w:rFonts w:cs="Times New Roman" w:asciiTheme="minorEastAsia" w:hAnsiTheme="minorEastAsia"/>
                      <w:b/>
                      <w:bCs/>
                      <w:color w:val="auto"/>
                      <w:sz w:val="18"/>
                      <w:szCs w:val="18"/>
                      <w:highlight w:val="none"/>
                    </w:rPr>
                    <w:t>ⅹ</w:t>
                  </w:r>
                  <w:r>
                    <w:rPr>
                      <w:rFonts w:ascii="Times New Roman" w:hAnsi="Times New Roman" w:eastAsia="宋体" w:cs="Times New Roman"/>
                      <w:b/>
                      <w:bCs/>
                      <w:color w:val="auto"/>
                      <w:sz w:val="18"/>
                      <w:szCs w:val="18"/>
                      <w:highlight w:val="none"/>
                    </w:rPr>
                    <w:t>10</w:t>
                  </w:r>
                  <w:r>
                    <w:rPr>
                      <w:rFonts w:ascii="Times New Roman" w:hAnsi="Times New Roman" w:eastAsia="宋体" w:cs="Times New Roman"/>
                      <w:b/>
                      <w:bCs/>
                      <w:color w:val="auto"/>
                      <w:sz w:val="18"/>
                      <w:szCs w:val="18"/>
                      <w:highlight w:val="none"/>
                      <w:vertAlign w:val="superscript"/>
                    </w:rPr>
                    <w:t>-4</w:t>
                  </w:r>
                </w:p>
              </w:tc>
              <w:tc>
                <w:tcPr>
                  <w:tcW w:w="1006" w:type="dxa"/>
                  <w:vAlign w:val="center"/>
                </w:tcPr>
                <w:p>
                  <w:pPr>
                    <w:jc w:val="center"/>
                    <w:rPr>
                      <w:rFonts w:ascii="Times New Roman" w:hAnsi="Times New Roman" w:eastAsia="宋体" w:cs="Times New Roman"/>
                      <w:b/>
                      <w:bCs/>
                      <w:color w:val="auto"/>
                      <w:sz w:val="18"/>
                      <w:szCs w:val="18"/>
                      <w:highlight w:val="none"/>
                    </w:rPr>
                  </w:pPr>
                  <w:r>
                    <w:rPr>
                      <w:rFonts w:hint="eastAsia" w:ascii="Times New Roman" w:hAnsi="Times New Roman" w:eastAsia="宋体" w:cs="Times New Roman"/>
                      <w:b/>
                      <w:bCs/>
                      <w:color w:val="auto"/>
                      <w:sz w:val="18"/>
                      <w:szCs w:val="18"/>
                      <w:highlight w:val="none"/>
                    </w:rPr>
                    <w:t>3</w:t>
                  </w:r>
                  <w:r>
                    <w:rPr>
                      <w:rFonts w:ascii="Times New Roman" w:hAnsi="Times New Roman" w:eastAsia="宋体" w:cs="Times New Roman"/>
                      <w:b/>
                      <w:bCs/>
                      <w:color w:val="auto"/>
                      <w:sz w:val="18"/>
                      <w:szCs w:val="18"/>
                      <w:highlight w:val="none"/>
                    </w:rPr>
                    <w:t>2.6</w:t>
                  </w:r>
                </w:p>
              </w:tc>
              <w:tc>
                <w:tcPr>
                  <w:tcW w:w="862" w:type="dxa"/>
                  <w:vAlign w:val="center"/>
                </w:tcPr>
                <w:p>
                  <w:pPr>
                    <w:jc w:val="center"/>
                    <w:rPr>
                      <w:rFonts w:ascii="Times New Roman" w:hAnsi="Times New Roman" w:eastAsia="宋体" w:cs="Times New Roman"/>
                      <w:b/>
                      <w:bCs/>
                      <w:color w:val="auto"/>
                      <w:sz w:val="18"/>
                      <w:szCs w:val="18"/>
                      <w:highlight w:val="none"/>
                    </w:rPr>
                  </w:pPr>
                  <w:r>
                    <w:rPr>
                      <w:rFonts w:hint="eastAsia" w:ascii="Times New Roman" w:hAnsi="Times New Roman" w:eastAsia="宋体" w:cs="Times New Roman"/>
                      <w:b/>
                      <w:bCs/>
                      <w:color w:val="auto"/>
                      <w:sz w:val="18"/>
                      <w:szCs w:val="18"/>
                      <w:highlight w:val="none"/>
                    </w:rPr>
                    <w:t>0</w:t>
                  </w:r>
                  <w:r>
                    <w:rPr>
                      <w:rFonts w:ascii="Times New Roman" w:hAnsi="Times New Roman" w:eastAsia="宋体" w:cs="Times New Roman"/>
                      <w:b/>
                      <w:bCs/>
                      <w:color w:val="auto"/>
                      <w:sz w:val="18"/>
                      <w:szCs w:val="18"/>
                      <w:highlight w:val="none"/>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82" w:type="dxa"/>
                  <w:vMerge w:val="restart"/>
                  <w:vAlign w:val="center"/>
                </w:tcPr>
                <w:p>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2#发泡废气出口</w:t>
                  </w:r>
                </w:p>
              </w:tc>
              <w:tc>
                <w:tcPr>
                  <w:tcW w:w="988" w:type="dxa"/>
                  <w:vMerge w:val="restart"/>
                  <w:vAlign w:val="center"/>
                </w:tcPr>
                <w:p>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2018-06-25</w:t>
                  </w:r>
                </w:p>
              </w:tc>
              <w:tc>
                <w:tcPr>
                  <w:tcW w:w="382" w:type="dxa"/>
                  <w:vAlign w:val="center"/>
                </w:tcPr>
                <w:p>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第一次</w:t>
                  </w:r>
                </w:p>
              </w:tc>
              <w:tc>
                <w:tcPr>
                  <w:tcW w:w="877"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5</w:t>
                  </w:r>
                  <w:r>
                    <w:rPr>
                      <w:rFonts w:ascii="Times New Roman" w:hAnsi="Times New Roman" w:eastAsia="宋体" w:cs="Times New Roman"/>
                      <w:color w:val="auto"/>
                      <w:sz w:val="18"/>
                      <w:szCs w:val="18"/>
                      <w:highlight w:val="none"/>
                    </w:rPr>
                    <w:t>630</w:t>
                  </w:r>
                </w:p>
              </w:tc>
              <w:tc>
                <w:tcPr>
                  <w:tcW w:w="1006"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1</w:t>
                  </w:r>
                  <w:r>
                    <w:rPr>
                      <w:rFonts w:ascii="Times New Roman" w:hAnsi="Times New Roman" w:eastAsia="宋体" w:cs="Times New Roman"/>
                      <w:color w:val="auto"/>
                      <w:sz w:val="18"/>
                      <w:szCs w:val="18"/>
                      <w:highlight w:val="none"/>
                    </w:rPr>
                    <w:t>8.0</w:t>
                  </w:r>
                </w:p>
              </w:tc>
              <w:tc>
                <w:tcPr>
                  <w:tcW w:w="861"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0</w:t>
                  </w:r>
                  <w:r>
                    <w:rPr>
                      <w:rFonts w:ascii="Times New Roman" w:hAnsi="Times New Roman" w:eastAsia="宋体" w:cs="Times New Roman"/>
                      <w:color w:val="auto"/>
                      <w:sz w:val="18"/>
                      <w:szCs w:val="18"/>
                      <w:highlight w:val="none"/>
                    </w:rPr>
                    <w:t>.10</w:t>
                  </w:r>
                </w:p>
              </w:tc>
              <w:tc>
                <w:tcPr>
                  <w:tcW w:w="1006" w:type="dxa"/>
                  <w:vAlign w:val="center"/>
                </w:tcPr>
                <w:p>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&lt;</w:t>
                  </w:r>
                  <w:r>
                    <w:rPr>
                      <w:rFonts w:hint="eastAsia" w:ascii="Times New Roman" w:hAnsi="Times New Roman" w:eastAsia="宋体" w:cs="Times New Roman"/>
                      <w:color w:val="auto"/>
                      <w:sz w:val="18"/>
                      <w:szCs w:val="18"/>
                      <w:highlight w:val="none"/>
                    </w:rPr>
                    <w:t>0</w:t>
                  </w:r>
                  <w:r>
                    <w:rPr>
                      <w:rFonts w:ascii="Times New Roman" w:hAnsi="Times New Roman" w:eastAsia="宋体" w:cs="Times New Roman"/>
                      <w:color w:val="auto"/>
                      <w:sz w:val="18"/>
                      <w:szCs w:val="18"/>
                      <w:highlight w:val="none"/>
                    </w:rPr>
                    <w:t>.01</w:t>
                  </w:r>
                </w:p>
              </w:tc>
              <w:tc>
                <w:tcPr>
                  <w:tcW w:w="926"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2</w:t>
                  </w:r>
                  <w:r>
                    <w:rPr>
                      <w:rFonts w:ascii="Times New Roman" w:hAnsi="Times New Roman" w:eastAsia="宋体" w:cs="Times New Roman"/>
                      <w:color w:val="auto"/>
                      <w:sz w:val="18"/>
                      <w:szCs w:val="18"/>
                      <w:highlight w:val="none"/>
                    </w:rPr>
                    <w:t>.82</w:t>
                  </w:r>
                  <w:r>
                    <w:rPr>
                      <w:rFonts w:cs="Times New Roman" w:asciiTheme="minorEastAsia" w:hAnsiTheme="minorEastAsia"/>
                      <w:color w:val="auto"/>
                      <w:sz w:val="18"/>
                      <w:szCs w:val="18"/>
                      <w:highlight w:val="none"/>
                    </w:rPr>
                    <w:t>ⅹ</w:t>
                  </w:r>
                  <w:r>
                    <w:rPr>
                      <w:rFonts w:ascii="Times New Roman" w:hAnsi="Times New Roman" w:eastAsia="宋体" w:cs="Times New Roman"/>
                      <w:color w:val="auto"/>
                      <w:sz w:val="18"/>
                      <w:szCs w:val="18"/>
                      <w:highlight w:val="none"/>
                    </w:rPr>
                    <w:t>10</w:t>
                  </w:r>
                  <w:r>
                    <w:rPr>
                      <w:rFonts w:ascii="Times New Roman" w:hAnsi="Times New Roman" w:eastAsia="宋体" w:cs="Times New Roman"/>
                      <w:color w:val="auto"/>
                      <w:sz w:val="18"/>
                      <w:szCs w:val="18"/>
                      <w:highlight w:val="none"/>
                      <w:vertAlign w:val="superscript"/>
                    </w:rPr>
                    <w:t>-5</w:t>
                  </w:r>
                </w:p>
              </w:tc>
              <w:tc>
                <w:tcPr>
                  <w:tcW w:w="1006"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8</w:t>
                  </w:r>
                  <w:r>
                    <w:rPr>
                      <w:rFonts w:ascii="Times New Roman" w:hAnsi="Times New Roman" w:eastAsia="宋体" w:cs="Times New Roman"/>
                      <w:color w:val="auto"/>
                      <w:sz w:val="18"/>
                      <w:szCs w:val="18"/>
                      <w:highlight w:val="none"/>
                    </w:rPr>
                    <w:t>.09</w:t>
                  </w:r>
                </w:p>
              </w:tc>
              <w:tc>
                <w:tcPr>
                  <w:tcW w:w="862"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0</w:t>
                  </w:r>
                  <w:r>
                    <w:rPr>
                      <w:rFonts w:ascii="Times New Roman" w:hAnsi="Times New Roman" w:eastAsia="宋体" w:cs="Times New Roman"/>
                      <w:color w:val="auto"/>
                      <w:sz w:val="18"/>
                      <w:szCs w:val="18"/>
                      <w:highlight w:val="none"/>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82" w:type="dxa"/>
                  <w:vMerge w:val="continue"/>
                  <w:vAlign w:val="center"/>
                </w:tcPr>
                <w:p>
                  <w:pPr>
                    <w:jc w:val="center"/>
                    <w:rPr>
                      <w:rFonts w:ascii="Times New Roman" w:hAnsi="Times New Roman" w:eastAsia="宋体" w:cs="Times New Roman"/>
                      <w:color w:val="auto"/>
                      <w:sz w:val="18"/>
                      <w:szCs w:val="18"/>
                      <w:highlight w:val="none"/>
                    </w:rPr>
                  </w:pPr>
                </w:p>
              </w:tc>
              <w:tc>
                <w:tcPr>
                  <w:tcW w:w="988" w:type="dxa"/>
                  <w:vMerge w:val="continue"/>
                  <w:vAlign w:val="center"/>
                </w:tcPr>
                <w:p>
                  <w:pPr>
                    <w:jc w:val="center"/>
                    <w:rPr>
                      <w:rFonts w:ascii="Times New Roman" w:hAnsi="Times New Roman" w:eastAsia="宋体" w:cs="Times New Roman"/>
                      <w:color w:val="auto"/>
                      <w:sz w:val="18"/>
                      <w:szCs w:val="18"/>
                      <w:highlight w:val="none"/>
                    </w:rPr>
                  </w:pPr>
                </w:p>
              </w:tc>
              <w:tc>
                <w:tcPr>
                  <w:tcW w:w="382" w:type="dxa"/>
                  <w:vAlign w:val="center"/>
                </w:tcPr>
                <w:p>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第二次</w:t>
                  </w:r>
                </w:p>
              </w:tc>
              <w:tc>
                <w:tcPr>
                  <w:tcW w:w="877"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5</w:t>
                  </w:r>
                  <w:r>
                    <w:rPr>
                      <w:rFonts w:ascii="Times New Roman" w:hAnsi="Times New Roman" w:eastAsia="宋体" w:cs="Times New Roman"/>
                      <w:color w:val="auto"/>
                      <w:sz w:val="18"/>
                      <w:szCs w:val="18"/>
                      <w:highlight w:val="none"/>
                    </w:rPr>
                    <w:t>686</w:t>
                  </w:r>
                </w:p>
              </w:tc>
              <w:tc>
                <w:tcPr>
                  <w:tcW w:w="1006"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1</w:t>
                  </w:r>
                  <w:r>
                    <w:rPr>
                      <w:rFonts w:ascii="Times New Roman" w:hAnsi="Times New Roman" w:eastAsia="宋体" w:cs="Times New Roman"/>
                      <w:color w:val="auto"/>
                      <w:sz w:val="18"/>
                      <w:szCs w:val="18"/>
                      <w:highlight w:val="none"/>
                    </w:rPr>
                    <w:t>9.5</w:t>
                  </w:r>
                </w:p>
              </w:tc>
              <w:tc>
                <w:tcPr>
                  <w:tcW w:w="861"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0</w:t>
                  </w:r>
                  <w:r>
                    <w:rPr>
                      <w:rFonts w:ascii="Times New Roman" w:hAnsi="Times New Roman" w:eastAsia="宋体" w:cs="Times New Roman"/>
                      <w:color w:val="auto"/>
                      <w:sz w:val="18"/>
                      <w:szCs w:val="18"/>
                      <w:highlight w:val="none"/>
                    </w:rPr>
                    <w:t>.11</w:t>
                  </w:r>
                </w:p>
              </w:tc>
              <w:tc>
                <w:tcPr>
                  <w:tcW w:w="1006" w:type="dxa"/>
                  <w:vAlign w:val="center"/>
                </w:tcPr>
                <w:p>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&lt;</w:t>
                  </w:r>
                  <w:r>
                    <w:rPr>
                      <w:rFonts w:hint="eastAsia" w:ascii="Times New Roman" w:hAnsi="Times New Roman" w:eastAsia="宋体" w:cs="Times New Roman"/>
                      <w:color w:val="auto"/>
                      <w:sz w:val="18"/>
                      <w:szCs w:val="18"/>
                      <w:highlight w:val="none"/>
                    </w:rPr>
                    <w:t>0</w:t>
                  </w:r>
                  <w:r>
                    <w:rPr>
                      <w:rFonts w:ascii="Times New Roman" w:hAnsi="Times New Roman" w:eastAsia="宋体" w:cs="Times New Roman"/>
                      <w:color w:val="auto"/>
                      <w:sz w:val="18"/>
                      <w:szCs w:val="18"/>
                      <w:highlight w:val="none"/>
                    </w:rPr>
                    <w:t>.01</w:t>
                  </w:r>
                </w:p>
              </w:tc>
              <w:tc>
                <w:tcPr>
                  <w:tcW w:w="926"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2</w:t>
                  </w:r>
                  <w:r>
                    <w:rPr>
                      <w:rFonts w:ascii="Times New Roman" w:hAnsi="Times New Roman" w:eastAsia="宋体" w:cs="Times New Roman"/>
                      <w:color w:val="auto"/>
                      <w:sz w:val="18"/>
                      <w:szCs w:val="18"/>
                      <w:highlight w:val="none"/>
                    </w:rPr>
                    <w:t>.84</w:t>
                  </w:r>
                  <w:r>
                    <w:rPr>
                      <w:rFonts w:cs="Times New Roman" w:asciiTheme="minorEastAsia" w:hAnsiTheme="minorEastAsia"/>
                      <w:color w:val="auto"/>
                      <w:sz w:val="18"/>
                      <w:szCs w:val="18"/>
                      <w:highlight w:val="none"/>
                    </w:rPr>
                    <w:t>ⅹ</w:t>
                  </w:r>
                  <w:r>
                    <w:rPr>
                      <w:rFonts w:ascii="Times New Roman" w:hAnsi="Times New Roman" w:eastAsia="宋体" w:cs="Times New Roman"/>
                      <w:color w:val="auto"/>
                      <w:sz w:val="18"/>
                      <w:szCs w:val="18"/>
                      <w:highlight w:val="none"/>
                    </w:rPr>
                    <w:t>10</w:t>
                  </w:r>
                  <w:r>
                    <w:rPr>
                      <w:rFonts w:ascii="Times New Roman" w:hAnsi="Times New Roman" w:eastAsia="宋体" w:cs="Times New Roman"/>
                      <w:color w:val="auto"/>
                      <w:sz w:val="18"/>
                      <w:szCs w:val="18"/>
                      <w:highlight w:val="none"/>
                      <w:vertAlign w:val="superscript"/>
                    </w:rPr>
                    <w:t>-5</w:t>
                  </w:r>
                </w:p>
              </w:tc>
              <w:tc>
                <w:tcPr>
                  <w:tcW w:w="1006"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5</w:t>
                  </w:r>
                  <w:r>
                    <w:rPr>
                      <w:rFonts w:ascii="Times New Roman" w:hAnsi="Times New Roman" w:eastAsia="宋体" w:cs="Times New Roman"/>
                      <w:color w:val="auto"/>
                      <w:sz w:val="18"/>
                      <w:szCs w:val="18"/>
                      <w:highlight w:val="none"/>
                    </w:rPr>
                    <w:t>.69</w:t>
                  </w:r>
                </w:p>
              </w:tc>
              <w:tc>
                <w:tcPr>
                  <w:tcW w:w="862"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0</w:t>
                  </w:r>
                  <w:r>
                    <w:rPr>
                      <w:rFonts w:ascii="Times New Roman" w:hAnsi="Times New Roman" w:eastAsia="宋体" w:cs="Times New Roman"/>
                      <w:color w:val="auto"/>
                      <w:sz w:val="18"/>
                      <w:szCs w:val="18"/>
                      <w:highlight w:val="none"/>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82" w:type="dxa"/>
                  <w:vMerge w:val="continue"/>
                  <w:vAlign w:val="center"/>
                </w:tcPr>
                <w:p>
                  <w:pPr>
                    <w:jc w:val="center"/>
                    <w:rPr>
                      <w:rFonts w:ascii="Times New Roman" w:hAnsi="Times New Roman" w:eastAsia="宋体" w:cs="Times New Roman"/>
                      <w:color w:val="auto"/>
                      <w:sz w:val="18"/>
                      <w:szCs w:val="18"/>
                      <w:highlight w:val="none"/>
                    </w:rPr>
                  </w:pPr>
                </w:p>
              </w:tc>
              <w:tc>
                <w:tcPr>
                  <w:tcW w:w="988" w:type="dxa"/>
                  <w:vMerge w:val="continue"/>
                  <w:vAlign w:val="center"/>
                </w:tcPr>
                <w:p>
                  <w:pPr>
                    <w:jc w:val="center"/>
                    <w:rPr>
                      <w:rFonts w:ascii="Times New Roman" w:hAnsi="Times New Roman" w:eastAsia="宋体" w:cs="Times New Roman"/>
                      <w:color w:val="auto"/>
                      <w:sz w:val="18"/>
                      <w:szCs w:val="18"/>
                      <w:highlight w:val="none"/>
                    </w:rPr>
                  </w:pPr>
                </w:p>
              </w:tc>
              <w:tc>
                <w:tcPr>
                  <w:tcW w:w="382" w:type="dxa"/>
                  <w:vAlign w:val="center"/>
                </w:tcPr>
                <w:p>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第三次</w:t>
                  </w:r>
                </w:p>
              </w:tc>
              <w:tc>
                <w:tcPr>
                  <w:tcW w:w="877"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5</w:t>
                  </w:r>
                  <w:r>
                    <w:rPr>
                      <w:rFonts w:ascii="Times New Roman" w:hAnsi="Times New Roman" w:eastAsia="宋体" w:cs="Times New Roman"/>
                      <w:color w:val="auto"/>
                      <w:sz w:val="18"/>
                      <w:szCs w:val="18"/>
                      <w:highlight w:val="none"/>
                    </w:rPr>
                    <w:t>857</w:t>
                  </w:r>
                </w:p>
              </w:tc>
              <w:tc>
                <w:tcPr>
                  <w:tcW w:w="1006"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1</w:t>
                  </w:r>
                  <w:r>
                    <w:rPr>
                      <w:rFonts w:ascii="Times New Roman" w:hAnsi="Times New Roman" w:eastAsia="宋体" w:cs="Times New Roman"/>
                      <w:color w:val="auto"/>
                      <w:sz w:val="18"/>
                      <w:szCs w:val="18"/>
                      <w:highlight w:val="none"/>
                    </w:rPr>
                    <w:t>7.7</w:t>
                  </w:r>
                </w:p>
              </w:tc>
              <w:tc>
                <w:tcPr>
                  <w:tcW w:w="861"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0</w:t>
                  </w:r>
                  <w:r>
                    <w:rPr>
                      <w:rFonts w:ascii="Times New Roman" w:hAnsi="Times New Roman" w:eastAsia="宋体" w:cs="Times New Roman"/>
                      <w:color w:val="auto"/>
                      <w:sz w:val="18"/>
                      <w:szCs w:val="18"/>
                      <w:highlight w:val="none"/>
                    </w:rPr>
                    <w:t>.10</w:t>
                  </w:r>
                </w:p>
              </w:tc>
              <w:tc>
                <w:tcPr>
                  <w:tcW w:w="1006" w:type="dxa"/>
                  <w:vAlign w:val="center"/>
                </w:tcPr>
                <w:p>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&lt;</w:t>
                  </w:r>
                  <w:r>
                    <w:rPr>
                      <w:rFonts w:hint="eastAsia" w:ascii="Times New Roman" w:hAnsi="Times New Roman" w:eastAsia="宋体" w:cs="Times New Roman"/>
                      <w:color w:val="auto"/>
                      <w:sz w:val="18"/>
                      <w:szCs w:val="18"/>
                      <w:highlight w:val="none"/>
                    </w:rPr>
                    <w:t>0</w:t>
                  </w:r>
                  <w:r>
                    <w:rPr>
                      <w:rFonts w:ascii="Times New Roman" w:hAnsi="Times New Roman" w:eastAsia="宋体" w:cs="Times New Roman"/>
                      <w:color w:val="auto"/>
                      <w:sz w:val="18"/>
                      <w:szCs w:val="18"/>
                      <w:highlight w:val="none"/>
                    </w:rPr>
                    <w:t>.01</w:t>
                  </w:r>
                </w:p>
              </w:tc>
              <w:tc>
                <w:tcPr>
                  <w:tcW w:w="926"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2</w:t>
                  </w:r>
                  <w:r>
                    <w:rPr>
                      <w:rFonts w:ascii="Times New Roman" w:hAnsi="Times New Roman" w:eastAsia="宋体" w:cs="Times New Roman"/>
                      <w:color w:val="auto"/>
                      <w:sz w:val="18"/>
                      <w:szCs w:val="18"/>
                      <w:highlight w:val="none"/>
                    </w:rPr>
                    <w:t>.93</w:t>
                  </w:r>
                  <w:r>
                    <w:rPr>
                      <w:rFonts w:cs="Times New Roman" w:asciiTheme="minorEastAsia" w:hAnsiTheme="minorEastAsia"/>
                      <w:color w:val="auto"/>
                      <w:sz w:val="18"/>
                      <w:szCs w:val="18"/>
                      <w:highlight w:val="none"/>
                    </w:rPr>
                    <w:t>ⅹ</w:t>
                  </w:r>
                  <w:r>
                    <w:rPr>
                      <w:rFonts w:ascii="Times New Roman" w:hAnsi="Times New Roman" w:eastAsia="宋体" w:cs="Times New Roman"/>
                      <w:color w:val="auto"/>
                      <w:sz w:val="18"/>
                      <w:szCs w:val="18"/>
                      <w:highlight w:val="none"/>
                    </w:rPr>
                    <w:t>10</w:t>
                  </w:r>
                  <w:r>
                    <w:rPr>
                      <w:rFonts w:ascii="Times New Roman" w:hAnsi="Times New Roman" w:eastAsia="宋体" w:cs="Times New Roman"/>
                      <w:color w:val="auto"/>
                      <w:sz w:val="18"/>
                      <w:szCs w:val="18"/>
                      <w:highlight w:val="none"/>
                      <w:vertAlign w:val="superscript"/>
                    </w:rPr>
                    <w:t>-5</w:t>
                  </w:r>
                </w:p>
              </w:tc>
              <w:tc>
                <w:tcPr>
                  <w:tcW w:w="1006"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1</w:t>
                  </w:r>
                  <w:r>
                    <w:rPr>
                      <w:rFonts w:ascii="Times New Roman" w:hAnsi="Times New Roman" w:eastAsia="宋体" w:cs="Times New Roman"/>
                      <w:color w:val="auto"/>
                      <w:sz w:val="18"/>
                      <w:szCs w:val="18"/>
                      <w:highlight w:val="none"/>
                    </w:rPr>
                    <w:t>5.3</w:t>
                  </w:r>
                </w:p>
              </w:tc>
              <w:tc>
                <w:tcPr>
                  <w:tcW w:w="862"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0</w:t>
                  </w:r>
                  <w:r>
                    <w:rPr>
                      <w:rFonts w:ascii="Times New Roman" w:hAnsi="Times New Roman" w:eastAsia="宋体" w:cs="Times New Roman"/>
                      <w:color w:val="auto"/>
                      <w:sz w:val="18"/>
                      <w:szCs w:val="18"/>
                      <w:highlight w:val="none"/>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82" w:type="dxa"/>
                  <w:vMerge w:val="continue"/>
                  <w:vAlign w:val="center"/>
                </w:tcPr>
                <w:p>
                  <w:pPr>
                    <w:jc w:val="center"/>
                    <w:rPr>
                      <w:rFonts w:ascii="Times New Roman" w:hAnsi="Times New Roman" w:eastAsia="宋体" w:cs="Times New Roman"/>
                      <w:color w:val="auto"/>
                      <w:sz w:val="18"/>
                      <w:szCs w:val="18"/>
                      <w:highlight w:val="none"/>
                    </w:rPr>
                  </w:pPr>
                </w:p>
              </w:tc>
              <w:tc>
                <w:tcPr>
                  <w:tcW w:w="988" w:type="dxa"/>
                  <w:vMerge w:val="restart"/>
                  <w:vAlign w:val="center"/>
                </w:tcPr>
                <w:p>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2018-06-26</w:t>
                  </w:r>
                </w:p>
              </w:tc>
              <w:tc>
                <w:tcPr>
                  <w:tcW w:w="382" w:type="dxa"/>
                  <w:vAlign w:val="center"/>
                </w:tcPr>
                <w:p>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第一次</w:t>
                  </w:r>
                </w:p>
              </w:tc>
              <w:tc>
                <w:tcPr>
                  <w:tcW w:w="877"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5</w:t>
                  </w:r>
                  <w:r>
                    <w:rPr>
                      <w:rFonts w:ascii="Times New Roman" w:hAnsi="Times New Roman" w:eastAsia="宋体" w:cs="Times New Roman"/>
                      <w:color w:val="auto"/>
                      <w:sz w:val="18"/>
                      <w:szCs w:val="18"/>
                      <w:highlight w:val="none"/>
                    </w:rPr>
                    <w:t>610</w:t>
                  </w:r>
                </w:p>
              </w:tc>
              <w:tc>
                <w:tcPr>
                  <w:tcW w:w="1006"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2</w:t>
                  </w:r>
                  <w:r>
                    <w:rPr>
                      <w:rFonts w:ascii="Times New Roman" w:hAnsi="Times New Roman" w:eastAsia="宋体" w:cs="Times New Roman"/>
                      <w:color w:val="auto"/>
                      <w:sz w:val="18"/>
                      <w:szCs w:val="18"/>
                      <w:highlight w:val="none"/>
                    </w:rPr>
                    <w:t>1.0</w:t>
                  </w:r>
                </w:p>
              </w:tc>
              <w:tc>
                <w:tcPr>
                  <w:tcW w:w="861"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0</w:t>
                  </w:r>
                  <w:r>
                    <w:rPr>
                      <w:rFonts w:ascii="Times New Roman" w:hAnsi="Times New Roman" w:eastAsia="宋体" w:cs="Times New Roman"/>
                      <w:color w:val="auto"/>
                      <w:sz w:val="18"/>
                      <w:szCs w:val="18"/>
                      <w:highlight w:val="none"/>
                    </w:rPr>
                    <w:t>.12</w:t>
                  </w:r>
                </w:p>
              </w:tc>
              <w:tc>
                <w:tcPr>
                  <w:tcW w:w="1006" w:type="dxa"/>
                  <w:vAlign w:val="center"/>
                </w:tcPr>
                <w:p>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&lt;</w:t>
                  </w:r>
                  <w:r>
                    <w:rPr>
                      <w:rFonts w:hint="eastAsia" w:ascii="Times New Roman" w:hAnsi="Times New Roman" w:eastAsia="宋体" w:cs="Times New Roman"/>
                      <w:color w:val="auto"/>
                      <w:sz w:val="18"/>
                      <w:szCs w:val="18"/>
                      <w:highlight w:val="none"/>
                    </w:rPr>
                    <w:t>0</w:t>
                  </w:r>
                  <w:r>
                    <w:rPr>
                      <w:rFonts w:ascii="Times New Roman" w:hAnsi="Times New Roman" w:eastAsia="宋体" w:cs="Times New Roman"/>
                      <w:color w:val="auto"/>
                      <w:sz w:val="18"/>
                      <w:szCs w:val="18"/>
                      <w:highlight w:val="none"/>
                    </w:rPr>
                    <w:t>.01</w:t>
                  </w:r>
                </w:p>
              </w:tc>
              <w:tc>
                <w:tcPr>
                  <w:tcW w:w="926"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2</w:t>
                  </w:r>
                  <w:r>
                    <w:rPr>
                      <w:rFonts w:ascii="Times New Roman" w:hAnsi="Times New Roman" w:eastAsia="宋体" w:cs="Times New Roman"/>
                      <w:color w:val="auto"/>
                      <w:sz w:val="18"/>
                      <w:szCs w:val="18"/>
                      <w:highlight w:val="none"/>
                    </w:rPr>
                    <w:t>.81</w:t>
                  </w:r>
                  <w:r>
                    <w:rPr>
                      <w:rFonts w:cs="Times New Roman" w:asciiTheme="minorEastAsia" w:hAnsiTheme="minorEastAsia"/>
                      <w:color w:val="auto"/>
                      <w:sz w:val="18"/>
                      <w:szCs w:val="18"/>
                      <w:highlight w:val="none"/>
                    </w:rPr>
                    <w:t>ⅹ</w:t>
                  </w:r>
                  <w:r>
                    <w:rPr>
                      <w:rFonts w:ascii="Times New Roman" w:hAnsi="Times New Roman" w:eastAsia="宋体" w:cs="Times New Roman"/>
                      <w:color w:val="auto"/>
                      <w:sz w:val="18"/>
                      <w:szCs w:val="18"/>
                      <w:highlight w:val="none"/>
                    </w:rPr>
                    <w:t>10</w:t>
                  </w:r>
                  <w:r>
                    <w:rPr>
                      <w:rFonts w:ascii="Times New Roman" w:hAnsi="Times New Roman" w:eastAsia="宋体" w:cs="Times New Roman"/>
                      <w:color w:val="auto"/>
                      <w:sz w:val="18"/>
                      <w:szCs w:val="18"/>
                      <w:highlight w:val="none"/>
                      <w:vertAlign w:val="superscript"/>
                    </w:rPr>
                    <w:t>-5</w:t>
                  </w:r>
                </w:p>
              </w:tc>
              <w:tc>
                <w:tcPr>
                  <w:tcW w:w="1006"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6</w:t>
                  </w:r>
                  <w:r>
                    <w:rPr>
                      <w:rFonts w:ascii="Times New Roman" w:hAnsi="Times New Roman" w:eastAsia="宋体" w:cs="Times New Roman"/>
                      <w:color w:val="auto"/>
                      <w:sz w:val="18"/>
                      <w:szCs w:val="18"/>
                      <w:highlight w:val="none"/>
                    </w:rPr>
                    <w:t>.97</w:t>
                  </w:r>
                </w:p>
              </w:tc>
              <w:tc>
                <w:tcPr>
                  <w:tcW w:w="862"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0</w:t>
                  </w:r>
                  <w:r>
                    <w:rPr>
                      <w:rFonts w:ascii="Times New Roman" w:hAnsi="Times New Roman" w:eastAsia="宋体" w:cs="Times New Roman"/>
                      <w:color w:val="auto"/>
                      <w:sz w:val="18"/>
                      <w:szCs w:val="18"/>
                      <w:highlight w:val="none"/>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82" w:type="dxa"/>
                  <w:vMerge w:val="continue"/>
                  <w:vAlign w:val="center"/>
                </w:tcPr>
                <w:p>
                  <w:pPr>
                    <w:jc w:val="center"/>
                    <w:rPr>
                      <w:rFonts w:ascii="Times New Roman" w:hAnsi="Times New Roman" w:eastAsia="宋体" w:cs="Times New Roman"/>
                      <w:color w:val="auto"/>
                      <w:sz w:val="18"/>
                      <w:szCs w:val="18"/>
                      <w:highlight w:val="none"/>
                    </w:rPr>
                  </w:pPr>
                </w:p>
              </w:tc>
              <w:tc>
                <w:tcPr>
                  <w:tcW w:w="988" w:type="dxa"/>
                  <w:vMerge w:val="continue"/>
                  <w:vAlign w:val="center"/>
                </w:tcPr>
                <w:p>
                  <w:pPr>
                    <w:jc w:val="center"/>
                    <w:rPr>
                      <w:rFonts w:ascii="Times New Roman" w:hAnsi="Times New Roman" w:eastAsia="宋体" w:cs="Times New Roman"/>
                      <w:color w:val="auto"/>
                      <w:sz w:val="18"/>
                      <w:szCs w:val="18"/>
                      <w:highlight w:val="none"/>
                    </w:rPr>
                  </w:pPr>
                </w:p>
              </w:tc>
              <w:tc>
                <w:tcPr>
                  <w:tcW w:w="382" w:type="dxa"/>
                  <w:vAlign w:val="center"/>
                </w:tcPr>
                <w:p>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第二次</w:t>
                  </w:r>
                </w:p>
              </w:tc>
              <w:tc>
                <w:tcPr>
                  <w:tcW w:w="877"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5</w:t>
                  </w:r>
                  <w:r>
                    <w:rPr>
                      <w:rFonts w:ascii="Times New Roman" w:hAnsi="Times New Roman" w:eastAsia="宋体" w:cs="Times New Roman"/>
                      <w:color w:val="auto"/>
                      <w:sz w:val="18"/>
                      <w:szCs w:val="18"/>
                      <w:highlight w:val="none"/>
                    </w:rPr>
                    <w:t>431</w:t>
                  </w:r>
                </w:p>
              </w:tc>
              <w:tc>
                <w:tcPr>
                  <w:tcW w:w="1006"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1</w:t>
                  </w:r>
                  <w:r>
                    <w:rPr>
                      <w:rFonts w:ascii="Times New Roman" w:hAnsi="Times New Roman" w:eastAsia="宋体" w:cs="Times New Roman"/>
                      <w:color w:val="auto"/>
                      <w:sz w:val="18"/>
                      <w:szCs w:val="18"/>
                      <w:highlight w:val="none"/>
                    </w:rPr>
                    <w:t>8.6</w:t>
                  </w:r>
                </w:p>
              </w:tc>
              <w:tc>
                <w:tcPr>
                  <w:tcW w:w="861"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0</w:t>
                  </w:r>
                  <w:r>
                    <w:rPr>
                      <w:rFonts w:ascii="Times New Roman" w:hAnsi="Times New Roman" w:eastAsia="宋体" w:cs="Times New Roman"/>
                      <w:color w:val="auto"/>
                      <w:sz w:val="18"/>
                      <w:szCs w:val="18"/>
                      <w:highlight w:val="none"/>
                    </w:rPr>
                    <w:t>.10</w:t>
                  </w:r>
                </w:p>
              </w:tc>
              <w:tc>
                <w:tcPr>
                  <w:tcW w:w="1006" w:type="dxa"/>
                  <w:vAlign w:val="center"/>
                </w:tcPr>
                <w:p>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&lt;</w:t>
                  </w:r>
                  <w:r>
                    <w:rPr>
                      <w:rFonts w:hint="eastAsia" w:ascii="Times New Roman" w:hAnsi="Times New Roman" w:eastAsia="宋体" w:cs="Times New Roman"/>
                      <w:color w:val="auto"/>
                      <w:sz w:val="18"/>
                      <w:szCs w:val="18"/>
                      <w:highlight w:val="none"/>
                    </w:rPr>
                    <w:t>0</w:t>
                  </w:r>
                  <w:r>
                    <w:rPr>
                      <w:rFonts w:ascii="Times New Roman" w:hAnsi="Times New Roman" w:eastAsia="宋体" w:cs="Times New Roman"/>
                      <w:color w:val="auto"/>
                      <w:sz w:val="18"/>
                      <w:szCs w:val="18"/>
                      <w:highlight w:val="none"/>
                    </w:rPr>
                    <w:t>.01</w:t>
                  </w:r>
                </w:p>
              </w:tc>
              <w:tc>
                <w:tcPr>
                  <w:tcW w:w="926"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2</w:t>
                  </w:r>
                  <w:r>
                    <w:rPr>
                      <w:rFonts w:ascii="Times New Roman" w:hAnsi="Times New Roman" w:eastAsia="宋体" w:cs="Times New Roman"/>
                      <w:color w:val="auto"/>
                      <w:sz w:val="18"/>
                      <w:szCs w:val="18"/>
                      <w:highlight w:val="none"/>
                    </w:rPr>
                    <w:t>.72</w:t>
                  </w:r>
                  <w:r>
                    <w:rPr>
                      <w:rFonts w:cs="Times New Roman" w:asciiTheme="minorEastAsia" w:hAnsiTheme="minorEastAsia"/>
                      <w:color w:val="auto"/>
                      <w:sz w:val="18"/>
                      <w:szCs w:val="18"/>
                      <w:highlight w:val="none"/>
                    </w:rPr>
                    <w:t>ⅹ</w:t>
                  </w:r>
                  <w:r>
                    <w:rPr>
                      <w:rFonts w:ascii="Times New Roman" w:hAnsi="Times New Roman" w:eastAsia="宋体" w:cs="Times New Roman"/>
                      <w:color w:val="auto"/>
                      <w:sz w:val="18"/>
                      <w:szCs w:val="18"/>
                      <w:highlight w:val="none"/>
                    </w:rPr>
                    <w:t>10</w:t>
                  </w:r>
                  <w:r>
                    <w:rPr>
                      <w:rFonts w:ascii="Times New Roman" w:hAnsi="Times New Roman" w:eastAsia="宋体" w:cs="Times New Roman"/>
                      <w:color w:val="auto"/>
                      <w:sz w:val="18"/>
                      <w:szCs w:val="18"/>
                      <w:highlight w:val="none"/>
                      <w:vertAlign w:val="superscript"/>
                    </w:rPr>
                    <w:t>-5</w:t>
                  </w:r>
                </w:p>
              </w:tc>
              <w:tc>
                <w:tcPr>
                  <w:tcW w:w="1006"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8</w:t>
                  </w:r>
                  <w:r>
                    <w:rPr>
                      <w:rFonts w:ascii="Times New Roman" w:hAnsi="Times New Roman" w:eastAsia="宋体" w:cs="Times New Roman"/>
                      <w:color w:val="auto"/>
                      <w:sz w:val="18"/>
                      <w:szCs w:val="18"/>
                      <w:highlight w:val="none"/>
                    </w:rPr>
                    <w:t>.68</w:t>
                  </w:r>
                </w:p>
              </w:tc>
              <w:tc>
                <w:tcPr>
                  <w:tcW w:w="862"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0</w:t>
                  </w:r>
                  <w:r>
                    <w:rPr>
                      <w:rFonts w:ascii="Times New Roman" w:hAnsi="Times New Roman" w:eastAsia="宋体" w:cs="Times New Roman"/>
                      <w:color w:val="auto"/>
                      <w:sz w:val="18"/>
                      <w:szCs w:val="18"/>
                      <w:highlight w:val="none"/>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82" w:type="dxa"/>
                  <w:vMerge w:val="continue"/>
                  <w:vAlign w:val="center"/>
                </w:tcPr>
                <w:p>
                  <w:pPr>
                    <w:jc w:val="center"/>
                    <w:rPr>
                      <w:rFonts w:ascii="Times New Roman" w:hAnsi="Times New Roman" w:eastAsia="宋体" w:cs="Times New Roman"/>
                      <w:color w:val="auto"/>
                      <w:sz w:val="18"/>
                      <w:szCs w:val="18"/>
                      <w:highlight w:val="none"/>
                    </w:rPr>
                  </w:pPr>
                </w:p>
              </w:tc>
              <w:tc>
                <w:tcPr>
                  <w:tcW w:w="988" w:type="dxa"/>
                  <w:vMerge w:val="continue"/>
                  <w:vAlign w:val="center"/>
                </w:tcPr>
                <w:p>
                  <w:pPr>
                    <w:jc w:val="center"/>
                    <w:rPr>
                      <w:rFonts w:ascii="Times New Roman" w:hAnsi="Times New Roman" w:eastAsia="宋体" w:cs="Times New Roman"/>
                      <w:color w:val="auto"/>
                      <w:sz w:val="18"/>
                      <w:szCs w:val="18"/>
                      <w:highlight w:val="none"/>
                    </w:rPr>
                  </w:pPr>
                </w:p>
              </w:tc>
              <w:tc>
                <w:tcPr>
                  <w:tcW w:w="382" w:type="dxa"/>
                  <w:vAlign w:val="center"/>
                </w:tcPr>
                <w:p>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第三次</w:t>
                  </w:r>
                </w:p>
              </w:tc>
              <w:tc>
                <w:tcPr>
                  <w:tcW w:w="877"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5</w:t>
                  </w:r>
                  <w:r>
                    <w:rPr>
                      <w:rFonts w:ascii="Times New Roman" w:hAnsi="Times New Roman" w:eastAsia="宋体" w:cs="Times New Roman"/>
                      <w:color w:val="auto"/>
                      <w:sz w:val="18"/>
                      <w:szCs w:val="18"/>
                      <w:highlight w:val="none"/>
                    </w:rPr>
                    <w:t>492</w:t>
                  </w:r>
                </w:p>
              </w:tc>
              <w:tc>
                <w:tcPr>
                  <w:tcW w:w="1006"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1</w:t>
                  </w:r>
                  <w:r>
                    <w:rPr>
                      <w:rFonts w:ascii="Times New Roman" w:hAnsi="Times New Roman" w:eastAsia="宋体" w:cs="Times New Roman"/>
                      <w:color w:val="auto"/>
                      <w:sz w:val="18"/>
                      <w:szCs w:val="18"/>
                      <w:highlight w:val="none"/>
                    </w:rPr>
                    <w:t>7.6</w:t>
                  </w:r>
                </w:p>
              </w:tc>
              <w:tc>
                <w:tcPr>
                  <w:tcW w:w="861"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0</w:t>
                  </w:r>
                  <w:r>
                    <w:rPr>
                      <w:rFonts w:ascii="Times New Roman" w:hAnsi="Times New Roman" w:eastAsia="宋体" w:cs="Times New Roman"/>
                      <w:color w:val="auto"/>
                      <w:sz w:val="18"/>
                      <w:szCs w:val="18"/>
                      <w:highlight w:val="none"/>
                    </w:rPr>
                    <w:t>.10</w:t>
                  </w:r>
                </w:p>
              </w:tc>
              <w:tc>
                <w:tcPr>
                  <w:tcW w:w="1006" w:type="dxa"/>
                  <w:vAlign w:val="center"/>
                </w:tcPr>
                <w:p>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&lt;</w:t>
                  </w:r>
                  <w:r>
                    <w:rPr>
                      <w:rFonts w:hint="eastAsia" w:ascii="Times New Roman" w:hAnsi="Times New Roman" w:eastAsia="宋体" w:cs="Times New Roman"/>
                      <w:color w:val="auto"/>
                      <w:sz w:val="18"/>
                      <w:szCs w:val="18"/>
                      <w:highlight w:val="none"/>
                    </w:rPr>
                    <w:t>0</w:t>
                  </w:r>
                  <w:r>
                    <w:rPr>
                      <w:rFonts w:ascii="Times New Roman" w:hAnsi="Times New Roman" w:eastAsia="宋体" w:cs="Times New Roman"/>
                      <w:color w:val="auto"/>
                      <w:sz w:val="18"/>
                      <w:szCs w:val="18"/>
                      <w:highlight w:val="none"/>
                    </w:rPr>
                    <w:t>.01</w:t>
                  </w:r>
                </w:p>
              </w:tc>
              <w:tc>
                <w:tcPr>
                  <w:tcW w:w="926"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2</w:t>
                  </w:r>
                  <w:r>
                    <w:rPr>
                      <w:rFonts w:ascii="Times New Roman" w:hAnsi="Times New Roman" w:eastAsia="宋体" w:cs="Times New Roman"/>
                      <w:color w:val="auto"/>
                      <w:sz w:val="18"/>
                      <w:szCs w:val="18"/>
                      <w:highlight w:val="none"/>
                    </w:rPr>
                    <w:t>.75</w:t>
                  </w:r>
                  <w:r>
                    <w:rPr>
                      <w:rFonts w:cs="Times New Roman" w:asciiTheme="minorEastAsia" w:hAnsiTheme="minorEastAsia"/>
                      <w:color w:val="auto"/>
                      <w:sz w:val="18"/>
                      <w:szCs w:val="18"/>
                      <w:highlight w:val="none"/>
                    </w:rPr>
                    <w:t>ⅹ</w:t>
                  </w:r>
                  <w:r>
                    <w:rPr>
                      <w:rFonts w:ascii="Times New Roman" w:hAnsi="Times New Roman" w:eastAsia="宋体" w:cs="Times New Roman"/>
                      <w:color w:val="auto"/>
                      <w:sz w:val="18"/>
                      <w:szCs w:val="18"/>
                      <w:highlight w:val="none"/>
                    </w:rPr>
                    <w:t>10</w:t>
                  </w:r>
                  <w:r>
                    <w:rPr>
                      <w:rFonts w:ascii="Times New Roman" w:hAnsi="Times New Roman" w:eastAsia="宋体" w:cs="Times New Roman"/>
                      <w:color w:val="auto"/>
                      <w:sz w:val="18"/>
                      <w:szCs w:val="18"/>
                      <w:highlight w:val="none"/>
                      <w:vertAlign w:val="superscript"/>
                    </w:rPr>
                    <w:t>-5</w:t>
                  </w:r>
                </w:p>
              </w:tc>
              <w:tc>
                <w:tcPr>
                  <w:tcW w:w="1006"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1</w:t>
                  </w:r>
                  <w:r>
                    <w:rPr>
                      <w:rFonts w:ascii="Times New Roman" w:hAnsi="Times New Roman" w:eastAsia="宋体" w:cs="Times New Roman"/>
                      <w:color w:val="auto"/>
                      <w:sz w:val="18"/>
                      <w:szCs w:val="18"/>
                      <w:highlight w:val="none"/>
                    </w:rPr>
                    <w:t>3.5</w:t>
                  </w:r>
                </w:p>
              </w:tc>
              <w:tc>
                <w:tcPr>
                  <w:tcW w:w="862" w:type="dxa"/>
                  <w:vAlign w:val="center"/>
                </w:tcPr>
                <w:p>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0</w:t>
                  </w:r>
                  <w:r>
                    <w:rPr>
                      <w:rFonts w:ascii="Times New Roman" w:hAnsi="Times New Roman" w:eastAsia="宋体" w:cs="Times New Roman"/>
                      <w:color w:val="auto"/>
                      <w:sz w:val="18"/>
                      <w:szCs w:val="18"/>
                      <w:highlight w:val="none"/>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29" w:type="dxa"/>
                  <w:gridSpan w:val="4"/>
                  <w:vAlign w:val="center"/>
                </w:tcPr>
                <w:p>
                  <w:pPr>
                    <w:jc w:val="center"/>
                    <w:rPr>
                      <w:rFonts w:ascii="Times New Roman" w:hAnsi="Times New Roman" w:eastAsia="宋体" w:cs="Times New Roman"/>
                      <w:b/>
                      <w:bCs/>
                      <w:color w:val="auto"/>
                      <w:sz w:val="18"/>
                      <w:szCs w:val="18"/>
                      <w:highlight w:val="none"/>
                    </w:rPr>
                  </w:pPr>
                  <w:r>
                    <w:rPr>
                      <w:rFonts w:hint="eastAsia" w:ascii="Times New Roman" w:hAnsi="Times New Roman" w:eastAsia="宋体" w:cs="Times New Roman"/>
                      <w:b/>
                      <w:bCs/>
                      <w:color w:val="auto"/>
                      <w:sz w:val="18"/>
                      <w:szCs w:val="18"/>
                      <w:highlight w:val="none"/>
                    </w:rPr>
                    <w:t>最大值</w:t>
                  </w:r>
                </w:p>
              </w:tc>
              <w:tc>
                <w:tcPr>
                  <w:tcW w:w="1006" w:type="dxa"/>
                  <w:vAlign w:val="center"/>
                </w:tcPr>
                <w:p>
                  <w:pPr>
                    <w:jc w:val="center"/>
                    <w:rPr>
                      <w:rFonts w:ascii="Times New Roman" w:hAnsi="Times New Roman" w:eastAsia="宋体" w:cs="Times New Roman"/>
                      <w:b/>
                      <w:bCs/>
                      <w:color w:val="auto"/>
                      <w:sz w:val="18"/>
                      <w:szCs w:val="18"/>
                      <w:highlight w:val="none"/>
                    </w:rPr>
                  </w:pPr>
                  <w:r>
                    <w:rPr>
                      <w:rFonts w:hint="eastAsia" w:ascii="Times New Roman" w:hAnsi="Times New Roman" w:eastAsia="宋体" w:cs="Times New Roman"/>
                      <w:b/>
                      <w:bCs/>
                      <w:color w:val="auto"/>
                      <w:sz w:val="18"/>
                      <w:szCs w:val="18"/>
                      <w:highlight w:val="none"/>
                    </w:rPr>
                    <w:t>2</w:t>
                  </w:r>
                  <w:r>
                    <w:rPr>
                      <w:rFonts w:ascii="Times New Roman" w:hAnsi="Times New Roman" w:eastAsia="宋体" w:cs="Times New Roman"/>
                      <w:b/>
                      <w:bCs/>
                      <w:color w:val="auto"/>
                      <w:sz w:val="18"/>
                      <w:szCs w:val="18"/>
                      <w:highlight w:val="none"/>
                    </w:rPr>
                    <w:t>1.0</w:t>
                  </w:r>
                </w:p>
              </w:tc>
              <w:tc>
                <w:tcPr>
                  <w:tcW w:w="861" w:type="dxa"/>
                  <w:vAlign w:val="center"/>
                </w:tcPr>
                <w:p>
                  <w:pPr>
                    <w:jc w:val="center"/>
                    <w:rPr>
                      <w:rFonts w:ascii="Times New Roman" w:hAnsi="Times New Roman" w:eastAsia="宋体" w:cs="Times New Roman"/>
                      <w:b/>
                      <w:bCs/>
                      <w:color w:val="auto"/>
                      <w:sz w:val="18"/>
                      <w:szCs w:val="18"/>
                      <w:highlight w:val="none"/>
                    </w:rPr>
                  </w:pPr>
                  <w:r>
                    <w:rPr>
                      <w:rFonts w:hint="eastAsia" w:ascii="Times New Roman" w:hAnsi="Times New Roman" w:eastAsia="宋体" w:cs="Times New Roman"/>
                      <w:b/>
                      <w:bCs/>
                      <w:color w:val="auto"/>
                      <w:sz w:val="18"/>
                      <w:szCs w:val="18"/>
                      <w:highlight w:val="none"/>
                    </w:rPr>
                    <w:t>0</w:t>
                  </w:r>
                  <w:r>
                    <w:rPr>
                      <w:rFonts w:ascii="Times New Roman" w:hAnsi="Times New Roman" w:eastAsia="宋体" w:cs="Times New Roman"/>
                      <w:b/>
                      <w:bCs/>
                      <w:color w:val="auto"/>
                      <w:sz w:val="18"/>
                      <w:szCs w:val="18"/>
                      <w:highlight w:val="none"/>
                    </w:rPr>
                    <w:t>.12</w:t>
                  </w:r>
                </w:p>
              </w:tc>
              <w:tc>
                <w:tcPr>
                  <w:tcW w:w="1006" w:type="dxa"/>
                  <w:vAlign w:val="center"/>
                </w:tcPr>
                <w:p>
                  <w:pPr>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&lt;</w:t>
                  </w:r>
                  <w:r>
                    <w:rPr>
                      <w:rFonts w:hint="eastAsia" w:ascii="Times New Roman" w:hAnsi="Times New Roman" w:eastAsia="宋体" w:cs="Times New Roman"/>
                      <w:b/>
                      <w:bCs/>
                      <w:color w:val="auto"/>
                      <w:sz w:val="18"/>
                      <w:szCs w:val="18"/>
                      <w:highlight w:val="none"/>
                    </w:rPr>
                    <w:t>0</w:t>
                  </w:r>
                  <w:r>
                    <w:rPr>
                      <w:rFonts w:ascii="Times New Roman" w:hAnsi="Times New Roman" w:eastAsia="宋体" w:cs="Times New Roman"/>
                      <w:b/>
                      <w:bCs/>
                      <w:color w:val="auto"/>
                      <w:sz w:val="18"/>
                      <w:szCs w:val="18"/>
                      <w:highlight w:val="none"/>
                    </w:rPr>
                    <w:t>.01</w:t>
                  </w:r>
                </w:p>
              </w:tc>
              <w:tc>
                <w:tcPr>
                  <w:tcW w:w="926" w:type="dxa"/>
                  <w:vAlign w:val="center"/>
                </w:tcPr>
                <w:p>
                  <w:pPr>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2</w:t>
                  </w:r>
                  <w:r>
                    <w:rPr>
                      <w:rFonts w:hint="eastAsia" w:ascii="Times New Roman" w:hAnsi="Times New Roman" w:eastAsia="宋体" w:cs="Times New Roman"/>
                      <w:b/>
                      <w:bCs/>
                      <w:color w:val="auto"/>
                      <w:sz w:val="18"/>
                      <w:szCs w:val="18"/>
                      <w:highlight w:val="none"/>
                    </w:rPr>
                    <w:t>.</w:t>
                  </w:r>
                  <w:r>
                    <w:rPr>
                      <w:rFonts w:ascii="Times New Roman" w:hAnsi="Times New Roman" w:eastAsia="宋体" w:cs="Times New Roman"/>
                      <w:b/>
                      <w:bCs/>
                      <w:color w:val="auto"/>
                      <w:sz w:val="18"/>
                      <w:szCs w:val="18"/>
                      <w:highlight w:val="none"/>
                    </w:rPr>
                    <w:t>93</w:t>
                  </w:r>
                  <w:r>
                    <w:rPr>
                      <w:rFonts w:cs="Times New Roman" w:asciiTheme="minorEastAsia" w:hAnsiTheme="minorEastAsia"/>
                      <w:b/>
                      <w:bCs/>
                      <w:color w:val="auto"/>
                      <w:sz w:val="18"/>
                      <w:szCs w:val="18"/>
                      <w:highlight w:val="none"/>
                    </w:rPr>
                    <w:t>ⅹ</w:t>
                  </w:r>
                  <w:r>
                    <w:rPr>
                      <w:rFonts w:ascii="Times New Roman" w:hAnsi="Times New Roman" w:eastAsia="宋体" w:cs="Times New Roman"/>
                      <w:b/>
                      <w:bCs/>
                      <w:color w:val="auto"/>
                      <w:sz w:val="18"/>
                      <w:szCs w:val="18"/>
                      <w:highlight w:val="none"/>
                    </w:rPr>
                    <w:t>10</w:t>
                  </w:r>
                  <w:r>
                    <w:rPr>
                      <w:rFonts w:ascii="Times New Roman" w:hAnsi="Times New Roman" w:eastAsia="宋体" w:cs="Times New Roman"/>
                      <w:b/>
                      <w:bCs/>
                      <w:color w:val="auto"/>
                      <w:sz w:val="18"/>
                      <w:szCs w:val="18"/>
                      <w:highlight w:val="none"/>
                      <w:vertAlign w:val="superscript"/>
                    </w:rPr>
                    <w:t>-5</w:t>
                  </w:r>
                </w:p>
              </w:tc>
              <w:tc>
                <w:tcPr>
                  <w:tcW w:w="1006" w:type="dxa"/>
                  <w:vAlign w:val="center"/>
                </w:tcPr>
                <w:p>
                  <w:pPr>
                    <w:jc w:val="center"/>
                    <w:rPr>
                      <w:rFonts w:ascii="Times New Roman" w:hAnsi="Times New Roman" w:eastAsia="宋体" w:cs="Times New Roman"/>
                      <w:b/>
                      <w:bCs/>
                      <w:color w:val="auto"/>
                      <w:sz w:val="18"/>
                      <w:szCs w:val="18"/>
                      <w:highlight w:val="none"/>
                    </w:rPr>
                  </w:pPr>
                  <w:r>
                    <w:rPr>
                      <w:rFonts w:hint="eastAsia" w:ascii="Times New Roman" w:hAnsi="Times New Roman" w:eastAsia="宋体" w:cs="Times New Roman"/>
                      <w:b/>
                      <w:bCs/>
                      <w:color w:val="auto"/>
                      <w:sz w:val="18"/>
                      <w:szCs w:val="18"/>
                      <w:highlight w:val="none"/>
                    </w:rPr>
                    <w:t>1</w:t>
                  </w:r>
                  <w:r>
                    <w:rPr>
                      <w:rFonts w:ascii="Times New Roman" w:hAnsi="Times New Roman" w:eastAsia="宋体" w:cs="Times New Roman"/>
                      <w:b/>
                      <w:bCs/>
                      <w:color w:val="auto"/>
                      <w:sz w:val="18"/>
                      <w:szCs w:val="18"/>
                      <w:highlight w:val="none"/>
                    </w:rPr>
                    <w:t>5.3</w:t>
                  </w:r>
                </w:p>
              </w:tc>
              <w:tc>
                <w:tcPr>
                  <w:tcW w:w="862" w:type="dxa"/>
                  <w:vAlign w:val="center"/>
                </w:tcPr>
                <w:p>
                  <w:pPr>
                    <w:jc w:val="center"/>
                    <w:rPr>
                      <w:rFonts w:ascii="Times New Roman" w:hAnsi="Times New Roman" w:eastAsia="宋体" w:cs="Times New Roman"/>
                      <w:b/>
                      <w:bCs/>
                      <w:color w:val="auto"/>
                      <w:sz w:val="18"/>
                      <w:szCs w:val="18"/>
                      <w:highlight w:val="none"/>
                    </w:rPr>
                  </w:pPr>
                  <w:r>
                    <w:rPr>
                      <w:rFonts w:hint="eastAsia" w:ascii="Times New Roman" w:hAnsi="Times New Roman" w:eastAsia="宋体" w:cs="Times New Roman"/>
                      <w:b/>
                      <w:bCs/>
                      <w:color w:val="auto"/>
                      <w:sz w:val="18"/>
                      <w:szCs w:val="18"/>
                      <w:highlight w:val="none"/>
                    </w:rPr>
                    <w:t>0</w:t>
                  </w:r>
                  <w:r>
                    <w:rPr>
                      <w:rFonts w:ascii="Times New Roman" w:hAnsi="Times New Roman" w:eastAsia="宋体" w:cs="Times New Roman"/>
                      <w:b/>
                      <w:bCs/>
                      <w:color w:val="auto"/>
                      <w:sz w:val="18"/>
                      <w:szCs w:val="18"/>
                      <w:highlight w:val="none"/>
                    </w:rPr>
                    <w:t>.09</w:t>
                  </w:r>
                </w:p>
              </w:tc>
            </w:tr>
          </w:tbl>
          <w:p>
            <w:pPr>
              <w:spacing w:line="360" w:lineRule="auto"/>
              <w:ind w:firstLine="480" w:firstLineChars="200"/>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本项目生产工艺以及所用的原辅材料与宁海商旭包装材料有限公司年产</w:t>
            </w:r>
            <w:r>
              <w:rPr>
                <w:rFonts w:ascii="Times New Roman" w:hAnsi="Times New Roman" w:eastAsia="宋体" w:cs="Times New Roman"/>
                <w:color w:val="auto"/>
                <w:sz w:val="24"/>
                <w:highlight w:val="none"/>
              </w:rPr>
              <w:t xml:space="preserve"> 2500 万</w:t>
            </w:r>
            <w:r>
              <w:rPr>
                <w:rFonts w:hint="eastAsia" w:ascii="Times New Roman" w:hAnsi="Times New Roman" w:eastAsia="宋体" w:cs="Times New Roman"/>
                <w:color w:val="auto"/>
                <w:sz w:val="24"/>
                <w:highlight w:val="none"/>
              </w:rPr>
              <w:t>套泡沫包装生产线项目基本一致，因此参考该项目及本项目的监测数据，本项目聚苯乙烯发泡的闭孔率取</w:t>
            </w:r>
            <w:r>
              <w:rPr>
                <w:rFonts w:ascii="Times New Roman" w:hAnsi="Times New Roman" w:eastAsia="宋体" w:cs="Times New Roman"/>
                <w:color w:val="auto"/>
                <w:sz w:val="24"/>
                <w:highlight w:val="none"/>
              </w:rPr>
              <w:t xml:space="preserve"> 95%，即生产过程中 95%的发泡剂融合封闭在聚苯乙烯颗粒内，</w:t>
            </w:r>
            <w:r>
              <w:rPr>
                <w:rFonts w:hint="eastAsia" w:ascii="Times New Roman" w:hAnsi="Times New Roman" w:eastAsia="宋体" w:cs="Times New Roman"/>
                <w:color w:val="auto"/>
                <w:sz w:val="24"/>
                <w:highlight w:val="none"/>
              </w:rPr>
              <w:t>仅</w:t>
            </w:r>
            <w:r>
              <w:rPr>
                <w:rFonts w:ascii="Times New Roman" w:hAnsi="Times New Roman" w:eastAsia="宋体" w:cs="Times New Roman"/>
                <w:color w:val="auto"/>
                <w:sz w:val="24"/>
                <w:highlight w:val="none"/>
              </w:rPr>
              <w:t>5%的石油醚（以非甲烷总烃计，0.42t/a）受热汽化挥发至空气中成为有机废气。</w:t>
            </w:r>
            <w:r>
              <w:rPr>
                <w:rFonts w:hint="eastAsia" w:ascii="Times New Roman" w:hAnsi="Times New Roman" w:eastAsia="宋体" w:cs="Times New Roman"/>
                <w:color w:val="auto"/>
                <w:sz w:val="24"/>
                <w:highlight w:val="none"/>
              </w:rPr>
              <w:t>则发泡工序产生的非甲烷总烃为0</w:t>
            </w:r>
            <w:r>
              <w:rPr>
                <w:rFonts w:ascii="Times New Roman" w:hAnsi="Times New Roman" w:eastAsia="宋体" w:cs="Times New Roman"/>
                <w:color w:val="auto"/>
                <w:sz w:val="24"/>
                <w:highlight w:val="none"/>
              </w:rPr>
              <w:t>.42</w:t>
            </w:r>
            <w:r>
              <w:rPr>
                <w:rFonts w:hint="eastAsia" w:ascii="Times New Roman" w:hAnsi="Times New Roman" w:eastAsia="宋体" w:cs="Times New Roman"/>
                <w:color w:val="auto"/>
                <w:sz w:val="24"/>
                <w:highlight w:val="none"/>
              </w:rPr>
              <w:t>t/a，</w:t>
            </w:r>
            <w:r>
              <w:rPr>
                <w:rFonts w:ascii="Times New Roman" w:hAnsi="Times New Roman" w:eastAsia="宋体" w:cs="Times New Roman"/>
                <w:color w:val="auto"/>
                <w:sz w:val="24"/>
                <w:highlight w:val="none"/>
              </w:rPr>
              <w:t>本项目</w:t>
            </w:r>
            <w:r>
              <w:rPr>
                <w:rFonts w:hint="eastAsia" w:ascii="Times New Roman" w:hAnsi="Times New Roman" w:eastAsia="宋体" w:cs="Times New Roman"/>
                <w:color w:val="auto"/>
                <w:sz w:val="24"/>
                <w:highlight w:val="none"/>
              </w:rPr>
              <w:t>每天发泡时间为4小时，年工作3</w:t>
            </w:r>
            <w:r>
              <w:rPr>
                <w:rFonts w:ascii="Times New Roman" w:hAnsi="Times New Roman" w:eastAsia="宋体" w:cs="Times New Roman"/>
                <w:color w:val="auto"/>
                <w:sz w:val="24"/>
                <w:highlight w:val="none"/>
              </w:rPr>
              <w:t>00</w:t>
            </w:r>
            <w:r>
              <w:rPr>
                <w:rFonts w:hint="eastAsia" w:ascii="Times New Roman" w:hAnsi="Times New Roman" w:eastAsia="宋体" w:cs="Times New Roman"/>
                <w:color w:val="auto"/>
                <w:sz w:val="24"/>
                <w:highlight w:val="none"/>
              </w:rPr>
              <w:t>天</w:t>
            </w:r>
            <w:r>
              <w:rPr>
                <w:rFonts w:ascii="Times New Roman" w:hAnsi="Times New Roman" w:eastAsia="宋体" w:cs="Times New Roman"/>
                <w:color w:val="auto"/>
                <w:sz w:val="24"/>
                <w:highlight w:val="none"/>
              </w:rPr>
              <w:t>，则</w:t>
            </w:r>
            <w:r>
              <w:rPr>
                <w:rFonts w:hint="eastAsia" w:ascii="Times New Roman" w:hAnsi="Times New Roman" w:eastAsia="宋体" w:cs="Times New Roman"/>
                <w:color w:val="auto"/>
                <w:sz w:val="24"/>
                <w:highlight w:val="none"/>
              </w:rPr>
              <w:t>1小时最大非甲烷总烃产生量为</w:t>
            </w:r>
            <w:r>
              <w:rPr>
                <w:rFonts w:ascii="Times New Roman" w:hAnsi="Times New Roman" w:eastAsia="宋体" w:cs="Times New Roman"/>
                <w:color w:val="auto"/>
                <w:sz w:val="24"/>
                <w:highlight w:val="none"/>
              </w:rPr>
              <w:t>0.35</w:t>
            </w:r>
            <w:r>
              <w:rPr>
                <w:rFonts w:hint="eastAsia" w:ascii="Times New Roman" w:hAnsi="Times New Roman" w:eastAsia="宋体" w:cs="Times New Roman"/>
                <w:color w:val="auto"/>
                <w:sz w:val="24"/>
                <w:highlight w:val="none"/>
              </w:rPr>
              <w:t>kg/h。</w:t>
            </w:r>
          </w:p>
          <w:p>
            <w:pPr>
              <w:spacing w:line="360" w:lineRule="auto"/>
              <w:ind w:firstLine="480" w:firstLineChars="200"/>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另成型工序需要加热到</w:t>
            </w:r>
            <w:r>
              <w:rPr>
                <w:rFonts w:ascii="Times New Roman" w:hAnsi="Times New Roman" w:eastAsia="宋体" w:cs="Times New Roman"/>
                <w:color w:val="auto"/>
                <w:sz w:val="24"/>
                <w:highlight w:val="none"/>
              </w:rPr>
              <w:t>150℃左右，原料中可能有少量的游离单体（主要为苯乙</w:t>
            </w:r>
            <w:r>
              <w:rPr>
                <w:rFonts w:hint="eastAsia" w:ascii="Times New Roman" w:hAnsi="Times New Roman" w:eastAsia="宋体" w:cs="Times New Roman"/>
                <w:color w:val="auto"/>
                <w:sz w:val="24"/>
                <w:highlight w:val="none"/>
              </w:rPr>
              <w:t xml:space="preserve">烯单体）逸出形成有机废气，根据《大气挥发性有机物源排放清单编制技术指南（试行）》（环境保护部公告 </w:t>
            </w:r>
            <w:r>
              <w:rPr>
                <w:rFonts w:ascii="Times New Roman" w:hAnsi="Times New Roman" w:eastAsia="宋体" w:cs="Times New Roman"/>
                <w:color w:val="auto"/>
                <w:sz w:val="24"/>
                <w:highlight w:val="none"/>
              </w:rPr>
              <w:t>2014</w:t>
            </w:r>
            <w:r>
              <w:rPr>
                <w:rFonts w:hint="eastAsia" w:ascii="Times New Roman" w:hAnsi="Times New Roman" w:eastAsia="宋体" w:cs="Times New Roman"/>
                <w:color w:val="auto"/>
                <w:sz w:val="24"/>
                <w:highlight w:val="none"/>
              </w:rPr>
              <w:t>年第5</w:t>
            </w:r>
            <w:r>
              <w:rPr>
                <w:rFonts w:ascii="Times New Roman" w:hAnsi="Times New Roman" w:eastAsia="宋体" w:cs="Times New Roman"/>
                <w:color w:val="auto"/>
                <w:sz w:val="24"/>
                <w:highlight w:val="none"/>
              </w:rPr>
              <w:t>5</w:t>
            </w:r>
            <w:r>
              <w:rPr>
                <w:rFonts w:hint="eastAsia" w:ascii="Times New Roman" w:hAnsi="Times New Roman" w:eastAsia="宋体" w:cs="Times New Roman"/>
                <w:color w:val="auto"/>
                <w:sz w:val="24"/>
                <w:highlight w:val="none"/>
              </w:rPr>
              <w:t>号）附录B</w:t>
            </w:r>
            <w:r>
              <w:rPr>
                <w:rFonts w:ascii="Times New Roman" w:hAnsi="Times New Roman" w:eastAsia="宋体" w:cs="Times New Roman"/>
                <w:color w:val="auto"/>
                <w:sz w:val="24"/>
                <w:highlight w:val="none"/>
              </w:rPr>
              <w:t>中</w:t>
            </w:r>
            <w:r>
              <w:rPr>
                <w:rFonts w:hint="eastAsia" w:ascii="Times New Roman" w:hAnsi="Times New Roman" w:eastAsia="宋体" w:cs="Times New Roman"/>
                <w:color w:val="auto"/>
                <w:sz w:val="24"/>
                <w:highlight w:val="none"/>
              </w:rPr>
              <w:t>聚苯乙烯（P</w:t>
            </w:r>
            <w:r>
              <w:rPr>
                <w:rFonts w:ascii="Times New Roman" w:hAnsi="Times New Roman" w:eastAsia="宋体" w:cs="Times New Roman"/>
                <w:color w:val="auto"/>
                <w:sz w:val="24"/>
                <w:highlight w:val="none"/>
              </w:rPr>
              <w:t>S</w:t>
            </w:r>
            <w:r>
              <w:rPr>
                <w:rFonts w:hint="eastAsia" w:ascii="Times New Roman" w:hAnsi="Times New Roman" w:eastAsia="宋体" w:cs="Times New Roman"/>
                <w:color w:val="auto"/>
                <w:sz w:val="24"/>
                <w:highlight w:val="none"/>
              </w:rPr>
              <w:t>）</w:t>
            </w:r>
            <w:r>
              <w:rPr>
                <w:rFonts w:ascii="Times New Roman" w:hAnsi="Times New Roman" w:eastAsia="宋体" w:cs="Times New Roman"/>
                <w:color w:val="auto"/>
                <w:sz w:val="24"/>
                <w:highlight w:val="none"/>
              </w:rPr>
              <w:t>排放系数：5.4</w:t>
            </w:r>
            <w:r>
              <w:rPr>
                <w:rFonts w:hint="eastAsia" w:ascii="Times New Roman" w:hAnsi="Times New Roman" w:eastAsia="宋体" w:cs="Times New Roman"/>
                <w:color w:val="auto"/>
                <w:sz w:val="24"/>
                <w:highlight w:val="none"/>
              </w:rPr>
              <w:t>g/kg产品</w:t>
            </w:r>
            <w:r>
              <w:rPr>
                <w:rFonts w:ascii="Times New Roman" w:hAnsi="Times New Roman" w:eastAsia="宋体" w:cs="Times New Roman"/>
                <w:color w:val="auto"/>
                <w:sz w:val="24"/>
                <w:highlight w:val="none"/>
              </w:rPr>
              <w:t>。本项目</w:t>
            </w:r>
            <w:r>
              <w:rPr>
                <w:rFonts w:hint="eastAsia" w:ascii="Times New Roman" w:hAnsi="Times New Roman" w:eastAsia="宋体" w:cs="Times New Roman"/>
                <w:color w:val="auto"/>
                <w:sz w:val="24"/>
                <w:highlight w:val="none"/>
              </w:rPr>
              <w:t>E</w:t>
            </w:r>
            <w:r>
              <w:rPr>
                <w:rFonts w:ascii="Times New Roman" w:hAnsi="Times New Roman" w:eastAsia="宋体" w:cs="Times New Roman"/>
                <w:color w:val="auto"/>
                <w:sz w:val="24"/>
                <w:highlight w:val="none"/>
              </w:rPr>
              <w:t>PS</w:t>
            </w:r>
            <w:r>
              <w:rPr>
                <w:rFonts w:hint="eastAsia" w:ascii="Times New Roman" w:hAnsi="Times New Roman" w:eastAsia="宋体" w:cs="Times New Roman"/>
                <w:color w:val="auto"/>
                <w:sz w:val="24"/>
                <w:highlight w:val="none"/>
              </w:rPr>
              <w:t>年用量4</w:t>
            </w:r>
            <w:r>
              <w:rPr>
                <w:rFonts w:ascii="Times New Roman" w:hAnsi="Times New Roman" w:eastAsia="宋体" w:cs="Times New Roman"/>
                <w:color w:val="auto"/>
                <w:sz w:val="24"/>
                <w:highlight w:val="none"/>
              </w:rPr>
              <w:t>20</w:t>
            </w:r>
            <w:r>
              <w:rPr>
                <w:rFonts w:hint="eastAsia" w:ascii="Times New Roman" w:hAnsi="Times New Roman" w:eastAsia="宋体" w:cs="Times New Roman"/>
                <w:color w:val="auto"/>
                <w:sz w:val="24"/>
                <w:highlight w:val="none"/>
              </w:rPr>
              <w:t>t</w:t>
            </w:r>
            <w:r>
              <w:rPr>
                <w:rFonts w:ascii="Times New Roman" w:hAnsi="Times New Roman" w:eastAsia="宋体" w:cs="Times New Roman"/>
                <w:color w:val="auto"/>
                <w:sz w:val="24"/>
                <w:highlight w:val="none"/>
              </w:rPr>
              <w:t>，则保</w:t>
            </w:r>
            <w:r>
              <w:rPr>
                <w:rFonts w:hint="eastAsia" w:ascii="Times New Roman" w:hAnsi="Times New Roman" w:eastAsia="宋体" w:cs="Times New Roman"/>
                <w:color w:val="auto"/>
                <w:sz w:val="24"/>
                <w:highlight w:val="none"/>
              </w:rPr>
              <w:t>守估算出项目聚苯乙烯在成型过程中游离单体产生的非甲烷总烃约为</w:t>
            </w:r>
            <w:r>
              <w:rPr>
                <w:rFonts w:ascii="Times New Roman" w:hAnsi="Times New Roman" w:eastAsia="宋体" w:cs="Times New Roman"/>
                <w:color w:val="auto"/>
                <w:sz w:val="24"/>
                <w:highlight w:val="none"/>
              </w:rPr>
              <w:t>2.268t/a。本项目</w:t>
            </w:r>
            <w:r>
              <w:rPr>
                <w:rFonts w:hint="eastAsia" w:ascii="Times New Roman" w:hAnsi="Times New Roman" w:eastAsia="宋体" w:cs="Times New Roman"/>
                <w:color w:val="auto"/>
                <w:sz w:val="24"/>
                <w:highlight w:val="none"/>
              </w:rPr>
              <w:t>每天成型时间为</w:t>
            </w:r>
            <w:r>
              <w:rPr>
                <w:rFonts w:ascii="Times New Roman" w:hAnsi="Times New Roman" w:eastAsia="宋体" w:cs="Times New Roman"/>
                <w:color w:val="auto"/>
                <w:sz w:val="24"/>
                <w:highlight w:val="none"/>
              </w:rPr>
              <w:t>8</w:t>
            </w:r>
            <w:r>
              <w:rPr>
                <w:rFonts w:hint="eastAsia" w:ascii="Times New Roman" w:hAnsi="Times New Roman" w:eastAsia="宋体" w:cs="Times New Roman"/>
                <w:color w:val="auto"/>
                <w:sz w:val="24"/>
                <w:highlight w:val="none"/>
              </w:rPr>
              <w:t>小时，年工作3</w:t>
            </w:r>
            <w:r>
              <w:rPr>
                <w:rFonts w:ascii="Times New Roman" w:hAnsi="Times New Roman" w:eastAsia="宋体" w:cs="Times New Roman"/>
                <w:color w:val="auto"/>
                <w:sz w:val="24"/>
                <w:highlight w:val="none"/>
              </w:rPr>
              <w:t>00</w:t>
            </w:r>
            <w:r>
              <w:rPr>
                <w:rFonts w:hint="eastAsia" w:ascii="Times New Roman" w:hAnsi="Times New Roman" w:eastAsia="宋体" w:cs="Times New Roman"/>
                <w:color w:val="auto"/>
                <w:sz w:val="24"/>
                <w:highlight w:val="none"/>
              </w:rPr>
              <w:t>天</w:t>
            </w:r>
            <w:r>
              <w:rPr>
                <w:rFonts w:ascii="Times New Roman" w:hAnsi="Times New Roman" w:eastAsia="宋体" w:cs="Times New Roman"/>
                <w:color w:val="auto"/>
                <w:sz w:val="24"/>
                <w:highlight w:val="none"/>
              </w:rPr>
              <w:t>，则</w:t>
            </w:r>
            <w:r>
              <w:rPr>
                <w:rFonts w:hint="eastAsia" w:ascii="Times New Roman" w:hAnsi="Times New Roman" w:eastAsia="宋体" w:cs="Times New Roman"/>
                <w:color w:val="auto"/>
                <w:sz w:val="24"/>
                <w:highlight w:val="none"/>
              </w:rPr>
              <w:t>1小时最大非甲烷总烃产生量为</w:t>
            </w:r>
            <w:r>
              <w:rPr>
                <w:rFonts w:ascii="Times New Roman" w:hAnsi="Times New Roman" w:eastAsia="宋体" w:cs="Times New Roman"/>
                <w:color w:val="auto"/>
                <w:sz w:val="24"/>
                <w:highlight w:val="none"/>
              </w:rPr>
              <w:t>0.945</w:t>
            </w:r>
            <w:r>
              <w:rPr>
                <w:rFonts w:hint="eastAsia" w:ascii="Times New Roman" w:hAnsi="Times New Roman" w:eastAsia="宋体" w:cs="Times New Roman"/>
                <w:color w:val="auto"/>
                <w:sz w:val="24"/>
                <w:highlight w:val="none"/>
              </w:rPr>
              <w:t>kg/h。</w:t>
            </w:r>
          </w:p>
          <w:p>
            <w:pPr>
              <w:spacing w:line="360" w:lineRule="auto"/>
              <w:ind w:firstLine="480" w:firstLineChars="200"/>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故本项目</w:t>
            </w:r>
            <w:r>
              <w:rPr>
                <w:rFonts w:ascii="Times New Roman" w:hAnsi="Times New Roman" w:eastAsia="宋体" w:cs="Times New Roman"/>
                <w:color w:val="auto"/>
                <w:sz w:val="24"/>
                <w:highlight w:val="none"/>
              </w:rPr>
              <w:t xml:space="preserve"> EPS 生产过程中产生的非甲烷</w:t>
            </w:r>
            <w:r>
              <w:rPr>
                <w:rFonts w:hint="eastAsia" w:ascii="Times New Roman" w:hAnsi="Times New Roman" w:eastAsia="宋体" w:cs="Times New Roman"/>
                <w:color w:val="auto"/>
                <w:sz w:val="24"/>
                <w:highlight w:val="none"/>
              </w:rPr>
              <w:t>总烃量共为</w:t>
            </w:r>
            <w:r>
              <w:rPr>
                <w:rFonts w:ascii="Times New Roman" w:hAnsi="Times New Roman" w:eastAsia="宋体" w:cs="Times New Roman"/>
                <w:color w:val="auto"/>
                <w:sz w:val="24"/>
                <w:highlight w:val="none"/>
              </w:rPr>
              <w:t>2.688t/a</w:t>
            </w:r>
            <w:r>
              <w:rPr>
                <w:rFonts w:hint="eastAsia" w:ascii="Times New Roman" w:hAnsi="Times New Roman" w:eastAsia="宋体" w:cs="Times New Roman"/>
                <w:color w:val="auto"/>
                <w:sz w:val="24"/>
                <w:highlight w:val="none"/>
              </w:rPr>
              <w:t>，</w:t>
            </w:r>
            <w:r>
              <w:rPr>
                <w:rFonts w:ascii="Times New Roman" w:hAnsi="Times New Roman" w:eastAsia="宋体" w:cs="Times New Roman"/>
                <w:color w:val="auto"/>
                <w:sz w:val="24"/>
                <w:highlight w:val="none"/>
              </w:rPr>
              <w:t>1kg产品产生的非甲烷总烃</w:t>
            </w:r>
            <w:r>
              <w:rPr>
                <w:rFonts w:hint="eastAsia" w:ascii="Times New Roman" w:hAnsi="Times New Roman" w:eastAsia="宋体" w:cs="Times New Roman"/>
                <w:color w:val="auto"/>
                <w:sz w:val="24"/>
                <w:highlight w:val="none"/>
              </w:rPr>
              <w:t>产生</w:t>
            </w:r>
            <w:r>
              <w:rPr>
                <w:rFonts w:ascii="Times New Roman" w:hAnsi="Times New Roman" w:eastAsia="宋体" w:cs="Times New Roman"/>
                <w:color w:val="auto"/>
                <w:sz w:val="24"/>
                <w:highlight w:val="none"/>
              </w:rPr>
              <w:t>量为0.0067</w:t>
            </w:r>
            <w:r>
              <w:rPr>
                <w:rFonts w:hint="eastAsia" w:ascii="Times New Roman" w:hAnsi="Times New Roman" w:eastAsia="宋体" w:cs="Times New Roman"/>
                <w:color w:val="auto"/>
                <w:sz w:val="24"/>
                <w:highlight w:val="none"/>
              </w:rPr>
              <w:t>kg。</w:t>
            </w:r>
          </w:p>
          <w:p>
            <w:pPr>
              <w:pStyle w:val="24"/>
              <w:snapToGrid w:val="0"/>
              <w:spacing w:line="360" w:lineRule="auto"/>
              <w:ind w:firstLine="482" w:firstLineChars="200"/>
              <w:jc w:val="both"/>
              <w:rPr>
                <w:rFonts w:ascii="Times New Roman" w:hAnsi="Times New Roman" w:cs="Times New Roman"/>
                <w:b/>
                <w:color w:val="auto"/>
                <w:highlight w:val="none"/>
                <w:u w:val="single"/>
              </w:rPr>
            </w:pPr>
            <w:r>
              <w:rPr>
                <w:rFonts w:ascii="Times New Roman" w:hAnsi="Times New Roman" w:cs="Times New Roman"/>
                <w:b/>
                <w:color w:val="auto"/>
                <w:highlight w:val="none"/>
                <w:u w:val="single"/>
              </w:rPr>
              <w:t>废气治理方式：</w:t>
            </w:r>
          </w:p>
          <w:p>
            <w:pPr>
              <w:spacing w:line="360" w:lineRule="auto"/>
              <w:ind w:firstLine="480" w:firstLineChars="200"/>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项目发泡机为密闭设备，仅留有设备顶端</w:t>
            </w:r>
            <w:r>
              <w:rPr>
                <w:rFonts w:ascii="Times New Roman" w:hAnsi="Times New Roman" w:eastAsia="宋体" w:cs="Times New Roman"/>
                <w:color w:val="auto"/>
                <w:sz w:val="24"/>
                <w:highlight w:val="none"/>
              </w:rPr>
              <w:t xml:space="preserve"> 1 个排气口与 1 个出料口。在生产过程</w:t>
            </w:r>
            <w:r>
              <w:rPr>
                <w:rFonts w:hint="eastAsia" w:ascii="Times New Roman" w:hAnsi="Times New Roman" w:eastAsia="宋体" w:cs="Times New Roman"/>
                <w:color w:val="auto"/>
                <w:sz w:val="24"/>
                <w:highlight w:val="none"/>
              </w:rPr>
              <w:t>中发料桶亦为密闭。蒸汽与加热挥发出的预发废气中的绝大部分经热力抬升由顶部排气口排出，仅有少部分蒸汽与预发废气在发泡机出料口中随着半成品一同排出。</w:t>
            </w:r>
          </w:p>
          <w:p>
            <w:pPr>
              <w:rPr>
                <w:rFonts w:ascii="Times New Roman" w:hAnsi="Times New Roman" w:eastAsia="宋体" w:cs="Times New Roman"/>
                <w:color w:val="auto"/>
                <w:highlight w:val="none"/>
              </w:rPr>
            </w:pPr>
            <w:r>
              <w:rPr>
                <w:color w:val="auto"/>
                <w:highlight w:val="none"/>
              </w:rPr>
              <w:drawing>
                <wp:inline distT="0" distB="0" distL="0" distR="0">
                  <wp:extent cx="5274310" cy="3564890"/>
                  <wp:effectExtent l="0" t="0" r="254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15"/>
                          <a:stretch>
                            <a:fillRect/>
                          </a:stretch>
                        </pic:blipFill>
                        <pic:spPr>
                          <a:xfrm>
                            <a:off x="0" y="0"/>
                            <a:ext cx="5274310" cy="3564890"/>
                          </a:xfrm>
                          <a:prstGeom prst="rect">
                            <a:avLst/>
                          </a:prstGeom>
                        </pic:spPr>
                      </pic:pic>
                    </a:graphicData>
                  </a:graphic>
                </wp:inline>
              </w:drawing>
            </w:r>
          </w:p>
          <w:p>
            <w:pPr>
              <w:spacing w:line="360" w:lineRule="auto"/>
              <w:ind w:firstLine="422" w:firstLineChars="200"/>
              <w:jc w:val="center"/>
              <w:rPr>
                <w:rFonts w:ascii="Times New Roman" w:hAnsi="Times New Roman" w:eastAsia="宋体" w:cs="Times New Roman"/>
                <w:b/>
                <w:bCs/>
                <w:color w:val="auto"/>
                <w:szCs w:val="21"/>
                <w:highlight w:val="none"/>
              </w:rPr>
            </w:pPr>
            <w:r>
              <w:rPr>
                <w:rFonts w:hint="eastAsia" w:ascii="Times New Roman" w:hAnsi="Times New Roman" w:eastAsia="宋体" w:cs="Times New Roman"/>
                <w:b/>
                <w:bCs/>
                <w:color w:val="auto"/>
                <w:szCs w:val="21"/>
                <w:highlight w:val="none"/>
              </w:rPr>
              <w:t>图5</w:t>
            </w:r>
            <w:r>
              <w:rPr>
                <w:rFonts w:ascii="Times New Roman" w:hAnsi="Times New Roman" w:eastAsia="宋体" w:cs="Times New Roman"/>
                <w:b/>
                <w:bCs/>
                <w:color w:val="auto"/>
                <w:szCs w:val="21"/>
                <w:highlight w:val="none"/>
              </w:rPr>
              <w:t>-</w:t>
            </w:r>
            <w:r>
              <w:rPr>
                <w:rFonts w:hint="eastAsia" w:ascii="Times New Roman" w:hAnsi="Times New Roman" w:eastAsia="宋体" w:cs="Times New Roman"/>
                <w:b/>
                <w:bCs/>
                <w:color w:val="auto"/>
                <w:szCs w:val="21"/>
                <w:highlight w:val="none"/>
              </w:rPr>
              <w:t>2</w:t>
            </w:r>
            <w:r>
              <w:rPr>
                <w:rFonts w:ascii="Times New Roman" w:hAnsi="Times New Roman" w:eastAsia="宋体" w:cs="Times New Roman"/>
                <w:b/>
                <w:bCs/>
                <w:color w:val="auto"/>
                <w:szCs w:val="21"/>
                <w:highlight w:val="none"/>
              </w:rPr>
              <w:t xml:space="preserve"> </w:t>
            </w:r>
            <w:r>
              <w:rPr>
                <w:rFonts w:hint="eastAsia" w:ascii="Times New Roman" w:hAnsi="Times New Roman" w:eastAsia="宋体" w:cs="Times New Roman"/>
                <w:b/>
                <w:bCs/>
                <w:color w:val="auto"/>
                <w:szCs w:val="21"/>
                <w:highlight w:val="none"/>
              </w:rPr>
              <w:t>发泡机结构图</w:t>
            </w:r>
          </w:p>
          <w:p>
            <w:pPr>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项目生产过程中的非甲烷总烃废气在发泡机内产生，管道蒸汽从发泡机底部蒸汽入口输送进发泡机中与EPS颗粒接触，发泡完成后大部分蒸汽由发泡机顶部排汽口靠热力抬升排出，少部分蒸汽与半成品一同在出料门中排出。发泡机为密闭设备，项目通过发泡机2个排气孔对非甲烷总烃进行收集。</w:t>
            </w:r>
          </w:p>
          <w:p>
            <w:pPr>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项目共有1台发泡机，每台设备有1个顶部排汽口与1个出料门排汽，共2 个排气孔，均为热力抬升排汽（见图 3）。项目拟在每个排气孔上方设置一个外部顶吸集气罩，与排气孔距离约0.3m，出料门集气罩风量约为1500m</w:t>
            </w:r>
            <w:r>
              <w:rPr>
                <w:rFonts w:ascii="Times New Roman" w:hAnsi="Times New Roman" w:eastAsia="宋体" w:cs="Times New Roman"/>
                <w:color w:val="auto"/>
                <w:sz w:val="24"/>
                <w:highlight w:val="none"/>
                <w:vertAlign w:val="superscript"/>
              </w:rPr>
              <w:t>3</w:t>
            </w:r>
            <w:r>
              <w:rPr>
                <w:rFonts w:ascii="Times New Roman" w:hAnsi="Times New Roman" w:eastAsia="宋体" w:cs="Times New Roman"/>
                <w:color w:val="auto"/>
                <w:sz w:val="24"/>
                <w:highlight w:val="none"/>
              </w:rPr>
              <w:t>/h（因集气罩各密闭区和外界通风的隔离交界面控制风速应不低于0.6m/s，以保证废气收集的效率。故废气收集所需风量约为 3600×0.6m/s×0.6m×0.6m=777.6 m</w:t>
            </w:r>
            <w:r>
              <w:rPr>
                <w:rFonts w:ascii="Times New Roman" w:hAnsi="Times New Roman" w:eastAsia="宋体" w:cs="Times New Roman"/>
                <w:color w:val="auto"/>
                <w:sz w:val="24"/>
                <w:highlight w:val="none"/>
                <w:vertAlign w:val="superscript"/>
              </w:rPr>
              <w:t>3</w:t>
            </w:r>
            <w:r>
              <w:rPr>
                <w:rFonts w:ascii="Times New Roman" w:hAnsi="Times New Roman" w:eastAsia="宋体" w:cs="Times New Roman"/>
                <w:color w:val="auto"/>
                <w:sz w:val="24"/>
                <w:highlight w:val="none"/>
              </w:rPr>
              <w:t>/h，因集气罩高度与发泡机排气孔有一定的距离，故每个集气罩的风量约为1500m</w:t>
            </w:r>
            <w:r>
              <w:rPr>
                <w:rFonts w:ascii="Times New Roman" w:hAnsi="Times New Roman" w:eastAsia="宋体" w:cs="Times New Roman"/>
                <w:color w:val="auto"/>
                <w:sz w:val="24"/>
                <w:highlight w:val="none"/>
                <w:vertAlign w:val="superscript"/>
              </w:rPr>
              <w:t>3</w:t>
            </w:r>
            <w:r>
              <w:rPr>
                <w:rFonts w:ascii="Times New Roman" w:hAnsi="Times New Roman" w:eastAsia="宋体" w:cs="Times New Roman"/>
                <w:color w:val="auto"/>
                <w:sz w:val="24"/>
                <w:highlight w:val="none"/>
              </w:rPr>
              <w:t>/h 以保证废气有效收集），顶部排气孔集气罩风量约为 1000 m</w:t>
            </w:r>
            <w:r>
              <w:rPr>
                <w:rFonts w:ascii="Times New Roman" w:hAnsi="Times New Roman" w:eastAsia="宋体" w:cs="Times New Roman"/>
                <w:color w:val="auto"/>
                <w:sz w:val="24"/>
                <w:highlight w:val="none"/>
                <w:vertAlign w:val="superscript"/>
              </w:rPr>
              <w:t>3</w:t>
            </w:r>
            <w:r>
              <w:rPr>
                <w:rFonts w:ascii="Times New Roman" w:hAnsi="Times New Roman" w:eastAsia="宋体" w:cs="Times New Roman"/>
                <w:color w:val="auto"/>
                <w:sz w:val="24"/>
                <w:highlight w:val="none"/>
              </w:rPr>
              <w:t>/h（因集气罩各密闭区和外界通风的隔离交界面控制风速应不低于 0.6m/s，以保证废气收集的效率。故废气收集所需风量约为 3600×0.6m/s×0.4m×0.4m=345.6 m</w:t>
            </w:r>
            <w:r>
              <w:rPr>
                <w:rFonts w:ascii="Times New Roman" w:hAnsi="Times New Roman" w:eastAsia="宋体" w:cs="Times New Roman"/>
                <w:color w:val="auto"/>
                <w:sz w:val="24"/>
                <w:highlight w:val="none"/>
                <w:vertAlign w:val="superscript"/>
              </w:rPr>
              <w:t>3</w:t>
            </w:r>
            <w:r>
              <w:rPr>
                <w:rFonts w:ascii="Times New Roman" w:hAnsi="Times New Roman" w:eastAsia="宋体" w:cs="Times New Roman"/>
                <w:color w:val="auto"/>
                <w:sz w:val="24"/>
                <w:highlight w:val="none"/>
              </w:rPr>
              <w:t>/h，因集气罩高度与发泡机排气孔有一定的距离，故每个集气罩的风量约为1000 m</w:t>
            </w:r>
            <w:r>
              <w:rPr>
                <w:rFonts w:ascii="Times New Roman" w:hAnsi="Times New Roman" w:eastAsia="宋体" w:cs="Times New Roman"/>
                <w:color w:val="auto"/>
                <w:sz w:val="24"/>
                <w:highlight w:val="none"/>
                <w:vertAlign w:val="superscript"/>
              </w:rPr>
              <w:t>3</w:t>
            </w:r>
            <w:r>
              <w:rPr>
                <w:rFonts w:ascii="Times New Roman" w:hAnsi="Times New Roman" w:eastAsia="宋体" w:cs="Times New Roman"/>
                <w:color w:val="auto"/>
                <w:sz w:val="24"/>
                <w:highlight w:val="none"/>
              </w:rPr>
              <w:t>/h以保证废气有效收集）。</w:t>
            </w:r>
          </w:p>
          <w:p>
            <w:pPr>
              <w:spacing w:line="360" w:lineRule="auto"/>
              <w:ind w:firstLine="480" w:firstLineChars="200"/>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项目共有9台成型机，拟在成型机上方分别设置集气罩对其进行收集，且集气罩设置均于污染源产生点的正上方，罩口距离污染源为0.3m，保证产生的废气可以充分收集。集气罩尺寸设为800mm*700mm，根据《简明通风设计手册》上吸罩截面最小控制风速为0.25~0.5m/s，现上吸罩截面最小控制风速按0.5m/s计算，成型机集气罩设计计算风量为0.8*0.7*0.5*3600=1008 m</w:t>
            </w:r>
            <w:r>
              <w:rPr>
                <w:rFonts w:hint="eastAsia" w:ascii="Times New Roman" w:hAnsi="Times New Roman" w:eastAsia="宋体" w:cs="Times New Roman"/>
                <w:color w:val="auto"/>
                <w:sz w:val="24"/>
                <w:highlight w:val="none"/>
                <w:vertAlign w:val="superscript"/>
              </w:rPr>
              <w:t>3</w:t>
            </w:r>
            <w:r>
              <w:rPr>
                <w:rFonts w:hint="eastAsia" w:ascii="Times New Roman" w:hAnsi="Times New Roman" w:eastAsia="宋体" w:cs="Times New Roman"/>
                <w:color w:val="auto"/>
                <w:sz w:val="24"/>
                <w:highlight w:val="none"/>
              </w:rPr>
              <w:t>/h。故其部分风量应为</w:t>
            </w:r>
            <w:r>
              <w:rPr>
                <w:rFonts w:ascii="Times New Roman" w:hAnsi="Times New Roman" w:eastAsia="宋体" w:cs="Times New Roman"/>
                <w:color w:val="auto"/>
                <w:sz w:val="24"/>
                <w:highlight w:val="none"/>
              </w:rPr>
              <w:t>9072</w:t>
            </w:r>
            <w:r>
              <w:rPr>
                <w:rFonts w:hint="eastAsia" w:ascii="Times New Roman" w:hAnsi="Times New Roman" w:eastAsia="宋体" w:cs="Times New Roman"/>
                <w:color w:val="auto"/>
                <w:sz w:val="24"/>
                <w:highlight w:val="none"/>
              </w:rPr>
              <w:t xml:space="preserve"> m</w:t>
            </w:r>
            <w:r>
              <w:rPr>
                <w:rFonts w:hint="eastAsia" w:ascii="Times New Roman" w:hAnsi="Times New Roman" w:eastAsia="宋体" w:cs="Times New Roman"/>
                <w:color w:val="auto"/>
                <w:sz w:val="24"/>
                <w:highlight w:val="none"/>
                <w:vertAlign w:val="superscript"/>
              </w:rPr>
              <w:t>3</w:t>
            </w:r>
            <w:r>
              <w:rPr>
                <w:rFonts w:hint="eastAsia" w:ascii="Times New Roman" w:hAnsi="Times New Roman" w:eastAsia="宋体" w:cs="Times New Roman"/>
                <w:color w:val="auto"/>
                <w:sz w:val="24"/>
                <w:highlight w:val="none"/>
              </w:rPr>
              <w:t>/h。</w:t>
            </w:r>
          </w:p>
          <w:p>
            <w:pPr>
              <w:spacing w:line="360" w:lineRule="auto"/>
              <w:ind w:firstLine="480" w:firstLineChars="200"/>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考虑到漏风等损失因素，所以本环评建议废气</w:t>
            </w:r>
            <w:r>
              <w:rPr>
                <w:rFonts w:ascii="Times New Roman" w:hAnsi="Times New Roman" w:eastAsia="宋体" w:cs="Times New Roman"/>
                <w:color w:val="auto"/>
                <w:sz w:val="24"/>
                <w:highlight w:val="none"/>
              </w:rPr>
              <w:t>总</w:t>
            </w:r>
            <w:r>
              <w:rPr>
                <w:rFonts w:hint="eastAsia" w:ascii="Times New Roman" w:hAnsi="Times New Roman" w:eastAsia="宋体" w:cs="Times New Roman"/>
                <w:color w:val="auto"/>
                <w:sz w:val="24"/>
                <w:highlight w:val="none"/>
              </w:rPr>
              <w:t>处理风量取</w:t>
            </w:r>
            <w:r>
              <w:rPr>
                <w:rFonts w:ascii="Times New Roman" w:hAnsi="Times New Roman" w:eastAsia="宋体" w:cs="Times New Roman"/>
                <w:color w:val="auto"/>
                <w:sz w:val="24"/>
                <w:highlight w:val="none"/>
              </w:rPr>
              <w:t>13</w:t>
            </w:r>
            <w:r>
              <w:rPr>
                <w:rFonts w:hint="eastAsia" w:ascii="Times New Roman" w:hAnsi="Times New Roman" w:eastAsia="宋体" w:cs="Times New Roman"/>
                <w:color w:val="auto"/>
                <w:sz w:val="24"/>
                <w:highlight w:val="none"/>
              </w:rPr>
              <w:t>000m</w:t>
            </w:r>
            <w:r>
              <w:rPr>
                <w:rFonts w:hint="eastAsia" w:ascii="Times New Roman" w:hAnsi="Times New Roman" w:eastAsia="宋体" w:cs="Times New Roman"/>
                <w:color w:val="auto"/>
                <w:sz w:val="24"/>
                <w:highlight w:val="none"/>
                <w:vertAlign w:val="superscript"/>
              </w:rPr>
              <w:t>3</w:t>
            </w:r>
            <w:r>
              <w:rPr>
                <w:rFonts w:hint="eastAsia" w:ascii="Times New Roman" w:hAnsi="Times New Roman" w:eastAsia="宋体" w:cs="Times New Roman"/>
                <w:color w:val="auto"/>
                <w:sz w:val="24"/>
                <w:highlight w:val="none"/>
              </w:rPr>
              <w:t>/h，</w:t>
            </w:r>
            <w:r>
              <w:rPr>
                <w:rFonts w:ascii="Times New Roman" w:hAnsi="Times New Roman" w:eastAsia="宋体" w:cs="Times New Roman"/>
                <w:color w:val="auto"/>
                <w:sz w:val="24"/>
                <w:highlight w:val="none"/>
              </w:rPr>
              <w:t>收集率约为85%。</w:t>
            </w:r>
          </w:p>
          <w:p>
            <w:pPr>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目前，针对有机废气的处理工艺，有传统的吸附法、吸收法、冷凝技术和生物技术，联用的吸附-催化燃烧，新技术主要有低温等离子体技术、光催化技术等，从技术方法原理与应用实例来看，以上技术均有一定的应用效果，参照《广东省印刷行业挥发性有机化合物废气治理技术指南》（广东省环境保护厅2013年11月12日发布，2013年11月15日实施）、《广东省家具制造行业挥发性有机废气治理技术指南》（广东省环境保护厅2014年12月22日发布，2015年1月1日实施），各种典型VOCs治理技术的环境效应如下表所示：</w:t>
            </w:r>
          </w:p>
          <w:p>
            <w:pPr>
              <w:spacing w:line="276" w:lineRule="auto"/>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表</w:t>
            </w:r>
            <w:r>
              <w:rPr>
                <w:rFonts w:hint="eastAsia" w:ascii="Times New Roman" w:hAnsi="Times New Roman" w:eastAsia="宋体" w:cs="Times New Roman"/>
                <w:b/>
                <w:bCs/>
                <w:color w:val="auto"/>
                <w:szCs w:val="21"/>
                <w:highlight w:val="none"/>
              </w:rPr>
              <w:t>5-</w:t>
            </w:r>
            <w:r>
              <w:rPr>
                <w:rFonts w:ascii="Times New Roman" w:hAnsi="Times New Roman" w:eastAsia="宋体" w:cs="Times New Roman"/>
                <w:b/>
                <w:bCs/>
                <w:color w:val="auto"/>
                <w:szCs w:val="21"/>
                <w:highlight w:val="none"/>
              </w:rPr>
              <w:t>2典型VOCs治理技术的环境效应一览表</w:t>
            </w:r>
          </w:p>
          <w:tbl>
            <w:tblPr>
              <w:tblStyle w:val="22"/>
              <w:tblW w:w="8286"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342"/>
              <w:gridCol w:w="1796"/>
              <w:gridCol w:w="1455"/>
              <w:gridCol w:w="369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97" w:hRule="atLeast"/>
                <w:jc w:val="center"/>
              </w:trPr>
              <w:tc>
                <w:tcPr>
                  <w:tcW w:w="1342" w:type="dxa"/>
                  <w:vAlign w:val="center"/>
                </w:tcPr>
                <w:p>
                  <w:pPr>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治理技术</w:t>
                  </w:r>
                </w:p>
              </w:tc>
              <w:tc>
                <w:tcPr>
                  <w:tcW w:w="1796" w:type="dxa"/>
                  <w:vAlign w:val="center"/>
                </w:tcPr>
                <w:p>
                  <w:pPr>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适用条件</w:t>
                  </w:r>
                </w:p>
              </w:tc>
              <w:tc>
                <w:tcPr>
                  <w:tcW w:w="1455" w:type="dxa"/>
                  <w:vAlign w:val="center"/>
                </w:tcPr>
                <w:p>
                  <w:pPr>
                    <w:pStyle w:val="24"/>
                    <w:ind w:left="-105" w:leftChars="-50" w:right="-105" w:rightChars="-5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highlight w:val="none"/>
                    </w:rPr>
                    <w:t>治理效果（%）</w:t>
                  </w:r>
                </w:p>
              </w:tc>
              <w:tc>
                <w:tcPr>
                  <w:tcW w:w="3693" w:type="dxa"/>
                  <w:vAlign w:val="center"/>
                </w:tcPr>
                <w:p>
                  <w:pPr>
                    <w:pStyle w:val="24"/>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highlight w:val="none"/>
                    </w:rPr>
                    <w:t>存在问题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97" w:hRule="atLeast"/>
                <w:jc w:val="center"/>
              </w:trPr>
              <w:tc>
                <w:tcPr>
                  <w:tcW w:w="1342" w:type="dxa"/>
                  <w:vAlign w:val="center"/>
                </w:tcPr>
                <w:p>
                  <w:pPr>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吸附法</w:t>
                  </w:r>
                </w:p>
              </w:tc>
              <w:tc>
                <w:tcPr>
                  <w:tcW w:w="1796" w:type="dxa"/>
                  <w:vAlign w:val="center"/>
                </w:tcPr>
                <w:p>
                  <w:pPr>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低VOCs浓度</w:t>
                  </w:r>
                </w:p>
              </w:tc>
              <w:tc>
                <w:tcPr>
                  <w:tcW w:w="1455" w:type="dxa"/>
                  <w:vAlign w:val="center"/>
                </w:tcPr>
                <w:p>
                  <w:pPr>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highlight w:val="none"/>
                    </w:rPr>
                    <w:t>50～80</w:t>
                  </w:r>
                </w:p>
              </w:tc>
              <w:tc>
                <w:tcPr>
                  <w:tcW w:w="3693" w:type="dxa"/>
                  <w:vAlign w:val="center"/>
                </w:tcPr>
                <w:p>
                  <w:pPr>
                    <w:pStyle w:val="24"/>
                    <w:jc w:val="both"/>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fldChar w:fldCharType="begin"/>
                  </w:r>
                  <w:r>
                    <w:rPr>
                      <w:rFonts w:ascii="Times New Roman" w:hAnsi="Times New Roman" w:cs="Times New Roman"/>
                      <w:b/>
                      <w:bCs/>
                      <w:color w:val="auto"/>
                      <w:sz w:val="21"/>
                      <w:szCs w:val="21"/>
                      <w:highlight w:val="none"/>
                    </w:rPr>
                    <w:instrText xml:space="preserve"> = 1 \* GB3 \* MERGEFORMAT </w:instrText>
                  </w:r>
                  <w:r>
                    <w:rPr>
                      <w:rFonts w:ascii="Times New Roman" w:hAnsi="Times New Roman" w:cs="Times New Roman"/>
                      <w:b/>
                      <w:bCs/>
                      <w:color w:val="auto"/>
                      <w:sz w:val="21"/>
                      <w:szCs w:val="21"/>
                      <w:highlight w:val="none"/>
                    </w:rPr>
                    <w:fldChar w:fldCharType="separate"/>
                  </w:r>
                  <w:r>
                    <w:rPr>
                      <w:rFonts w:ascii="Times New Roman" w:hAnsi="Times New Roman" w:cs="Times New Roman"/>
                      <w:b/>
                      <w:bCs/>
                      <w:color w:val="auto"/>
                      <w:sz w:val="21"/>
                      <w:szCs w:val="21"/>
                      <w:highlight w:val="none"/>
                    </w:rPr>
                    <w:t>①</w:t>
                  </w:r>
                  <w:r>
                    <w:rPr>
                      <w:rFonts w:ascii="Times New Roman" w:hAnsi="Times New Roman" w:cs="Times New Roman"/>
                      <w:b/>
                      <w:bCs/>
                      <w:color w:val="auto"/>
                      <w:sz w:val="21"/>
                      <w:szCs w:val="21"/>
                      <w:highlight w:val="none"/>
                    </w:rPr>
                    <w:fldChar w:fldCharType="end"/>
                  </w:r>
                  <w:r>
                    <w:rPr>
                      <w:rFonts w:ascii="Times New Roman" w:hAnsi="Times New Roman" w:cs="Times New Roman"/>
                      <w:b/>
                      <w:bCs/>
                      <w:color w:val="auto"/>
                      <w:sz w:val="21"/>
                      <w:szCs w:val="21"/>
                      <w:highlight w:val="none"/>
                    </w:rPr>
                    <w:t>活性炭需要及时更换，否则治理效率大大降低</w:t>
                  </w:r>
                </w:p>
                <w:p>
                  <w:pPr>
                    <w:pStyle w:val="24"/>
                    <w:jc w:val="both"/>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fldChar w:fldCharType="begin"/>
                  </w:r>
                  <w:r>
                    <w:rPr>
                      <w:rFonts w:ascii="Times New Roman" w:hAnsi="Times New Roman" w:cs="Times New Roman"/>
                      <w:b/>
                      <w:bCs/>
                      <w:color w:val="auto"/>
                      <w:sz w:val="21"/>
                      <w:szCs w:val="21"/>
                      <w:highlight w:val="none"/>
                    </w:rPr>
                    <w:instrText xml:space="preserve"> = 2 \* GB3 \* MERGEFORMAT </w:instrText>
                  </w:r>
                  <w:r>
                    <w:rPr>
                      <w:rFonts w:ascii="Times New Roman" w:hAnsi="Times New Roman" w:cs="Times New Roman"/>
                      <w:b/>
                      <w:bCs/>
                      <w:color w:val="auto"/>
                      <w:sz w:val="21"/>
                      <w:szCs w:val="21"/>
                      <w:highlight w:val="none"/>
                    </w:rPr>
                    <w:fldChar w:fldCharType="separate"/>
                  </w:r>
                  <w:r>
                    <w:rPr>
                      <w:rFonts w:ascii="Times New Roman" w:hAnsi="Times New Roman" w:cs="Times New Roman"/>
                      <w:b/>
                      <w:bCs/>
                      <w:color w:val="auto"/>
                      <w:sz w:val="21"/>
                      <w:szCs w:val="21"/>
                      <w:highlight w:val="none"/>
                    </w:rPr>
                    <w:t>②</w:t>
                  </w:r>
                  <w:r>
                    <w:rPr>
                      <w:rFonts w:ascii="Times New Roman" w:hAnsi="Times New Roman" w:cs="Times New Roman"/>
                      <w:b/>
                      <w:bCs/>
                      <w:color w:val="auto"/>
                      <w:sz w:val="21"/>
                      <w:szCs w:val="21"/>
                      <w:highlight w:val="none"/>
                    </w:rPr>
                    <w:fldChar w:fldCharType="end"/>
                  </w:r>
                  <w:r>
                    <w:rPr>
                      <w:rFonts w:ascii="Times New Roman" w:hAnsi="Times New Roman" w:cs="Times New Roman"/>
                      <w:b/>
                      <w:bCs/>
                      <w:color w:val="auto"/>
                      <w:sz w:val="21"/>
                      <w:szCs w:val="21"/>
                      <w:highlight w:val="none"/>
                    </w:rPr>
                    <w:t>监管存在较大问题</w:t>
                  </w:r>
                </w:p>
                <w:p>
                  <w:pPr>
                    <w:pStyle w:val="24"/>
                    <w:jc w:val="both"/>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fldChar w:fldCharType="begin"/>
                  </w:r>
                  <w:r>
                    <w:rPr>
                      <w:rFonts w:ascii="Times New Roman" w:hAnsi="Times New Roman" w:cs="Times New Roman"/>
                      <w:b/>
                      <w:bCs/>
                      <w:color w:val="auto"/>
                      <w:sz w:val="21"/>
                      <w:szCs w:val="21"/>
                      <w:highlight w:val="none"/>
                    </w:rPr>
                    <w:instrText xml:space="preserve"> = 3 \* GB3 \* MERGEFORMAT </w:instrText>
                  </w:r>
                  <w:r>
                    <w:rPr>
                      <w:rFonts w:ascii="Times New Roman" w:hAnsi="Times New Roman" w:cs="Times New Roman"/>
                      <w:b/>
                      <w:bCs/>
                      <w:color w:val="auto"/>
                      <w:sz w:val="21"/>
                      <w:szCs w:val="21"/>
                      <w:highlight w:val="none"/>
                    </w:rPr>
                    <w:fldChar w:fldCharType="separate"/>
                  </w:r>
                  <w:r>
                    <w:rPr>
                      <w:rFonts w:ascii="Times New Roman" w:hAnsi="Times New Roman" w:cs="Times New Roman"/>
                      <w:b/>
                      <w:bCs/>
                      <w:color w:val="auto"/>
                      <w:sz w:val="21"/>
                      <w:szCs w:val="21"/>
                      <w:highlight w:val="none"/>
                    </w:rPr>
                    <w:t>③</w:t>
                  </w:r>
                  <w:r>
                    <w:rPr>
                      <w:rFonts w:ascii="Times New Roman" w:hAnsi="Times New Roman" w:cs="Times New Roman"/>
                      <w:b/>
                      <w:bCs/>
                      <w:color w:val="auto"/>
                      <w:sz w:val="21"/>
                      <w:szCs w:val="21"/>
                      <w:highlight w:val="none"/>
                    </w:rPr>
                    <w:fldChar w:fldCharType="end"/>
                  </w:r>
                  <w:r>
                    <w:rPr>
                      <w:rFonts w:ascii="Times New Roman" w:hAnsi="Times New Roman" w:cs="Times New Roman"/>
                      <w:b/>
                      <w:bCs/>
                      <w:color w:val="auto"/>
                      <w:sz w:val="21"/>
                      <w:szCs w:val="21"/>
                      <w:highlight w:val="none"/>
                    </w:rPr>
                    <w:t>活性炭质量影响治理效率</w:t>
                  </w:r>
                </w:p>
                <w:p>
                  <w:pPr>
                    <w:pStyle w:val="24"/>
                    <w:jc w:val="both"/>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fldChar w:fldCharType="begin"/>
                  </w:r>
                  <w:r>
                    <w:rPr>
                      <w:rFonts w:ascii="Times New Roman" w:hAnsi="Times New Roman" w:cs="Times New Roman"/>
                      <w:b/>
                      <w:bCs/>
                      <w:color w:val="auto"/>
                      <w:sz w:val="21"/>
                      <w:szCs w:val="21"/>
                      <w:highlight w:val="none"/>
                    </w:rPr>
                    <w:instrText xml:space="preserve"> = 4 \* GB3 \* MERGEFORMAT </w:instrText>
                  </w:r>
                  <w:r>
                    <w:rPr>
                      <w:rFonts w:ascii="Times New Roman" w:hAnsi="Times New Roman" w:cs="Times New Roman"/>
                      <w:b/>
                      <w:bCs/>
                      <w:color w:val="auto"/>
                      <w:sz w:val="21"/>
                      <w:szCs w:val="21"/>
                      <w:highlight w:val="none"/>
                    </w:rPr>
                    <w:fldChar w:fldCharType="separate"/>
                  </w:r>
                  <w:r>
                    <w:rPr>
                      <w:rFonts w:ascii="Times New Roman" w:hAnsi="Times New Roman" w:cs="Times New Roman"/>
                      <w:b/>
                      <w:bCs/>
                      <w:color w:val="auto"/>
                      <w:sz w:val="21"/>
                      <w:szCs w:val="21"/>
                      <w:highlight w:val="none"/>
                    </w:rPr>
                    <w:t>④</w:t>
                  </w:r>
                  <w:r>
                    <w:rPr>
                      <w:rFonts w:ascii="Times New Roman" w:hAnsi="Times New Roman" w:cs="Times New Roman"/>
                      <w:b/>
                      <w:bCs/>
                      <w:color w:val="auto"/>
                      <w:sz w:val="21"/>
                      <w:szCs w:val="21"/>
                      <w:highlight w:val="none"/>
                    </w:rPr>
                    <w:fldChar w:fldCharType="end"/>
                  </w:r>
                  <w:r>
                    <w:rPr>
                      <w:rFonts w:ascii="Times New Roman" w:hAnsi="Times New Roman" w:cs="Times New Roman"/>
                      <w:b/>
                      <w:bCs/>
                      <w:color w:val="auto"/>
                      <w:sz w:val="21"/>
                      <w:szCs w:val="21"/>
                      <w:highlight w:val="none"/>
                    </w:rPr>
                    <w:t>吸附后产生危险固废</w:t>
                  </w:r>
                </w:p>
                <w:p>
                  <w:pP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fldChar w:fldCharType="begin"/>
                  </w:r>
                  <w:r>
                    <w:rPr>
                      <w:rFonts w:ascii="Times New Roman" w:hAnsi="Times New Roman" w:eastAsia="宋体" w:cs="Times New Roman"/>
                      <w:b/>
                      <w:bCs/>
                      <w:color w:val="auto"/>
                      <w:szCs w:val="21"/>
                      <w:highlight w:val="none"/>
                    </w:rPr>
                    <w:instrText xml:space="preserve"> = 5 \* GB3 \* MERGEFORMAT </w:instrText>
                  </w:r>
                  <w:r>
                    <w:rPr>
                      <w:rFonts w:ascii="Times New Roman" w:hAnsi="Times New Roman" w:eastAsia="宋体" w:cs="Times New Roman"/>
                      <w:b/>
                      <w:bCs/>
                      <w:color w:val="auto"/>
                      <w:szCs w:val="21"/>
                      <w:highlight w:val="none"/>
                    </w:rPr>
                    <w:fldChar w:fldCharType="separate"/>
                  </w:r>
                  <w:r>
                    <w:rPr>
                      <w:rFonts w:ascii="Times New Roman" w:hAnsi="Times New Roman" w:eastAsia="宋体" w:cs="Times New Roman"/>
                      <w:b/>
                      <w:bCs/>
                      <w:color w:val="auto"/>
                      <w:szCs w:val="21"/>
                      <w:highlight w:val="none"/>
                    </w:rPr>
                    <w:t>⑤</w:t>
                  </w:r>
                  <w:r>
                    <w:rPr>
                      <w:rFonts w:ascii="Times New Roman" w:hAnsi="Times New Roman" w:eastAsia="宋体" w:cs="Times New Roman"/>
                      <w:b/>
                      <w:bCs/>
                      <w:color w:val="auto"/>
                      <w:szCs w:val="21"/>
                      <w:highlight w:val="none"/>
                    </w:rPr>
                    <w:fldChar w:fldCharType="end"/>
                  </w:r>
                  <w:r>
                    <w:rPr>
                      <w:rFonts w:ascii="Times New Roman" w:hAnsi="Times New Roman" w:eastAsia="宋体" w:cs="Times New Roman"/>
                      <w:b/>
                      <w:bCs/>
                      <w:color w:val="auto"/>
                      <w:szCs w:val="21"/>
                      <w:highlight w:val="none"/>
                    </w:rPr>
                    <w:t>对酮类物质去除效果差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97" w:hRule="atLeast"/>
                <w:jc w:val="center"/>
              </w:trPr>
              <w:tc>
                <w:tcPr>
                  <w:tcW w:w="1342" w:type="dxa"/>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吸收法</w:t>
                  </w:r>
                </w:p>
              </w:tc>
              <w:tc>
                <w:tcPr>
                  <w:tcW w:w="1796" w:type="dxa"/>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废气流量大，VOCs浓度较高</w:t>
                  </w:r>
                </w:p>
              </w:tc>
              <w:tc>
                <w:tcPr>
                  <w:tcW w:w="1455" w:type="dxa"/>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60</w:t>
                  </w:r>
                  <w:r>
                    <w:rPr>
                      <w:rFonts w:ascii="Times New Roman" w:hAnsi="Times New Roman" w:eastAsia="宋体" w:cs="Times New Roman"/>
                      <w:color w:val="auto"/>
                      <w:highlight w:val="none"/>
                    </w:rPr>
                    <w:t>～70</w:t>
                  </w:r>
                </w:p>
              </w:tc>
              <w:tc>
                <w:tcPr>
                  <w:tcW w:w="3693" w:type="dxa"/>
                  <w:vAlign w:val="center"/>
                </w:tcPr>
                <w:p>
                  <w:pP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fldChar w:fldCharType="begin"/>
                  </w:r>
                  <w:r>
                    <w:rPr>
                      <w:rFonts w:ascii="Times New Roman" w:hAnsi="Times New Roman" w:eastAsia="宋体" w:cs="Times New Roman"/>
                      <w:color w:val="auto"/>
                      <w:szCs w:val="21"/>
                      <w:highlight w:val="none"/>
                    </w:rPr>
                    <w:instrText xml:space="preserve"> = 1 \* GB3 \* MERGEFORMAT </w:instrText>
                  </w:r>
                  <w:r>
                    <w:rPr>
                      <w:rFonts w:ascii="Times New Roman" w:hAnsi="Times New Roman" w:eastAsia="宋体" w:cs="Times New Roman"/>
                      <w:color w:val="auto"/>
                      <w:szCs w:val="21"/>
                      <w:highlight w:val="none"/>
                    </w:rPr>
                    <w:fldChar w:fldCharType="separate"/>
                  </w:r>
                  <w:r>
                    <w:rPr>
                      <w:rFonts w:ascii="Times New Roman" w:hAnsi="Times New Roman" w:eastAsia="宋体" w:cs="Times New Roman"/>
                      <w:color w:val="auto"/>
                      <w:szCs w:val="21"/>
                      <w:highlight w:val="none"/>
                    </w:rPr>
                    <w:t>①</w:t>
                  </w:r>
                  <w:r>
                    <w:rPr>
                      <w:rFonts w:ascii="Times New Roman" w:hAnsi="Times New Roman" w:eastAsia="宋体" w:cs="Times New Roman"/>
                      <w:color w:val="auto"/>
                      <w:szCs w:val="21"/>
                      <w:highlight w:val="none"/>
                    </w:rPr>
                    <w:fldChar w:fldCharType="end"/>
                  </w:r>
                  <w:r>
                    <w:rPr>
                      <w:rFonts w:ascii="Times New Roman" w:hAnsi="Times New Roman" w:eastAsia="宋体" w:cs="Times New Roman"/>
                      <w:color w:val="auto"/>
                      <w:szCs w:val="21"/>
                      <w:highlight w:val="none"/>
                    </w:rPr>
                    <w:t>产生大量废水</w:t>
                  </w:r>
                </w:p>
                <w:p>
                  <w:pP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fldChar w:fldCharType="begin"/>
                  </w:r>
                  <w:r>
                    <w:rPr>
                      <w:rFonts w:ascii="Times New Roman" w:hAnsi="Times New Roman" w:eastAsia="宋体" w:cs="Times New Roman"/>
                      <w:color w:val="auto"/>
                      <w:szCs w:val="21"/>
                      <w:highlight w:val="none"/>
                    </w:rPr>
                    <w:instrText xml:space="preserve"> = 2 \* GB3 \* MERGEFORMAT </w:instrText>
                  </w:r>
                  <w:r>
                    <w:rPr>
                      <w:rFonts w:ascii="Times New Roman" w:hAnsi="Times New Roman" w:eastAsia="宋体" w:cs="Times New Roman"/>
                      <w:color w:val="auto"/>
                      <w:szCs w:val="21"/>
                      <w:highlight w:val="none"/>
                    </w:rPr>
                    <w:fldChar w:fldCharType="separate"/>
                  </w:r>
                  <w:r>
                    <w:rPr>
                      <w:rFonts w:ascii="Times New Roman" w:hAnsi="Times New Roman" w:eastAsia="宋体" w:cs="Times New Roman"/>
                      <w:color w:val="auto"/>
                      <w:szCs w:val="21"/>
                      <w:highlight w:val="none"/>
                    </w:rPr>
                    <w:t>②</w:t>
                  </w:r>
                  <w:r>
                    <w:rPr>
                      <w:rFonts w:ascii="Times New Roman" w:hAnsi="Times New Roman" w:eastAsia="宋体" w:cs="Times New Roman"/>
                      <w:color w:val="auto"/>
                      <w:szCs w:val="21"/>
                      <w:highlight w:val="none"/>
                    </w:rPr>
                    <w:fldChar w:fldCharType="end"/>
                  </w:r>
                  <w:r>
                    <w:rPr>
                      <w:rFonts w:ascii="Times New Roman" w:hAnsi="Times New Roman" w:eastAsia="宋体" w:cs="Times New Roman"/>
                      <w:color w:val="auto"/>
                      <w:szCs w:val="21"/>
                      <w:highlight w:val="none"/>
                    </w:rPr>
                    <w:t>吸收剂要求高，直接影响吸收效果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97" w:hRule="atLeast"/>
                <w:jc w:val="center"/>
              </w:trPr>
              <w:tc>
                <w:tcPr>
                  <w:tcW w:w="1342" w:type="dxa"/>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吸附-催化燃烧法</w:t>
                  </w:r>
                </w:p>
              </w:tc>
              <w:tc>
                <w:tcPr>
                  <w:tcW w:w="1796" w:type="dxa"/>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废气流量大，VOCs浓度较高</w:t>
                  </w:r>
                </w:p>
              </w:tc>
              <w:tc>
                <w:tcPr>
                  <w:tcW w:w="1455" w:type="dxa"/>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≥95</w:t>
                  </w:r>
                </w:p>
              </w:tc>
              <w:tc>
                <w:tcPr>
                  <w:tcW w:w="3693" w:type="dxa"/>
                  <w:vAlign w:val="center"/>
                </w:tcPr>
                <w:p>
                  <w:pPr>
                    <w:pStyle w:val="24"/>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fldChar w:fldCharType="begin"/>
                  </w:r>
                  <w:r>
                    <w:rPr>
                      <w:rFonts w:ascii="Times New Roman" w:hAnsi="Times New Roman" w:cs="Times New Roman"/>
                      <w:color w:val="auto"/>
                      <w:sz w:val="21"/>
                      <w:szCs w:val="21"/>
                      <w:highlight w:val="none"/>
                    </w:rPr>
                    <w:instrText xml:space="preserve"> = 1 \* GB3 \* MERGEFORMAT </w:instrText>
                  </w:r>
                  <w:r>
                    <w:rPr>
                      <w:rFonts w:ascii="Times New Roman" w:hAnsi="Times New Roman" w:cs="Times New Roman"/>
                      <w:color w:val="auto"/>
                      <w:sz w:val="21"/>
                      <w:szCs w:val="21"/>
                      <w:highlight w:val="none"/>
                    </w:rPr>
                    <w:fldChar w:fldCharType="separate"/>
                  </w:r>
                  <w:r>
                    <w:rPr>
                      <w:rFonts w:ascii="Times New Roman" w:hAnsi="Times New Roman" w:cs="Times New Roman"/>
                      <w:color w:val="auto"/>
                      <w:sz w:val="21"/>
                      <w:szCs w:val="21"/>
                      <w:highlight w:val="none"/>
                    </w:rPr>
                    <w:t>①</w:t>
                  </w:r>
                  <w:r>
                    <w:rPr>
                      <w:rFonts w:ascii="Times New Roman" w:hAnsi="Times New Roman" w:cs="Times New Roman"/>
                      <w:color w:val="auto"/>
                      <w:sz w:val="21"/>
                      <w:szCs w:val="21"/>
                      <w:highlight w:val="none"/>
                    </w:rPr>
                    <w:fldChar w:fldCharType="end"/>
                  </w:r>
                  <w:r>
                    <w:rPr>
                      <w:rFonts w:ascii="Times New Roman" w:hAnsi="Times New Roman" w:cs="Times New Roman"/>
                      <w:color w:val="auto"/>
                      <w:sz w:val="21"/>
                      <w:szCs w:val="21"/>
                      <w:highlight w:val="none"/>
                    </w:rPr>
                    <w:t>适用于VOCs浓度较大的工况</w:t>
                  </w:r>
                </w:p>
                <w:p>
                  <w:pP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fldChar w:fldCharType="begin"/>
                  </w:r>
                  <w:r>
                    <w:rPr>
                      <w:rFonts w:ascii="Times New Roman" w:hAnsi="Times New Roman" w:eastAsia="宋体" w:cs="Times New Roman"/>
                      <w:color w:val="auto"/>
                      <w:szCs w:val="21"/>
                      <w:highlight w:val="none"/>
                    </w:rPr>
                    <w:instrText xml:space="preserve"> = 2 \* GB3 \* MERGEFORMAT </w:instrText>
                  </w:r>
                  <w:r>
                    <w:rPr>
                      <w:rFonts w:ascii="Times New Roman" w:hAnsi="Times New Roman" w:eastAsia="宋体" w:cs="Times New Roman"/>
                      <w:color w:val="auto"/>
                      <w:szCs w:val="21"/>
                      <w:highlight w:val="none"/>
                    </w:rPr>
                    <w:fldChar w:fldCharType="separate"/>
                  </w:r>
                  <w:r>
                    <w:rPr>
                      <w:rFonts w:ascii="Times New Roman" w:hAnsi="Times New Roman" w:eastAsia="宋体" w:cs="Times New Roman"/>
                      <w:color w:val="auto"/>
                      <w:szCs w:val="21"/>
                      <w:highlight w:val="none"/>
                    </w:rPr>
                    <w:t>②</w:t>
                  </w:r>
                  <w:r>
                    <w:rPr>
                      <w:rFonts w:ascii="Times New Roman" w:hAnsi="Times New Roman" w:eastAsia="宋体" w:cs="Times New Roman"/>
                      <w:color w:val="auto"/>
                      <w:szCs w:val="21"/>
                      <w:highlight w:val="none"/>
                    </w:rPr>
                    <w:fldChar w:fldCharType="end"/>
                  </w:r>
                  <w:r>
                    <w:rPr>
                      <w:rFonts w:ascii="Times New Roman" w:hAnsi="Times New Roman" w:eastAsia="宋体" w:cs="Times New Roman"/>
                      <w:color w:val="auto"/>
                      <w:szCs w:val="21"/>
                      <w:highlight w:val="none"/>
                    </w:rPr>
                    <w:t>存在一定安全隐患</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97" w:hRule="atLeast"/>
                <w:jc w:val="center"/>
              </w:trPr>
              <w:tc>
                <w:tcPr>
                  <w:tcW w:w="1342" w:type="dxa"/>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低温等离子体法</w:t>
                  </w:r>
                </w:p>
              </w:tc>
              <w:tc>
                <w:tcPr>
                  <w:tcW w:w="1796" w:type="dxa"/>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废气流量大，高VOCs浓度</w:t>
                  </w:r>
                </w:p>
              </w:tc>
              <w:tc>
                <w:tcPr>
                  <w:tcW w:w="1455" w:type="dxa"/>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50</w:t>
                  </w:r>
                  <w:r>
                    <w:rPr>
                      <w:rFonts w:ascii="Times New Roman" w:hAnsi="Times New Roman" w:eastAsia="宋体" w:cs="Times New Roman"/>
                      <w:color w:val="auto"/>
                      <w:highlight w:val="none"/>
                    </w:rPr>
                    <w:t>～90</w:t>
                  </w:r>
                </w:p>
              </w:tc>
              <w:tc>
                <w:tcPr>
                  <w:tcW w:w="3693" w:type="dxa"/>
                  <w:vAlign w:val="center"/>
                </w:tcPr>
                <w:p>
                  <w:pPr>
                    <w:pStyle w:val="24"/>
                    <w:jc w:val="both"/>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fldChar w:fldCharType="begin"/>
                  </w:r>
                  <w:r>
                    <w:rPr>
                      <w:rFonts w:ascii="Times New Roman" w:hAnsi="Times New Roman" w:cs="Times New Roman"/>
                      <w:color w:val="auto"/>
                      <w:sz w:val="21"/>
                      <w:szCs w:val="21"/>
                      <w:highlight w:val="none"/>
                    </w:rPr>
                    <w:instrText xml:space="preserve"> = 1 \* GB3 \* MERGEFORMAT </w:instrText>
                  </w:r>
                  <w:r>
                    <w:rPr>
                      <w:rFonts w:ascii="Times New Roman" w:hAnsi="Times New Roman" w:cs="Times New Roman"/>
                      <w:color w:val="auto"/>
                      <w:sz w:val="21"/>
                      <w:szCs w:val="21"/>
                      <w:highlight w:val="none"/>
                    </w:rPr>
                    <w:fldChar w:fldCharType="separate"/>
                  </w:r>
                  <w:r>
                    <w:rPr>
                      <w:rFonts w:ascii="Times New Roman" w:hAnsi="Times New Roman" w:cs="Times New Roman"/>
                      <w:color w:val="auto"/>
                      <w:sz w:val="21"/>
                      <w:szCs w:val="21"/>
                      <w:highlight w:val="none"/>
                    </w:rPr>
                    <w:t>①</w:t>
                  </w:r>
                  <w:r>
                    <w:rPr>
                      <w:rFonts w:ascii="Times New Roman" w:hAnsi="Times New Roman" w:cs="Times New Roman"/>
                      <w:color w:val="auto"/>
                      <w:sz w:val="21"/>
                      <w:szCs w:val="21"/>
                      <w:highlight w:val="none"/>
                    </w:rPr>
                    <w:fldChar w:fldCharType="end"/>
                  </w:r>
                  <w:r>
                    <w:rPr>
                      <w:rFonts w:ascii="Times New Roman" w:hAnsi="Times New Roman" w:cs="Times New Roman"/>
                      <w:color w:val="auto"/>
                      <w:sz w:val="21"/>
                      <w:szCs w:val="21"/>
                      <w:highlight w:val="none"/>
                    </w:rPr>
                    <w:t>治理效率波动范围较大</w:t>
                  </w:r>
                </w:p>
                <w:p>
                  <w:pP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fldChar w:fldCharType="begin"/>
                  </w:r>
                  <w:r>
                    <w:rPr>
                      <w:rFonts w:ascii="Times New Roman" w:hAnsi="Times New Roman" w:eastAsia="宋体" w:cs="Times New Roman"/>
                      <w:color w:val="auto"/>
                      <w:szCs w:val="21"/>
                      <w:highlight w:val="none"/>
                    </w:rPr>
                    <w:instrText xml:space="preserve"> = 2 \* GB3 \* MERGEFORMAT </w:instrText>
                  </w:r>
                  <w:r>
                    <w:rPr>
                      <w:rFonts w:ascii="Times New Roman" w:hAnsi="Times New Roman" w:eastAsia="宋体" w:cs="Times New Roman"/>
                      <w:color w:val="auto"/>
                      <w:szCs w:val="21"/>
                      <w:highlight w:val="none"/>
                    </w:rPr>
                    <w:fldChar w:fldCharType="separate"/>
                  </w:r>
                  <w:r>
                    <w:rPr>
                      <w:rFonts w:ascii="Times New Roman" w:hAnsi="Times New Roman" w:eastAsia="宋体" w:cs="Times New Roman"/>
                      <w:color w:val="auto"/>
                      <w:szCs w:val="21"/>
                      <w:highlight w:val="none"/>
                    </w:rPr>
                    <w:t>②</w:t>
                  </w:r>
                  <w:r>
                    <w:rPr>
                      <w:rFonts w:ascii="Times New Roman" w:hAnsi="Times New Roman" w:eastAsia="宋体" w:cs="Times New Roman"/>
                      <w:color w:val="auto"/>
                      <w:szCs w:val="21"/>
                      <w:highlight w:val="none"/>
                    </w:rPr>
                    <w:fldChar w:fldCharType="end"/>
                  </w:r>
                  <w:r>
                    <w:rPr>
                      <w:rFonts w:ascii="Times New Roman" w:hAnsi="Times New Roman" w:eastAsia="宋体" w:cs="Times New Roman"/>
                      <w:color w:val="auto"/>
                      <w:szCs w:val="21"/>
                      <w:highlight w:val="none"/>
                    </w:rPr>
                    <w:t>可能存在二次VOCs污染</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97" w:hRule="atLeast"/>
                <w:jc w:val="center"/>
              </w:trPr>
              <w:tc>
                <w:tcPr>
                  <w:tcW w:w="1342" w:type="dxa"/>
                  <w:vAlign w:val="center"/>
                </w:tcPr>
                <w:p>
                  <w:pPr>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光催化氧化法</w:t>
                  </w:r>
                </w:p>
              </w:tc>
              <w:tc>
                <w:tcPr>
                  <w:tcW w:w="1796" w:type="dxa"/>
                  <w:vAlign w:val="center"/>
                </w:tcPr>
                <w:p>
                  <w:pPr>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VOCs浓度较高</w:t>
                  </w:r>
                </w:p>
              </w:tc>
              <w:tc>
                <w:tcPr>
                  <w:tcW w:w="1455" w:type="dxa"/>
                  <w:vAlign w:val="center"/>
                </w:tcPr>
                <w:p>
                  <w:pPr>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50</w:t>
                  </w:r>
                  <w:r>
                    <w:rPr>
                      <w:rFonts w:ascii="Times New Roman" w:hAnsi="Times New Roman" w:eastAsia="宋体" w:cs="Times New Roman"/>
                      <w:b/>
                      <w:bCs/>
                      <w:color w:val="auto"/>
                      <w:highlight w:val="none"/>
                    </w:rPr>
                    <w:t>～95</w:t>
                  </w:r>
                </w:p>
              </w:tc>
              <w:tc>
                <w:tcPr>
                  <w:tcW w:w="3693" w:type="dxa"/>
                  <w:vAlign w:val="center"/>
                </w:tcPr>
                <w:p>
                  <w:pPr>
                    <w:pStyle w:val="24"/>
                    <w:jc w:val="both"/>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fldChar w:fldCharType="begin"/>
                  </w:r>
                  <w:r>
                    <w:rPr>
                      <w:rFonts w:ascii="Times New Roman" w:hAnsi="Times New Roman" w:cs="Times New Roman"/>
                      <w:b/>
                      <w:bCs/>
                      <w:color w:val="auto"/>
                      <w:sz w:val="21"/>
                      <w:szCs w:val="21"/>
                      <w:highlight w:val="none"/>
                    </w:rPr>
                    <w:instrText xml:space="preserve"> = 1 \* GB3 \* MERGEFORMAT </w:instrText>
                  </w:r>
                  <w:r>
                    <w:rPr>
                      <w:rFonts w:ascii="Times New Roman" w:hAnsi="Times New Roman" w:cs="Times New Roman"/>
                      <w:b/>
                      <w:bCs/>
                      <w:color w:val="auto"/>
                      <w:sz w:val="21"/>
                      <w:szCs w:val="21"/>
                      <w:highlight w:val="none"/>
                    </w:rPr>
                    <w:fldChar w:fldCharType="separate"/>
                  </w:r>
                  <w:r>
                    <w:rPr>
                      <w:rFonts w:ascii="Times New Roman" w:hAnsi="Times New Roman" w:cs="Times New Roman"/>
                      <w:b/>
                      <w:bCs/>
                      <w:color w:val="auto"/>
                      <w:sz w:val="21"/>
                      <w:szCs w:val="21"/>
                      <w:highlight w:val="none"/>
                    </w:rPr>
                    <w:t>①</w:t>
                  </w:r>
                  <w:r>
                    <w:rPr>
                      <w:rFonts w:ascii="Times New Roman" w:hAnsi="Times New Roman" w:cs="Times New Roman"/>
                      <w:b/>
                      <w:bCs/>
                      <w:color w:val="auto"/>
                      <w:sz w:val="21"/>
                      <w:szCs w:val="21"/>
                      <w:highlight w:val="none"/>
                    </w:rPr>
                    <w:fldChar w:fldCharType="end"/>
                  </w:r>
                  <w:r>
                    <w:rPr>
                      <w:rFonts w:ascii="Times New Roman" w:hAnsi="Times New Roman" w:cs="Times New Roman"/>
                      <w:b/>
                      <w:bCs/>
                      <w:color w:val="auto"/>
                      <w:sz w:val="21"/>
                      <w:szCs w:val="21"/>
                      <w:highlight w:val="none"/>
                    </w:rPr>
                    <w:t>受污染物成分影响，治理效率波动范围较大</w:t>
                  </w:r>
                </w:p>
                <w:p>
                  <w:pP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fldChar w:fldCharType="begin"/>
                  </w:r>
                  <w:r>
                    <w:rPr>
                      <w:rFonts w:ascii="Times New Roman" w:hAnsi="Times New Roman" w:eastAsia="宋体" w:cs="Times New Roman"/>
                      <w:b/>
                      <w:bCs/>
                      <w:color w:val="auto"/>
                      <w:szCs w:val="21"/>
                      <w:highlight w:val="none"/>
                    </w:rPr>
                    <w:instrText xml:space="preserve"> = 2 \* GB3 \* MERGEFORMAT </w:instrText>
                  </w:r>
                  <w:r>
                    <w:rPr>
                      <w:rFonts w:ascii="Times New Roman" w:hAnsi="Times New Roman" w:eastAsia="宋体" w:cs="Times New Roman"/>
                      <w:b/>
                      <w:bCs/>
                      <w:color w:val="auto"/>
                      <w:szCs w:val="21"/>
                      <w:highlight w:val="none"/>
                    </w:rPr>
                    <w:fldChar w:fldCharType="separate"/>
                  </w:r>
                  <w:r>
                    <w:rPr>
                      <w:rFonts w:ascii="Times New Roman" w:hAnsi="Times New Roman" w:eastAsia="宋体" w:cs="Times New Roman"/>
                      <w:b/>
                      <w:bCs/>
                      <w:color w:val="auto"/>
                      <w:szCs w:val="21"/>
                      <w:highlight w:val="none"/>
                    </w:rPr>
                    <w:t>②</w:t>
                  </w:r>
                  <w:r>
                    <w:rPr>
                      <w:rFonts w:ascii="Times New Roman" w:hAnsi="Times New Roman" w:eastAsia="宋体" w:cs="Times New Roman"/>
                      <w:b/>
                      <w:bCs/>
                      <w:color w:val="auto"/>
                      <w:szCs w:val="21"/>
                      <w:highlight w:val="none"/>
                    </w:rPr>
                    <w:fldChar w:fldCharType="end"/>
                  </w:r>
                  <w:r>
                    <w:rPr>
                      <w:rFonts w:ascii="Times New Roman" w:hAnsi="Times New Roman" w:eastAsia="宋体" w:cs="Times New Roman"/>
                      <w:b/>
                      <w:bCs/>
                      <w:color w:val="auto"/>
                      <w:szCs w:val="21"/>
                      <w:highlight w:val="none"/>
                    </w:rPr>
                    <w:t>催化剂易失活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97" w:hRule="atLeast"/>
                <w:jc w:val="center"/>
              </w:trPr>
              <w:tc>
                <w:tcPr>
                  <w:tcW w:w="1342" w:type="dxa"/>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生物法</w:t>
                  </w:r>
                </w:p>
              </w:tc>
              <w:tc>
                <w:tcPr>
                  <w:tcW w:w="1796" w:type="dxa"/>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低VOCs浓度</w:t>
                  </w:r>
                </w:p>
              </w:tc>
              <w:tc>
                <w:tcPr>
                  <w:tcW w:w="1455" w:type="dxa"/>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70</w:t>
                  </w:r>
                  <w:r>
                    <w:rPr>
                      <w:rFonts w:ascii="Times New Roman" w:hAnsi="Times New Roman" w:eastAsia="宋体" w:cs="Times New Roman"/>
                      <w:color w:val="auto"/>
                      <w:highlight w:val="none"/>
                    </w:rPr>
                    <w:t>～95</w:t>
                  </w:r>
                </w:p>
              </w:tc>
              <w:tc>
                <w:tcPr>
                  <w:tcW w:w="3693" w:type="dxa"/>
                  <w:vAlign w:val="center"/>
                </w:tcPr>
                <w:p>
                  <w:pP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fldChar w:fldCharType="begin"/>
                  </w:r>
                  <w:r>
                    <w:rPr>
                      <w:rFonts w:ascii="Times New Roman" w:hAnsi="Times New Roman" w:eastAsia="宋体" w:cs="Times New Roman"/>
                      <w:color w:val="auto"/>
                      <w:szCs w:val="21"/>
                      <w:highlight w:val="none"/>
                    </w:rPr>
                    <w:instrText xml:space="preserve"> = 1 \* GB3 \* MERGEFORMAT </w:instrText>
                  </w:r>
                  <w:r>
                    <w:rPr>
                      <w:rFonts w:ascii="Times New Roman" w:hAnsi="Times New Roman" w:eastAsia="宋体" w:cs="Times New Roman"/>
                      <w:color w:val="auto"/>
                      <w:szCs w:val="21"/>
                      <w:highlight w:val="none"/>
                    </w:rPr>
                    <w:fldChar w:fldCharType="separate"/>
                  </w:r>
                  <w:r>
                    <w:rPr>
                      <w:rFonts w:ascii="Times New Roman" w:hAnsi="Times New Roman" w:eastAsia="宋体" w:cs="Times New Roman"/>
                      <w:color w:val="auto"/>
                      <w:szCs w:val="21"/>
                      <w:highlight w:val="none"/>
                    </w:rPr>
                    <w:t>①</w:t>
                  </w:r>
                  <w:r>
                    <w:rPr>
                      <w:rFonts w:ascii="Times New Roman" w:hAnsi="Times New Roman" w:eastAsia="宋体" w:cs="Times New Roman"/>
                      <w:color w:val="auto"/>
                      <w:szCs w:val="21"/>
                      <w:highlight w:val="none"/>
                    </w:rPr>
                    <w:fldChar w:fldCharType="end"/>
                  </w:r>
                  <w:r>
                    <w:rPr>
                      <w:rFonts w:ascii="Times New Roman" w:hAnsi="Times New Roman" w:eastAsia="宋体" w:cs="Times New Roman"/>
                      <w:color w:val="auto"/>
                      <w:szCs w:val="21"/>
                      <w:highlight w:val="none"/>
                    </w:rPr>
                    <w:t>对废气的选择性较强，仅适用于特定的污染物，且生物细菌易死亡，对易溶物和易降解污染物进行处理时，会受到一定的限制</w:t>
                  </w:r>
                </w:p>
                <w:p>
                  <w:pP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fldChar w:fldCharType="begin"/>
                  </w:r>
                  <w:r>
                    <w:rPr>
                      <w:rFonts w:ascii="Times New Roman" w:hAnsi="Times New Roman" w:eastAsia="宋体" w:cs="Times New Roman"/>
                      <w:color w:val="auto"/>
                      <w:szCs w:val="21"/>
                      <w:highlight w:val="none"/>
                    </w:rPr>
                    <w:instrText xml:space="preserve"> = 2 \* GB3 \* MERGEFORMAT </w:instrText>
                  </w:r>
                  <w:r>
                    <w:rPr>
                      <w:rFonts w:ascii="Times New Roman" w:hAnsi="Times New Roman" w:eastAsia="宋体" w:cs="Times New Roman"/>
                      <w:color w:val="auto"/>
                      <w:szCs w:val="21"/>
                      <w:highlight w:val="none"/>
                    </w:rPr>
                    <w:fldChar w:fldCharType="separate"/>
                  </w:r>
                  <w:r>
                    <w:rPr>
                      <w:rFonts w:ascii="Times New Roman" w:hAnsi="Times New Roman" w:eastAsia="宋体" w:cs="Times New Roman"/>
                      <w:color w:val="auto"/>
                      <w:szCs w:val="21"/>
                      <w:highlight w:val="none"/>
                    </w:rPr>
                    <w:t>②</w:t>
                  </w:r>
                  <w:r>
                    <w:rPr>
                      <w:rFonts w:ascii="Times New Roman" w:hAnsi="Times New Roman" w:eastAsia="宋体" w:cs="Times New Roman"/>
                      <w:color w:val="auto"/>
                      <w:szCs w:val="21"/>
                      <w:highlight w:val="none"/>
                    </w:rPr>
                    <w:fldChar w:fldCharType="end"/>
                  </w:r>
                  <w:r>
                    <w:rPr>
                      <w:rFonts w:ascii="Times New Roman" w:hAnsi="Times New Roman" w:eastAsia="宋体" w:cs="Times New Roman"/>
                      <w:color w:val="auto"/>
                      <w:szCs w:val="21"/>
                      <w:highlight w:val="none"/>
                    </w:rPr>
                    <w:t>生物因新陈代谢易造成反应器堵塞</w:t>
                  </w:r>
                </w:p>
                <w:p>
                  <w:pP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fldChar w:fldCharType="begin"/>
                  </w:r>
                  <w:r>
                    <w:rPr>
                      <w:rFonts w:ascii="Times New Roman" w:hAnsi="Times New Roman" w:eastAsia="宋体" w:cs="Times New Roman"/>
                      <w:color w:val="auto"/>
                      <w:szCs w:val="21"/>
                      <w:highlight w:val="none"/>
                    </w:rPr>
                    <w:instrText xml:space="preserve"> = 3 \* GB3 \* MERGEFORMAT </w:instrText>
                  </w:r>
                  <w:r>
                    <w:rPr>
                      <w:rFonts w:ascii="Times New Roman" w:hAnsi="Times New Roman" w:eastAsia="宋体" w:cs="Times New Roman"/>
                      <w:color w:val="auto"/>
                      <w:szCs w:val="21"/>
                      <w:highlight w:val="none"/>
                    </w:rPr>
                    <w:fldChar w:fldCharType="separate"/>
                  </w:r>
                  <w:r>
                    <w:rPr>
                      <w:rFonts w:ascii="Times New Roman" w:hAnsi="Times New Roman" w:eastAsia="宋体" w:cs="Times New Roman"/>
                      <w:color w:val="auto"/>
                      <w:szCs w:val="21"/>
                      <w:highlight w:val="none"/>
                    </w:rPr>
                    <w:t>③</w:t>
                  </w:r>
                  <w:r>
                    <w:rPr>
                      <w:rFonts w:ascii="Times New Roman" w:hAnsi="Times New Roman" w:eastAsia="宋体" w:cs="Times New Roman"/>
                      <w:color w:val="auto"/>
                      <w:szCs w:val="21"/>
                      <w:highlight w:val="none"/>
                    </w:rPr>
                    <w:fldChar w:fldCharType="end"/>
                  </w:r>
                  <w:r>
                    <w:rPr>
                      <w:rFonts w:ascii="Times New Roman" w:hAnsi="Times New Roman" w:eastAsia="宋体" w:cs="Times New Roman"/>
                      <w:color w:val="auto"/>
                      <w:szCs w:val="21"/>
                      <w:highlight w:val="none"/>
                    </w:rPr>
                    <w:t>设备占地面积大，运行阻力大，反应时间较长，能耗大</w:t>
                  </w:r>
                </w:p>
              </w:tc>
            </w:tr>
          </w:tbl>
          <w:p>
            <w:pPr>
              <w:snapToGrid w:val="0"/>
              <w:spacing w:line="360" w:lineRule="auto"/>
              <w:ind w:firstLine="5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项目VOCs产生浓度较低，根据上表不同治理技术的适用条件，项目</w:t>
            </w:r>
            <w:r>
              <w:rPr>
                <w:rFonts w:ascii="Times New Roman" w:hAnsi="Times New Roman" w:eastAsia="宋体" w:cs="Times New Roman"/>
                <w:bCs/>
                <w:color w:val="auto"/>
                <w:sz w:val="24"/>
                <w:highlight w:val="none"/>
              </w:rPr>
              <w:t>发泡、成型</w:t>
            </w:r>
            <w:r>
              <w:rPr>
                <w:rFonts w:ascii="Times New Roman" w:hAnsi="Times New Roman" w:eastAsia="宋体" w:cs="Times New Roman"/>
                <w:color w:val="auto"/>
                <w:sz w:val="24"/>
                <w:highlight w:val="none"/>
              </w:rPr>
              <w:t>废气拟通过集气罩收集经“</w:t>
            </w:r>
            <w:r>
              <w:rPr>
                <w:rFonts w:hint="eastAsia" w:ascii="Times New Roman" w:hAnsi="Times New Roman" w:eastAsia="宋体" w:cs="Times New Roman"/>
                <w:color w:val="auto"/>
                <w:sz w:val="24"/>
                <w:highlight w:val="none"/>
              </w:rPr>
              <w:t>水雾分离器+</w:t>
            </w:r>
            <w:r>
              <w:rPr>
                <w:rFonts w:ascii="Times New Roman" w:hAnsi="Times New Roman" w:eastAsia="宋体" w:cs="Times New Roman"/>
                <w:color w:val="auto"/>
                <w:sz w:val="24"/>
                <w:highlight w:val="none"/>
              </w:rPr>
              <w:t>UV光解+活性炭吸附”装置处理，处理后废气由15m高排气筒引至高空排放。</w:t>
            </w:r>
            <w:r>
              <w:rPr>
                <w:rFonts w:hint="eastAsia" w:ascii="Times New Roman" w:hAnsi="Times New Roman" w:eastAsia="宋体" w:cs="Times New Roman"/>
                <w:color w:val="auto"/>
                <w:sz w:val="24"/>
                <w:highlight w:val="none"/>
              </w:rPr>
              <w:t>水雾分离器主要用于去除工序加热过程中产生的水蒸气，</w:t>
            </w:r>
            <w:r>
              <w:rPr>
                <w:rFonts w:ascii="Times New Roman" w:hAnsi="Times New Roman" w:eastAsia="宋体" w:cs="Times New Roman"/>
                <w:color w:val="auto"/>
                <w:sz w:val="24"/>
                <w:highlight w:val="none"/>
              </w:rPr>
              <w:t>参考《关于印发木质家具制造和制鞋行业挥发性有机化合物排放系数使用指南的通知》以及《广东省制鞋行业挥发性有机化合物排放系数使用指南》（粤环函〔2013〕944 号）中的常见治理设施治理效率：UV光解对有机废气的去除率约以20%计，</w:t>
            </w:r>
            <w:r>
              <w:rPr>
                <w:rFonts w:hint="eastAsia" w:ascii="Times New Roman" w:hAnsi="Times New Roman" w:eastAsia="宋体" w:cs="Times New Roman"/>
                <w:color w:val="auto"/>
                <w:sz w:val="24"/>
                <w:highlight w:val="none"/>
              </w:rPr>
              <w:t>活性炭吸附</w:t>
            </w:r>
            <w:r>
              <w:rPr>
                <w:rFonts w:ascii="Times New Roman" w:hAnsi="Times New Roman" w:eastAsia="宋体" w:cs="Times New Roman"/>
                <w:color w:val="auto"/>
                <w:sz w:val="24"/>
                <w:highlight w:val="none"/>
              </w:rPr>
              <w:t>去除效率约为75%计，有机废气处理设施综合可以达到（详见分析第七章，P35-36）：</w:t>
            </w:r>
          </w:p>
          <w:p>
            <w:pPr>
              <w:overflowPunct w:val="0"/>
              <w:autoSpaceDE w:val="0"/>
              <w:autoSpaceDN w:val="0"/>
              <w:snapToGrid w:val="0"/>
              <w:spacing w:before="156" w:beforeLines="50" w:after="156" w:afterLines="50" w:line="360" w:lineRule="auto"/>
              <w:ind w:firstLine="500"/>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η=1-((1-η1)×(1-η2))=1-( (1-20%)×(1-75%))=0.8</w:t>
            </w:r>
          </w:p>
          <w:p>
            <w:pPr>
              <w:snapToGrid w:val="0"/>
              <w:spacing w:line="360" w:lineRule="auto"/>
              <w:ind w:firstLine="5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因此本项目的有机废气净化效率可达到80%</w:t>
            </w:r>
            <w:r>
              <w:rPr>
                <w:rFonts w:hint="eastAsia" w:ascii="Times New Roman" w:hAnsi="Times New Roman" w:eastAsia="宋体" w:cs="Times New Roman"/>
                <w:color w:val="auto"/>
                <w:sz w:val="24"/>
                <w:highlight w:val="none"/>
              </w:rPr>
              <w:t>，本项目以保守估计计算，收集效率取8</w:t>
            </w:r>
            <w:r>
              <w:rPr>
                <w:rFonts w:ascii="Times New Roman" w:hAnsi="Times New Roman" w:eastAsia="宋体" w:cs="Times New Roman"/>
                <w:color w:val="auto"/>
                <w:sz w:val="24"/>
                <w:highlight w:val="none"/>
              </w:rPr>
              <w:t>5</w:t>
            </w:r>
            <w:r>
              <w:rPr>
                <w:rFonts w:hint="eastAsia" w:ascii="Times New Roman" w:hAnsi="Times New Roman" w:eastAsia="宋体" w:cs="Times New Roman"/>
                <w:color w:val="auto"/>
                <w:sz w:val="24"/>
                <w:highlight w:val="none"/>
              </w:rPr>
              <w:t>%、处理效率取8</w:t>
            </w:r>
            <w:r>
              <w:rPr>
                <w:rFonts w:ascii="Times New Roman" w:hAnsi="Times New Roman" w:eastAsia="宋体" w:cs="Times New Roman"/>
                <w:color w:val="auto"/>
                <w:sz w:val="24"/>
                <w:highlight w:val="none"/>
              </w:rPr>
              <w:t>0</w:t>
            </w:r>
            <w:r>
              <w:rPr>
                <w:rFonts w:hint="eastAsia" w:ascii="Times New Roman" w:hAnsi="Times New Roman" w:eastAsia="宋体" w:cs="Times New Roman"/>
                <w:color w:val="auto"/>
                <w:sz w:val="24"/>
                <w:highlight w:val="none"/>
              </w:rPr>
              <w:t>%</w:t>
            </w:r>
            <w:r>
              <w:rPr>
                <w:rFonts w:ascii="Times New Roman" w:hAnsi="Times New Roman" w:eastAsia="宋体" w:cs="Times New Roman"/>
                <w:color w:val="auto"/>
                <w:sz w:val="24"/>
                <w:highlight w:val="none"/>
              </w:rPr>
              <w:t>。则有机废气产排情况见下表。</w:t>
            </w:r>
          </w:p>
          <w:p>
            <w:pPr>
              <w:spacing w:line="276" w:lineRule="auto"/>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表</w:t>
            </w:r>
            <w:r>
              <w:rPr>
                <w:rFonts w:hint="eastAsia" w:ascii="Times New Roman" w:hAnsi="Times New Roman" w:eastAsia="宋体" w:cs="Times New Roman"/>
                <w:b/>
                <w:bCs/>
                <w:color w:val="auto"/>
                <w:szCs w:val="21"/>
                <w:highlight w:val="none"/>
              </w:rPr>
              <w:t>5-</w:t>
            </w:r>
            <w:r>
              <w:rPr>
                <w:rFonts w:ascii="Times New Roman" w:hAnsi="Times New Roman" w:eastAsia="宋体" w:cs="Times New Roman"/>
                <w:b/>
                <w:bCs/>
                <w:color w:val="auto"/>
                <w:szCs w:val="21"/>
                <w:highlight w:val="none"/>
              </w:rPr>
              <w:t>3有机废气产排情况表</w:t>
            </w:r>
          </w:p>
          <w:tbl>
            <w:tblPr>
              <w:tblStyle w:val="22"/>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
              <w:gridCol w:w="655"/>
              <w:gridCol w:w="1075"/>
              <w:gridCol w:w="601"/>
              <w:gridCol w:w="1219"/>
              <w:gridCol w:w="1035"/>
              <w:gridCol w:w="871"/>
              <w:gridCol w:w="1035"/>
              <w:gridCol w:w="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6" w:hRule="atLeast"/>
                <w:jc w:val="center"/>
              </w:trPr>
              <w:tc>
                <w:tcPr>
                  <w:tcW w:w="8296" w:type="dxa"/>
                  <w:gridSpan w:val="9"/>
                  <w:vAlign w:val="center"/>
                </w:tcPr>
                <w:p>
                  <w:pPr>
                    <w:pStyle w:val="24"/>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产生情况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934" w:type="dxa"/>
                  <w:vMerge w:val="restart"/>
                  <w:vAlign w:val="center"/>
                </w:tcPr>
                <w:p>
                  <w:pPr>
                    <w:pStyle w:val="24"/>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污染源</w:t>
                  </w:r>
                </w:p>
              </w:tc>
              <w:tc>
                <w:tcPr>
                  <w:tcW w:w="655" w:type="dxa"/>
                  <w:vMerge w:val="restart"/>
                  <w:vAlign w:val="center"/>
                </w:tcPr>
                <w:p>
                  <w:pPr>
                    <w:pStyle w:val="24"/>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污染物</w:t>
                  </w:r>
                </w:p>
              </w:tc>
              <w:tc>
                <w:tcPr>
                  <w:tcW w:w="1075" w:type="dxa"/>
                  <w:vMerge w:val="restart"/>
                  <w:vAlign w:val="center"/>
                </w:tcPr>
                <w:p>
                  <w:pPr>
                    <w:pStyle w:val="24"/>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风量（m</w:t>
                  </w:r>
                  <w:r>
                    <w:rPr>
                      <w:rFonts w:ascii="Times New Roman" w:hAnsi="Times New Roman" w:cs="Times New Roman"/>
                      <w:b/>
                      <w:bCs/>
                      <w:color w:val="auto"/>
                      <w:sz w:val="21"/>
                      <w:szCs w:val="21"/>
                      <w:highlight w:val="none"/>
                      <w:vertAlign w:val="superscript"/>
                    </w:rPr>
                    <w:t>3</w:t>
                  </w:r>
                  <w:r>
                    <w:rPr>
                      <w:rFonts w:ascii="Times New Roman" w:hAnsi="Times New Roman" w:cs="Times New Roman"/>
                      <w:b/>
                      <w:bCs/>
                      <w:color w:val="auto"/>
                      <w:sz w:val="21"/>
                      <w:szCs w:val="21"/>
                      <w:highlight w:val="none"/>
                    </w:rPr>
                    <w:t>/h）</w:t>
                  </w:r>
                </w:p>
              </w:tc>
              <w:tc>
                <w:tcPr>
                  <w:tcW w:w="601" w:type="dxa"/>
                  <w:vMerge w:val="restart"/>
                  <w:vAlign w:val="center"/>
                </w:tcPr>
                <w:p>
                  <w:pPr>
                    <w:pStyle w:val="24"/>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收集效率</w:t>
                  </w:r>
                </w:p>
              </w:tc>
              <w:tc>
                <w:tcPr>
                  <w:tcW w:w="3125" w:type="dxa"/>
                  <w:gridSpan w:val="3"/>
                  <w:vAlign w:val="center"/>
                </w:tcPr>
                <w:p>
                  <w:pPr>
                    <w:pStyle w:val="24"/>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有组织</w:t>
                  </w:r>
                </w:p>
              </w:tc>
              <w:tc>
                <w:tcPr>
                  <w:tcW w:w="1906" w:type="dxa"/>
                  <w:gridSpan w:val="2"/>
                  <w:vAlign w:val="center"/>
                </w:tcPr>
                <w:p>
                  <w:pPr>
                    <w:pStyle w:val="24"/>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4" w:type="dxa"/>
                  <w:vMerge w:val="continue"/>
                  <w:vAlign w:val="center"/>
                </w:tcPr>
                <w:p>
                  <w:pPr>
                    <w:pStyle w:val="24"/>
                    <w:jc w:val="center"/>
                    <w:rPr>
                      <w:rFonts w:ascii="Times New Roman" w:hAnsi="Times New Roman" w:cs="Times New Roman"/>
                      <w:b/>
                      <w:bCs/>
                      <w:color w:val="auto"/>
                      <w:sz w:val="21"/>
                      <w:szCs w:val="21"/>
                      <w:highlight w:val="none"/>
                    </w:rPr>
                  </w:pPr>
                </w:p>
              </w:tc>
              <w:tc>
                <w:tcPr>
                  <w:tcW w:w="655" w:type="dxa"/>
                  <w:vMerge w:val="continue"/>
                  <w:vAlign w:val="center"/>
                </w:tcPr>
                <w:p>
                  <w:pPr>
                    <w:pStyle w:val="24"/>
                    <w:jc w:val="center"/>
                    <w:rPr>
                      <w:rFonts w:ascii="Times New Roman" w:hAnsi="Times New Roman" w:cs="Times New Roman"/>
                      <w:b/>
                      <w:bCs/>
                      <w:color w:val="auto"/>
                      <w:sz w:val="21"/>
                      <w:szCs w:val="21"/>
                      <w:highlight w:val="none"/>
                    </w:rPr>
                  </w:pPr>
                </w:p>
              </w:tc>
              <w:tc>
                <w:tcPr>
                  <w:tcW w:w="1075" w:type="dxa"/>
                  <w:vMerge w:val="continue"/>
                  <w:vAlign w:val="center"/>
                </w:tcPr>
                <w:p>
                  <w:pPr>
                    <w:pStyle w:val="24"/>
                    <w:jc w:val="center"/>
                    <w:rPr>
                      <w:rFonts w:ascii="Times New Roman" w:hAnsi="Times New Roman" w:cs="Times New Roman"/>
                      <w:b/>
                      <w:bCs/>
                      <w:color w:val="auto"/>
                      <w:sz w:val="21"/>
                      <w:szCs w:val="21"/>
                      <w:highlight w:val="none"/>
                    </w:rPr>
                  </w:pPr>
                </w:p>
              </w:tc>
              <w:tc>
                <w:tcPr>
                  <w:tcW w:w="601" w:type="dxa"/>
                  <w:vMerge w:val="continue"/>
                  <w:vAlign w:val="center"/>
                </w:tcPr>
                <w:p>
                  <w:pPr>
                    <w:pStyle w:val="24"/>
                    <w:jc w:val="center"/>
                    <w:rPr>
                      <w:rFonts w:ascii="Times New Roman" w:hAnsi="Times New Roman" w:cs="Times New Roman"/>
                      <w:b/>
                      <w:bCs/>
                      <w:color w:val="auto"/>
                      <w:sz w:val="21"/>
                      <w:szCs w:val="21"/>
                      <w:highlight w:val="none"/>
                    </w:rPr>
                  </w:pPr>
                </w:p>
              </w:tc>
              <w:tc>
                <w:tcPr>
                  <w:tcW w:w="1219" w:type="dxa"/>
                  <w:vAlign w:val="center"/>
                </w:tcPr>
                <w:p>
                  <w:pPr>
                    <w:pStyle w:val="24"/>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产生浓度（mg/m</w:t>
                  </w:r>
                  <w:r>
                    <w:rPr>
                      <w:rFonts w:ascii="Times New Roman" w:hAnsi="Times New Roman" w:cs="Times New Roman"/>
                      <w:b/>
                      <w:bCs/>
                      <w:color w:val="auto"/>
                      <w:sz w:val="21"/>
                      <w:szCs w:val="21"/>
                      <w:highlight w:val="none"/>
                      <w:vertAlign w:val="superscript"/>
                    </w:rPr>
                    <w:t>3</w:t>
                  </w:r>
                  <w:r>
                    <w:rPr>
                      <w:rFonts w:ascii="Times New Roman" w:hAnsi="Times New Roman" w:cs="Times New Roman"/>
                      <w:b/>
                      <w:bCs/>
                      <w:color w:val="auto"/>
                      <w:sz w:val="21"/>
                      <w:szCs w:val="21"/>
                      <w:highlight w:val="none"/>
                    </w:rPr>
                    <w:t>）</w:t>
                  </w:r>
                </w:p>
              </w:tc>
              <w:tc>
                <w:tcPr>
                  <w:tcW w:w="1035" w:type="dxa"/>
                  <w:vAlign w:val="center"/>
                </w:tcPr>
                <w:p>
                  <w:pPr>
                    <w:pStyle w:val="24"/>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产生速率（kg/h）</w:t>
                  </w:r>
                </w:p>
              </w:tc>
              <w:tc>
                <w:tcPr>
                  <w:tcW w:w="871" w:type="dxa"/>
                  <w:vAlign w:val="center"/>
                </w:tcPr>
                <w:p>
                  <w:pPr>
                    <w:pStyle w:val="24"/>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产生量（t/a）</w:t>
                  </w:r>
                </w:p>
              </w:tc>
              <w:tc>
                <w:tcPr>
                  <w:tcW w:w="1035" w:type="dxa"/>
                  <w:vAlign w:val="center"/>
                </w:tcPr>
                <w:p>
                  <w:pPr>
                    <w:pStyle w:val="24"/>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产生</w:t>
                  </w:r>
                  <w:r>
                    <w:rPr>
                      <w:rFonts w:ascii="Times New Roman" w:hAnsi="Times New Roman" w:cs="Times New Roman"/>
                      <w:b/>
                      <w:bCs/>
                      <w:color w:val="auto"/>
                      <w:sz w:val="21"/>
                      <w:szCs w:val="21"/>
                      <w:highlight w:val="none"/>
                    </w:rPr>
                    <w:t>速率（kg/h）</w:t>
                  </w:r>
                </w:p>
              </w:tc>
              <w:tc>
                <w:tcPr>
                  <w:tcW w:w="871" w:type="dxa"/>
                  <w:vAlign w:val="center"/>
                </w:tcPr>
                <w:p>
                  <w:pPr>
                    <w:pStyle w:val="24"/>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产生</w:t>
                  </w:r>
                  <w:r>
                    <w:rPr>
                      <w:rFonts w:ascii="Times New Roman" w:hAnsi="Times New Roman" w:cs="Times New Roman"/>
                      <w:b/>
                      <w:bCs/>
                      <w:color w:val="auto"/>
                      <w:sz w:val="21"/>
                      <w:szCs w:val="21"/>
                      <w:highlight w:val="none"/>
                    </w:rPr>
                    <w:t>量</w:t>
                  </w:r>
                </w:p>
                <w:p>
                  <w:pPr>
                    <w:pStyle w:val="24"/>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934" w:type="dxa"/>
                  <w:vAlign w:val="center"/>
                </w:tcPr>
                <w:p>
                  <w:pPr>
                    <w:pStyle w:val="24"/>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发泡工序</w:t>
                  </w:r>
                </w:p>
              </w:tc>
              <w:tc>
                <w:tcPr>
                  <w:tcW w:w="655" w:type="dxa"/>
                  <w:vMerge w:val="restart"/>
                  <w:vAlign w:val="center"/>
                </w:tcPr>
                <w:p>
                  <w:pPr>
                    <w:pStyle w:val="24"/>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非甲烷总烃</w:t>
                  </w:r>
                </w:p>
              </w:tc>
              <w:tc>
                <w:tcPr>
                  <w:tcW w:w="1075" w:type="dxa"/>
                  <w:vMerge w:val="restart"/>
                  <w:vAlign w:val="center"/>
                </w:tcPr>
                <w:p>
                  <w:pPr>
                    <w:pStyle w:val="24"/>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w:t>
                  </w:r>
                  <w:r>
                    <w:rPr>
                      <w:rFonts w:ascii="Times New Roman" w:hAnsi="Times New Roman" w:cs="Times New Roman"/>
                      <w:color w:val="auto"/>
                      <w:sz w:val="21"/>
                      <w:szCs w:val="21"/>
                      <w:highlight w:val="none"/>
                    </w:rPr>
                    <w:t>3000</w:t>
                  </w:r>
                </w:p>
              </w:tc>
              <w:tc>
                <w:tcPr>
                  <w:tcW w:w="601" w:type="dxa"/>
                  <w:vMerge w:val="restart"/>
                  <w:vAlign w:val="center"/>
                </w:tcPr>
                <w:p>
                  <w:pPr>
                    <w:pStyle w:val="24"/>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85</w:t>
                  </w:r>
                  <w:r>
                    <w:rPr>
                      <w:rFonts w:hint="eastAsia" w:ascii="Times New Roman" w:hAnsi="Times New Roman" w:cs="Times New Roman"/>
                      <w:color w:val="auto"/>
                      <w:sz w:val="21"/>
                      <w:szCs w:val="21"/>
                      <w:highlight w:val="none"/>
                    </w:rPr>
                    <w:t>%</w:t>
                  </w:r>
                </w:p>
              </w:tc>
              <w:tc>
                <w:tcPr>
                  <w:tcW w:w="1219" w:type="dxa"/>
                  <w:vAlign w:val="center"/>
                </w:tcPr>
                <w:p>
                  <w:pPr>
                    <w:pStyle w:val="24"/>
                    <w:jc w:val="center"/>
                    <w:rPr>
                      <w:rFonts w:ascii="Times New Roman" w:hAnsi="Times New Roman" w:cs="Times New Roman"/>
                      <w:color w:val="auto"/>
                      <w:sz w:val="21"/>
                      <w:szCs w:val="21"/>
                      <w:highlight w:val="none"/>
                    </w:rPr>
                  </w:pPr>
                  <w:r>
                    <w:rPr>
                      <w:rFonts w:ascii="Times New Roman" w:hAnsi="Times New Roman" w:eastAsia="等线" w:cs="Times New Roman"/>
                      <w:color w:val="auto"/>
                      <w:sz w:val="21"/>
                      <w:szCs w:val="21"/>
                      <w:highlight w:val="none"/>
                    </w:rPr>
                    <w:t xml:space="preserve">22.8846 </w:t>
                  </w:r>
                </w:p>
              </w:tc>
              <w:tc>
                <w:tcPr>
                  <w:tcW w:w="1035" w:type="dxa"/>
                  <w:vAlign w:val="center"/>
                </w:tcPr>
                <w:p>
                  <w:pPr>
                    <w:pStyle w:val="24"/>
                    <w:jc w:val="center"/>
                    <w:rPr>
                      <w:rFonts w:ascii="Times New Roman" w:hAnsi="Times New Roman" w:cs="Times New Roman"/>
                      <w:color w:val="auto"/>
                      <w:sz w:val="21"/>
                      <w:szCs w:val="21"/>
                      <w:highlight w:val="none"/>
                    </w:rPr>
                  </w:pPr>
                  <w:r>
                    <w:rPr>
                      <w:rFonts w:ascii="Times New Roman" w:hAnsi="Times New Roman" w:eastAsia="等线" w:cs="Times New Roman"/>
                      <w:color w:val="auto"/>
                      <w:sz w:val="21"/>
                      <w:szCs w:val="21"/>
                      <w:highlight w:val="none"/>
                    </w:rPr>
                    <w:t xml:space="preserve">0.2975 </w:t>
                  </w:r>
                </w:p>
              </w:tc>
              <w:tc>
                <w:tcPr>
                  <w:tcW w:w="871" w:type="dxa"/>
                  <w:vAlign w:val="center"/>
                </w:tcPr>
                <w:p>
                  <w:pPr>
                    <w:pStyle w:val="24"/>
                    <w:jc w:val="center"/>
                    <w:rPr>
                      <w:rFonts w:ascii="Times New Roman" w:hAnsi="Times New Roman" w:cs="Times New Roman"/>
                      <w:color w:val="auto"/>
                      <w:sz w:val="21"/>
                      <w:szCs w:val="21"/>
                      <w:highlight w:val="none"/>
                    </w:rPr>
                  </w:pPr>
                  <w:r>
                    <w:rPr>
                      <w:rFonts w:ascii="Times New Roman" w:hAnsi="Times New Roman" w:eastAsia="等线" w:cs="Times New Roman"/>
                      <w:color w:val="auto"/>
                      <w:sz w:val="21"/>
                      <w:szCs w:val="21"/>
                      <w:highlight w:val="none"/>
                    </w:rPr>
                    <w:t xml:space="preserve">0.3570 </w:t>
                  </w:r>
                </w:p>
              </w:tc>
              <w:tc>
                <w:tcPr>
                  <w:tcW w:w="1035" w:type="dxa"/>
                  <w:vAlign w:val="center"/>
                </w:tcPr>
                <w:p>
                  <w:pPr>
                    <w:pStyle w:val="24"/>
                    <w:jc w:val="center"/>
                    <w:rPr>
                      <w:rFonts w:ascii="Times New Roman" w:hAnsi="Times New Roman" w:cs="Times New Roman"/>
                      <w:color w:val="auto"/>
                      <w:sz w:val="21"/>
                      <w:szCs w:val="21"/>
                      <w:highlight w:val="none"/>
                    </w:rPr>
                  </w:pPr>
                  <w:r>
                    <w:rPr>
                      <w:rFonts w:ascii="Times New Roman" w:hAnsi="Times New Roman" w:eastAsia="等线" w:cs="Times New Roman"/>
                      <w:color w:val="auto"/>
                      <w:sz w:val="21"/>
                      <w:szCs w:val="21"/>
                      <w:highlight w:val="none"/>
                    </w:rPr>
                    <w:t xml:space="preserve">0.0525 </w:t>
                  </w:r>
                </w:p>
              </w:tc>
              <w:tc>
                <w:tcPr>
                  <w:tcW w:w="871" w:type="dxa"/>
                  <w:vAlign w:val="center"/>
                </w:tcPr>
                <w:p>
                  <w:pPr>
                    <w:pStyle w:val="24"/>
                    <w:jc w:val="center"/>
                    <w:rPr>
                      <w:rFonts w:ascii="Times New Roman" w:hAnsi="Times New Roman" w:cs="Times New Roman"/>
                      <w:color w:val="auto"/>
                      <w:sz w:val="21"/>
                      <w:szCs w:val="21"/>
                      <w:highlight w:val="none"/>
                    </w:rPr>
                  </w:pPr>
                  <w:r>
                    <w:rPr>
                      <w:rFonts w:ascii="Times New Roman" w:hAnsi="Times New Roman" w:eastAsia="等线" w:cs="Times New Roman"/>
                      <w:color w:val="auto"/>
                      <w:sz w:val="21"/>
                      <w:szCs w:val="21"/>
                      <w:highlight w:val="none"/>
                    </w:rPr>
                    <w:t xml:space="preserve">0.0630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4" w:type="dxa"/>
                  <w:vAlign w:val="center"/>
                </w:tcPr>
                <w:p>
                  <w:pPr>
                    <w:pStyle w:val="24"/>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成型工序</w:t>
                  </w:r>
                </w:p>
              </w:tc>
              <w:tc>
                <w:tcPr>
                  <w:tcW w:w="655" w:type="dxa"/>
                  <w:vMerge w:val="continue"/>
                  <w:vAlign w:val="center"/>
                </w:tcPr>
                <w:p>
                  <w:pPr>
                    <w:pStyle w:val="24"/>
                    <w:jc w:val="center"/>
                    <w:rPr>
                      <w:rFonts w:ascii="Times New Roman" w:hAnsi="Times New Roman" w:cs="Times New Roman"/>
                      <w:color w:val="auto"/>
                      <w:sz w:val="21"/>
                      <w:szCs w:val="21"/>
                      <w:highlight w:val="none"/>
                    </w:rPr>
                  </w:pPr>
                </w:p>
              </w:tc>
              <w:tc>
                <w:tcPr>
                  <w:tcW w:w="1075" w:type="dxa"/>
                  <w:vMerge w:val="continue"/>
                  <w:vAlign w:val="center"/>
                </w:tcPr>
                <w:p>
                  <w:pPr>
                    <w:pStyle w:val="24"/>
                    <w:jc w:val="center"/>
                    <w:rPr>
                      <w:rFonts w:ascii="Times New Roman" w:hAnsi="Times New Roman" w:cs="Times New Roman"/>
                      <w:color w:val="auto"/>
                      <w:sz w:val="21"/>
                      <w:szCs w:val="21"/>
                      <w:highlight w:val="none"/>
                    </w:rPr>
                  </w:pPr>
                </w:p>
              </w:tc>
              <w:tc>
                <w:tcPr>
                  <w:tcW w:w="601" w:type="dxa"/>
                  <w:vMerge w:val="continue"/>
                  <w:vAlign w:val="center"/>
                </w:tcPr>
                <w:p>
                  <w:pPr>
                    <w:pStyle w:val="24"/>
                    <w:jc w:val="center"/>
                    <w:rPr>
                      <w:rFonts w:ascii="Times New Roman" w:hAnsi="Times New Roman" w:cs="Times New Roman"/>
                      <w:color w:val="auto"/>
                      <w:sz w:val="21"/>
                      <w:szCs w:val="21"/>
                      <w:highlight w:val="none"/>
                    </w:rPr>
                  </w:pPr>
                </w:p>
              </w:tc>
              <w:tc>
                <w:tcPr>
                  <w:tcW w:w="1219" w:type="dxa"/>
                  <w:vAlign w:val="center"/>
                </w:tcPr>
                <w:p>
                  <w:pPr>
                    <w:pStyle w:val="24"/>
                    <w:jc w:val="center"/>
                    <w:rPr>
                      <w:rFonts w:ascii="Times New Roman" w:hAnsi="Times New Roman" w:cs="Times New Roman"/>
                      <w:color w:val="auto"/>
                      <w:sz w:val="21"/>
                      <w:szCs w:val="21"/>
                      <w:highlight w:val="none"/>
                    </w:rPr>
                  </w:pPr>
                  <w:r>
                    <w:rPr>
                      <w:rFonts w:ascii="Times New Roman" w:hAnsi="Times New Roman" w:eastAsia="等线" w:cs="Times New Roman"/>
                      <w:color w:val="auto"/>
                      <w:sz w:val="21"/>
                      <w:szCs w:val="21"/>
                      <w:highlight w:val="none"/>
                    </w:rPr>
                    <w:t xml:space="preserve">61.7885 </w:t>
                  </w:r>
                </w:p>
              </w:tc>
              <w:tc>
                <w:tcPr>
                  <w:tcW w:w="1035" w:type="dxa"/>
                  <w:vAlign w:val="center"/>
                </w:tcPr>
                <w:p>
                  <w:pPr>
                    <w:pStyle w:val="24"/>
                    <w:jc w:val="center"/>
                    <w:rPr>
                      <w:rFonts w:ascii="Times New Roman" w:hAnsi="Times New Roman" w:cs="Times New Roman"/>
                      <w:color w:val="auto"/>
                      <w:sz w:val="21"/>
                      <w:szCs w:val="21"/>
                      <w:highlight w:val="none"/>
                    </w:rPr>
                  </w:pPr>
                  <w:r>
                    <w:rPr>
                      <w:rFonts w:ascii="Times New Roman" w:hAnsi="Times New Roman" w:eastAsia="等线" w:cs="Times New Roman"/>
                      <w:color w:val="auto"/>
                      <w:sz w:val="21"/>
                      <w:szCs w:val="21"/>
                      <w:highlight w:val="none"/>
                    </w:rPr>
                    <w:t xml:space="preserve">0.8033 </w:t>
                  </w:r>
                </w:p>
              </w:tc>
              <w:tc>
                <w:tcPr>
                  <w:tcW w:w="871" w:type="dxa"/>
                  <w:vAlign w:val="center"/>
                </w:tcPr>
                <w:p>
                  <w:pPr>
                    <w:pStyle w:val="24"/>
                    <w:jc w:val="center"/>
                    <w:rPr>
                      <w:rFonts w:ascii="Times New Roman" w:hAnsi="Times New Roman" w:cs="Times New Roman"/>
                      <w:color w:val="auto"/>
                      <w:sz w:val="21"/>
                      <w:szCs w:val="21"/>
                      <w:highlight w:val="none"/>
                    </w:rPr>
                  </w:pPr>
                  <w:r>
                    <w:rPr>
                      <w:rFonts w:ascii="Times New Roman" w:hAnsi="Times New Roman" w:eastAsia="等线" w:cs="Times New Roman"/>
                      <w:color w:val="auto"/>
                      <w:sz w:val="21"/>
                      <w:szCs w:val="21"/>
                      <w:highlight w:val="none"/>
                    </w:rPr>
                    <w:t xml:space="preserve">1.9278 </w:t>
                  </w:r>
                </w:p>
              </w:tc>
              <w:tc>
                <w:tcPr>
                  <w:tcW w:w="1035" w:type="dxa"/>
                  <w:vAlign w:val="center"/>
                </w:tcPr>
                <w:p>
                  <w:pPr>
                    <w:pStyle w:val="24"/>
                    <w:jc w:val="center"/>
                    <w:rPr>
                      <w:rFonts w:ascii="Times New Roman" w:hAnsi="Times New Roman" w:cs="Times New Roman"/>
                      <w:color w:val="auto"/>
                      <w:sz w:val="21"/>
                      <w:szCs w:val="21"/>
                      <w:highlight w:val="none"/>
                    </w:rPr>
                  </w:pPr>
                  <w:r>
                    <w:rPr>
                      <w:rFonts w:ascii="Times New Roman" w:hAnsi="Times New Roman" w:eastAsia="等线" w:cs="Times New Roman"/>
                      <w:color w:val="auto"/>
                      <w:sz w:val="21"/>
                      <w:szCs w:val="21"/>
                      <w:highlight w:val="none"/>
                    </w:rPr>
                    <w:t xml:space="preserve">0.1418 </w:t>
                  </w:r>
                </w:p>
              </w:tc>
              <w:tc>
                <w:tcPr>
                  <w:tcW w:w="871" w:type="dxa"/>
                  <w:vAlign w:val="center"/>
                </w:tcPr>
                <w:p>
                  <w:pPr>
                    <w:pStyle w:val="24"/>
                    <w:jc w:val="center"/>
                    <w:rPr>
                      <w:rFonts w:ascii="Times New Roman" w:hAnsi="Times New Roman" w:cs="Times New Roman"/>
                      <w:color w:val="auto"/>
                      <w:sz w:val="21"/>
                      <w:szCs w:val="21"/>
                      <w:highlight w:val="none"/>
                    </w:rPr>
                  </w:pPr>
                  <w:r>
                    <w:rPr>
                      <w:rFonts w:ascii="Times New Roman" w:hAnsi="Times New Roman" w:eastAsia="等线" w:cs="Times New Roman"/>
                      <w:color w:val="auto"/>
                      <w:sz w:val="21"/>
                      <w:szCs w:val="21"/>
                      <w:highlight w:val="none"/>
                    </w:rPr>
                    <w:t xml:space="preserve">0.3402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4" w:type="dxa"/>
                  <w:vAlign w:val="center"/>
                </w:tcPr>
                <w:p>
                  <w:pPr>
                    <w:pStyle w:val="24"/>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合计</w:t>
                  </w:r>
                </w:p>
              </w:tc>
              <w:tc>
                <w:tcPr>
                  <w:tcW w:w="2331" w:type="dxa"/>
                  <w:gridSpan w:val="3"/>
                  <w:vAlign w:val="center"/>
                </w:tcPr>
                <w:p>
                  <w:pPr>
                    <w:pStyle w:val="24"/>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非甲烷总烃</w:t>
                  </w:r>
                </w:p>
              </w:tc>
              <w:tc>
                <w:tcPr>
                  <w:tcW w:w="1219" w:type="dxa"/>
                  <w:vAlign w:val="center"/>
                </w:tcPr>
                <w:p>
                  <w:pPr>
                    <w:pStyle w:val="24"/>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1035" w:type="dxa"/>
                  <w:vAlign w:val="center"/>
                </w:tcPr>
                <w:p>
                  <w:pPr>
                    <w:pStyle w:val="24"/>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871" w:type="dxa"/>
                  <w:vAlign w:val="center"/>
                </w:tcPr>
                <w:p>
                  <w:pPr>
                    <w:pStyle w:val="24"/>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2</w:t>
                  </w:r>
                  <w:r>
                    <w:rPr>
                      <w:rFonts w:ascii="Times New Roman" w:hAnsi="Times New Roman" w:cs="Times New Roman"/>
                      <w:b/>
                      <w:bCs/>
                      <w:color w:val="auto"/>
                      <w:sz w:val="21"/>
                      <w:szCs w:val="21"/>
                      <w:highlight w:val="none"/>
                    </w:rPr>
                    <w:t>.2848</w:t>
                  </w:r>
                </w:p>
              </w:tc>
              <w:tc>
                <w:tcPr>
                  <w:tcW w:w="1035" w:type="dxa"/>
                  <w:vAlign w:val="center"/>
                </w:tcPr>
                <w:p>
                  <w:pPr>
                    <w:pStyle w:val="24"/>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871" w:type="dxa"/>
                  <w:vAlign w:val="center"/>
                </w:tcPr>
                <w:p>
                  <w:pPr>
                    <w:pStyle w:val="24"/>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0</w:t>
                  </w:r>
                  <w:r>
                    <w:rPr>
                      <w:rFonts w:ascii="Times New Roman" w:hAnsi="Times New Roman" w:cs="Times New Roman"/>
                      <w:b/>
                      <w:bCs/>
                      <w:color w:val="auto"/>
                      <w:sz w:val="21"/>
                      <w:szCs w:val="21"/>
                      <w:highlight w:val="none"/>
                    </w:rPr>
                    <w:t>.4032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jc w:val="center"/>
              </w:trPr>
              <w:tc>
                <w:tcPr>
                  <w:tcW w:w="8296" w:type="dxa"/>
                  <w:gridSpan w:val="9"/>
                  <w:vAlign w:val="center"/>
                </w:tcPr>
                <w:p>
                  <w:pPr>
                    <w:pStyle w:val="24"/>
                    <w:jc w:val="center"/>
                    <w:rPr>
                      <w:rFonts w:ascii="Times New Roman" w:hAnsi="Times New Roman" w:cs="Times New Roman"/>
                      <w:color w:val="auto"/>
                      <w:sz w:val="21"/>
                      <w:szCs w:val="21"/>
                      <w:highlight w:val="none"/>
                    </w:rPr>
                  </w:pPr>
                  <w:r>
                    <w:rPr>
                      <w:rFonts w:hint="eastAsia" w:ascii="Times New Roman" w:hAnsi="Times New Roman" w:cs="Times New Roman"/>
                      <w:b/>
                      <w:bCs/>
                      <w:color w:val="auto"/>
                      <w:sz w:val="21"/>
                      <w:szCs w:val="21"/>
                      <w:highlight w:val="none"/>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934" w:type="dxa"/>
                  <w:vMerge w:val="restart"/>
                  <w:vAlign w:val="center"/>
                </w:tcPr>
                <w:p>
                  <w:pPr>
                    <w:pStyle w:val="24"/>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污染源</w:t>
                  </w:r>
                </w:p>
              </w:tc>
              <w:tc>
                <w:tcPr>
                  <w:tcW w:w="655" w:type="dxa"/>
                  <w:vMerge w:val="restart"/>
                  <w:vAlign w:val="center"/>
                </w:tcPr>
                <w:p>
                  <w:pPr>
                    <w:pStyle w:val="24"/>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污染物</w:t>
                  </w:r>
                </w:p>
              </w:tc>
              <w:tc>
                <w:tcPr>
                  <w:tcW w:w="1075" w:type="dxa"/>
                  <w:vMerge w:val="restart"/>
                  <w:vAlign w:val="center"/>
                </w:tcPr>
                <w:p>
                  <w:pPr>
                    <w:pStyle w:val="24"/>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风量（m</w:t>
                  </w:r>
                  <w:r>
                    <w:rPr>
                      <w:rFonts w:ascii="Times New Roman" w:hAnsi="Times New Roman" w:cs="Times New Roman"/>
                      <w:b/>
                      <w:bCs/>
                      <w:color w:val="auto"/>
                      <w:sz w:val="21"/>
                      <w:szCs w:val="21"/>
                      <w:highlight w:val="none"/>
                      <w:vertAlign w:val="superscript"/>
                    </w:rPr>
                    <w:t>3</w:t>
                  </w:r>
                  <w:r>
                    <w:rPr>
                      <w:rFonts w:ascii="Times New Roman" w:hAnsi="Times New Roman" w:cs="Times New Roman"/>
                      <w:b/>
                      <w:bCs/>
                      <w:color w:val="auto"/>
                      <w:sz w:val="21"/>
                      <w:szCs w:val="21"/>
                      <w:highlight w:val="none"/>
                    </w:rPr>
                    <w:t>/h）</w:t>
                  </w:r>
                </w:p>
              </w:tc>
              <w:tc>
                <w:tcPr>
                  <w:tcW w:w="601" w:type="dxa"/>
                  <w:vMerge w:val="restart"/>
                  <w:vAlign w:val="center"/>
                </w:tcPr>
                <w:p>
                  <w:pPr>
                    <w:pStyle w:val="24"/>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处理效率</w:t>
                  </w:r>
                </w:p>
              </w:tc>
              <w:tc>
                <w:tcPr>
                  <w:tcW w:w="3125" w:type="dxa"/>
                  <w:gridSpan w:val="3"/>
                  <w:vAlign w:val="center"/>
                </w:tcPr>
                <w:p>
                  <w:pPr>
                    <w:pStyle w:val="24"/>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有组织</w:t>
                  </w:r>
                </w:p>
              </w:tc>
              <w:tc>
                <w:tcPr>
                  <w:tcW w:w="1906" w:type="dxa"/>
                  <w:gridSpan w:val="2"/>
                  <w:vAlign w:val="center"/>
                </w:tcPr>
                <w:p>
                  <w:pPr>
                    <w:pStyle w:val="24"/>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4" w:type="dxa"/>
                  <w:vMerge w:val="continue"/>
                  <w:vAlign w:val="center"/>
                </w:tcPr>
                <w:p>
                  <w:pPr>
                    <w:pStyle w:val="24"/>
                    <w:jc w:val="center"/>
                    <w:rPr>
                      <w:rFonts w:ascii="Times New Roman" w:hAnsi="Times New Roman" w:cs="Times New Roman"/>
                      <w:b/>
                      <w:bCs/>
                      <w:color w:val="auto"/>
                      <w:sz w:val="21"/>
                      <w:szCs w:val="21"/>
                      <w:highlight w:val="none"/>
                    </w:rPr>
                  </w:pPr>
                </w:p>
              </w:tc>
              <w:tc>
                <w:tcPr>
                  <w:tcW w:w="655" w:type="dxa"/>
                  <w:vMerge w:val="continue"/>
                  <w:vAlign w:val="center"/>
                </w:tcPr>
                <w:p>
                  <w:pPr>
                    <w:pStyle w:val="24"/>
                    <w:jc w:val="center"/>
                    <w:rPr>
                      <w:rFonts w:ascii="Times New Roman" w:hAnsi="Times New Roman" w:cs="Times New Roman"/>
                      <w:b/>
                      <w:bCs/>
                      <w:color w:val="auto"/>
                      <w:sz w:val="21"/>
                      <w:szCs w:val="21"/>
                      <w:highlight w:val="none"/>
                    </w:rPr>
                  </w:pPr>
                </w:p>
              </w:tc>
              <w:tc>
                <w:tcPr>
                  <w:tcW w:w="1075" w:type="dxa"/>
                  <w:vMerge w:val="continue"/>
                  <w:vAlign w:val="center"/>
                </w:tcPr>
                <w:p>
                  <w:pPr>
                    <w:pStyle w:val="24"/>
                    <w:jc w:val="center"/>
                    <w:rPr>
                      <w:rFonts w:ascii="Times New Roman" w:hAnsi="Times New Roman" w:cs="Times New Roman"/>
                      <w:b/>
                      <w:bCs/>
                      <w:color w:val="auto"/>
                      <w:sz w:val="21"/>
                      <w:szCs w:val="21"/>
                      <w:highlight w:val="none"/>
                    </w:rPr>
                  </w:pPr>
                </w:p>
              </w:tc>
              <w:tc>
                <w:tcPr>
                  <w:tcW w:w="601" w:type="dxa"/>
                  <w:vMerge w:val="continue"/>
                  <w:vAlign w:val="center"/>
                </w:tcPr>
                <w:p>
                  <w:pPr>
                    <w:pStyle w:val="24"/>
                    <w:jc w:val="center"/>
                    <w:rPr>
                      <w:rFonts w:ascii="Times New Roman" w:hAnsi="Times New Roman" w:cs="Times New Roman"/>
                      <w:b/>
                      <w:bCs/>
                      <w:color w:val="auto"/>
                      <w:sz w:val="21"/>
                      <w:szCs w:val="21"/>
                      <w:highlight w:val="none"/>
                    </w:rPr>
                  </w:pPr>
                </w:p>
              </w:tc>
              <w:tc>
                <w:tcPr>
                  <w:tcW w:w="1219" w:type="dxa"/>
                  <w:vAlign w:val="center"/>
                </w:tcPr>
                <w:p>
                  <w:pPr>
                    <w:pStyle w:val="24"/>
                    <w:jc w:val="center"/>
                    <w:rPr>
                      <w:rFonts w:ascii="Times New Roman" w:hAnsi="Times New Roman" w:cs="Times New Roman"/>
                      <w:color w:val="auto"/>
                      <w:sz w:val="21"/>
                      <w:szCs w:val="21"/>
                      <w:highlight w:val="none"/>
                    </w:rPr>
                  </w:pPr>
                  <w:r>
                    <w:rPr>
                      <w:rFonts w:hint="eastAsia" w:ascii="Times New Roman" w:hAnsi="Times New Roman" w:cs="Times New Roman"/>
                      <w:b/>
                      <w:bCs/>
                      <w:color w:val="auto"/>
                      <w:sz w:val="21"/>
                      <w:szCs w:val="21"/>
                      <w:highlight w:val="none"/>
                    </w:rPr>
                    <w:t>排放</w:t>
                  </w:r>
                  <w:r>
                    <w:rPr>
                      <w:rFonts w:ascii="Times New Roman" w:hAnsi="Times New Roman" w:cs="Times New Roman"/>
                      <w:b/>
                      <w:bCs/>
                      <w:color w:val="auto"/>
                      <w:sz w:val="21"/>
                      <w:szCs w:val="21"/>
                      <w:highlight w:val="none"/>
                    </w:rPr>
                    <w:t>浓度（mg/m</w:t>
                  </w:r>
                  <w:r>
                    <w:rPr>
                      <w:rFonts w:ascii="Times New Roman" w:hAnsi="Times New Roman" w:cs="Times New Roman"/>
                      <w:b/>
                      <w:bCs/>
                      <w:color w:val="auto"/>
                      <w:sz w:val="21"/>
                      <w:szCs w:val="21"/>
                      <w:highlight w:val="none"/>
                      <w:vertAlign w:val="superscript"/>
                    </w:rPr>
                    <w:t>3</w:t>
                  </w:r>
                  <w:r>
                    <w:rPr>
                      <w:rFonts w:ascii="Times New Roman" w:hAnsi="Times New Roman" w:cs="Times New Roman"/>
                      <w:b/>
                      <w:bCs/>
                      <w:color w:val="auto"/>
                      <w:sz w:val="21"/>
                      <w:szCs w:val="21"/>
                      <w:highlight w:val="none"/>
                    </w:rPr>
                    <w:t>）</w:t>
                  </w:r>
                </w:p>
              </w:tc>
              <w:tc>
                <w:tcPr>
                  <w:tcW w:w="1035" w:type="dxa"/>
                  <w:vAlign w:val="center"/>
                </w:tcPr>
                <w:p>
                  <w:pPr>
                    <w:pStyle w:val="24"/>
                    <w:jc w:val="center"/>
                    <w:rPr>
                      <w:rFonts w:ascii="Times New Roman" w:hAnsi="Times New Roman" w:cs="Times New Roman"/>
                      <w:color w:val="auto"/>
                      <w:sz w:val="21"/>
                      <w:szCs w:val="21"/>
                      <w:highlight w:val="none"/>
                    </w:rPr>
                  </w:pPr>
                  <w:r>
                    <w:rPr>
                      <w:rFonts w:hint="eastAsia" w:ascii="Times New Roman" w:hAnsi="Times New Roman" w:cs="Times New Roman"/>
                      <w:b/>
                      <w:bCs/>
                      <w:color w:val="auto"/>
                      <w:sz w:val="21"/>
                      <w:szCs w:val="21"/>
                      <w:highlight w:val="none"/>
                    </w:rPr>
                    <w:t>排放</w:t>
                  </w:r>
                  <w:r>
                    <w:rPr>
                      <w:rFonts w:ascii="Times New Roman" w:hAnsi="Times New Roman" w:cs="Times New Roman"/>
                      <w:b/>
                      <w:bCs/>
                      <w:color w:val="auto"/>
                      <w:sz w:val="21"/>
                      <w:szCs w:val="21"/>
                      <w:highlight w:val="none"/>
                    </w:rPr>
                    <w:t>速率（kg/h）</w:t>
                  </w:r>
                </w:p>
              </w:tc>
              <w:tc>
                <w:tcPr>
                  <w:tcW w:w="871" w:type="dxa"/>
                  <w:vAlign w:val="center"/>
                </w:tcPr>
                <w:p>
                  <w:pPr>
                    <w:pStyle w:val="24"/>
                    <w:jc w:val="center"/>
                    <w:rPr>
                      <w:rFonts w:ascii="Times New Roman" w:hAnsi="Times New Roman" w:cs="Times New Roman"/>
                      <w:color w:val="auto"/>
                      <w:sz w:val="21"/>
                      <w:szCs w:val="21"/>
                      <w:highlight w:val="none"/>
                    </w:rPr>
                  </w:pPr>
                  <w:r>
                    <w:rPr>
                      <w:rFonts w:hint="eastAsia" w:ascii="Times New Roman" w:hAnsi="Times New Roman" w:cs="Times New Roman"/>
                      <w:b/>
                      <w:bCs/>
                      <w:color w:val="auto"/>
                      <w:sz w:val="21"/>
                      <w:szCs w:val="21"/>
                      <w:highlight w:val="none"/>
                    </w:rPr>
                    <w:t>排放</w:t>
                  </w:r>
                  <w:r>
                    <w:rPr>
                      <w:rFonts w:ascii="Times New Roman" w:hAnsi="Times New Roman" w:cs="Times New Roman"/>
                      <w:b/>
                      <w:bCs/>
                      <w:color w:val="auto"/>
                      <w:sz w:val="21"/>
                      <w:szCs w:val="21"/>
                      <w:highlight w:val="none"/>
                    </w:rPr>
                    <w:t>量（t/a）</w:t>
                  </w:r>
                </w:p>
              </w:tc>
              <w:tc>
                <w:tcPr>
                  <w:tcW w:w="1035" w:type="dxa"/>
                  <w:vAlign w:val="center"/>
                </w:tcPr>
                <w:p>
                  <w:pPr>
                    <w:pStyle w:val="24"/>
                    <w:jc w:val="center"/>
                    <w:rPr>
                      <w:rFonts w:ascii="Times New Roman" w:hAnsi="Times New Roman" w:cs="Times New Roman"/>
                      <w:color w:val="auto"/>
                      <w:sz w:val="21"/>
                      <w:szCs w:val="21"/>
                      <w:highlight w:val="none"/>
                    </w:rPr>
                  </w:pPr>
                  <w:r>
                    <w:rPr>
                      <w:rFonts w:ascii="Times New Roman" w:hAnsi="Times New Roman" w:cs="Times New Roman"/>
                      <w:b/>
                      <w:bCs/>
                      <w:color w:val="auto"/>
                      <w:sz w:val="21"/>
                      <w:szCs w:val="21"/>
                      <w:highlight w:val="none"/>
                    </w:rPr>
                    <w:t>排放速率（kg/h）</w:t>
                  </w:r>
                </w:p>
              </w:tc>
              <w:tc>
                <w:tcPr>
                  <w:tcW w:w="871" w:type="dxa"/>
                  <w:vAlign w:val="center"/>
                </w:tcPr>
                <w:p>
                  <w:pPr>
                    <w:pStyle w:val="24"/>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排放量</w:t>
                  </w:r>
                </w:p>
                <w:p>
                  <w:pPr>
                    <w:pStyle w:val="24"/>
                    <w:jc w:val="center"/>
                    <w:rPr>
                      <w:rFonts w:ascii="Times New Roman" w:hAnsi="Times New Roman" w:cs="Times New Roman"/>
                      <w:color w:val="auto"/>
                      <w:sz w:val="21"/>
                      <w:szCs w:val="21"/>
                      <w:highlight w:val="none"/>
                    </w:rPr>
                  </w:pPr>
                  <w:r>
                    <w:rPr>
                      <w:rFonts w:ascii="Times New Roman" w:hAnsi="Times New Roman" w:cs="Times New Roman"/>
                      <w:b/>
                      <w:bCs/>
                      <w:color w:val="auto"/>
                      <w:sz w:val="21"/>
                      <w:szCs w:val="21"/>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4" w:type="dxa"/>
                  <w:vAlign w:val="center"/>
                </w:tcPr>
                <w:p>
                  <w:pPr>
                    <w:pStyle w:val="24"/>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发泡工序</w:t>
                  </w:r>
                </w:p>
              </w:tc>
              <w:tc>
                <w:tcPr>
                  <w:tcW w:w="655" w:type="dxa"/>
                  <w:vMerge w:val="restart"/>
                  <w:vAlign w:val="center"/>
                </w:tcPr>
                <w:p>
                  <w:pPr>
                    <w:pStyle w:val="24"/>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非甲烷总烃</w:t>
                  </w:r>
                </w:p>
              </w:tc>
              <w:tc>
                <w:tcPr>
                  <w:tcW w:w="1075" w:type="dxa"/>
                  <w:vMerge w:val="restart"/>
                  <w:vAlign w:val="center"/>
                </w:tcPr>
                <w:p>
                  <w:pPr>
                    <w:pStyle w:val="24"/>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w:t>
                  </w:r>
                  <w:r>
                    <w:rPr>
                      <w:rFonts w:ascii="Times New Roman" w:hAnsi="Times New Roman" w:cs="Times New Roman"/>
                      <w:color w:val="auto"/>
                      <w:sz w:val="21"/>
                      <w:szCs w:val="21"/>
                      <w:highlight w:val="none"/>
                    </w:rPr>
                    <w:t>3000</w:t>
                  </w:r>
                </w:p>
              </w:tc>
              <w:tc>
                <w:tcPr>
                  <w:tcW w:w="601" w:type="dxa"/>
                  <w:vMerge w:val="restart"/>
                  <w:vAlign w:val="center"/>
                </w:tcPr>
                <w:p>
                  <w:pPr>
                    <w:pStyle w:val="24"/>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80</w:t>
                  </w:r>
                  <w:r>
                    <w:rPr>
                      <w:rFonts w:hint="eastAsia" w:ascii="Times New Roman" w:hAnsi="Times New Roman" w:cs="Times New Roman"/>
                      <w:color w:val="auto"/>
                      <w:sz w:val="21"/>
                      <w:szCs w:val="21"/>
                      <w:highlight w:val="none"/>
                    </w:rPr>
                    <w:t>%</w:t>
                  </w:r>
                </w:p>
              </w:tc>
              <w:tc>
                <w:tcPr>
                  <w:tcW w:w="1219" w:type="dxa"/>
                  <w:vAlign w:val="center"/>
                </w:tcPr>
                <w:p>
                  <w:pPr>
                    <w:pStyle w:val="24"/>
                    <w:jc w:val="center"/>
                    <w:rPr>
                      <w:rFonts w:ascii="Times New Roman" w:hAnsi="Times New Roman" w:cs="Times New Roman"/>
                      <w:color w:val="auto"/>
                      <w:sz w:val="21"/>
                      <w:szCs w:val="21"/>
                      <w:highlight w:val="none"/>
                    </w:rPr>
                  </w:pPr>
                  <w:r>
                    <w:rPr>
                      <w:rFonts w:ascii="Times New Roman" w:hAnsi="Times New Roman" w:eastAsia="等线" w:cs="Times New Roman"/>
                      <w:color w:val="auto"/>
                      <w:sz w:val="21"/>
                      <w:szCs w:val="21"/>
                      <w:highlight w:val="none"/>
                    </w:rPr>
                    <w:t xml:space="preserve">4.5769 </w:t>
                  </w:r>
                </w:p>
              </w:tc>
              <w:tc>
                <w:tcPr>
                  <w:tcW w:w="1035" w:type="dxa"/>
                  <w:vAlign w:val="center"/>
                </w:tcPr>
                <w:p>
                  <w:pPr>
                    <w:pStyle w:val="24"/>
                    <w:jc w:val="center"/>
                    <w:rPr>
                      <w:rFonts w:ascii="Times New Roman" w:hAnsi="Times New Roman" w:cs="Times New Roman"/>
                      <w:color w:val="auto"/>
                      <w:sz w:val="21"/>
                      <w:szCs w:val="21"/>
                      <w:highlight w:val="none"/>
                    </w:rPr>
                  </w:pPr>
                  <w:r>
                    <w:rPr>
                      <w:rFonts w:ascii="Times New Roman" w:hAnsi="Times New Roman" w:eastAsia="等线" w:cs="Times New Roman"/>
                      <w:color w:val="auto"/>
                      <w:sz w:val="21"/>
                      <w:szCs w:val="21"/>
                      <w:highlight w:val="none"/>
                    </w:rPr>
                    <w:t xml:space="preserve">0.0595 </w:t>
                  </w:r>
                </w:p>
              </w:tc>
              <w:tc>
                <w:tcPr>
                  <w:tcW w:w="871" w:type="dxa"/>
                  <w:vAlign w:val="center"/>
                </w:tcPr>
                <w:p>
                  <w:pPr>
                    <w:pStyle w:val="24"/>
                    <w:jc w:val="center"/>
                    <w:rPr>
                      <w:rFonts w:ascii="Times New Roman" w:hAnsi="Times New Roman" w:cs="Times New Roman"/>
                      <w:color w:val="auto"/>
                      <w:sz w:val="21"/>
                      <w:szCs w:val="21"/>
                      <w:highlight w:val="none"/>
                    </w:rPr>
                  </w:pPr>
                  <w:r>
                    <w:rPr>
                      <w:rFonts w:ascii="Times New Roman" w:hAnsi="Times New Roman" w:eastAsia="等线" w:cs="Times New Roman"/>
                      <w:color w:val="auto"/>
                      <w:sz w:val="21"/>
                      <w:szCs w:val="21"/>
                      <w:highlight w:val="none"/>
                    </w:rPr>
                    <w:t xml:space="preserve">0.0714 </w:t>
                  </w:r>
                </w:p>
              </w:tc>
              <w:tc>
                <w:tcPr>
                  <w:tcW w:w="1035" w:type="dxa"/>
                  <w:vAlign w:val="center"/>
                </w:tcPr>
                <w:p>
                  <w:pPr>
                    <w:pStyle w:val="24"/>
                    <w:jc w:val="center"/>
                    <w:rPr>
                      <w:rFonts w:ascii="Times New Roman" w:hAnsi="Times New Roman" w:cs="Times New Roman"/>
                      <w:color w:val="auto"/>
                      <w:sz w:val="21"/>
                      <w:szCs w:val="21"/>
                      <w:highlight w:val="none"/>
                    </w:rPr>
                  </w:pPr>
                  <w:r>
                    <w:rPr>
                      <w:rFonts w:ascii="Times New Roman" w:hAnsi="Times New Roman" w:eastAsia="等线" w:cs="Times New Roman"/>
                      <w:color w:val="auto"/>
                      <w:sz w:val="21"/>
                      <w:szCs w:val="21"/>
                      <w:highlight w:val="none"/>
                    </w:rPr>
                    <w:t xml:space="preserve">0.0525 </w:t>
                  </w:r>
                </w:p>
              </w:tc>
              <w:tc>
                <w:tcPr>
                  <w:tcW w:w="871" w:type="dxa"/>
                  <w:vAlign w:val="center"/>
                </w:tcPr>
                <w:p>
                  <w:pPr>
                    <w:pStyle w:val="24"/>
                    <w:jc w:val="center"/>
                    <w:rPr>
                      <w:rFonts w:ascii="Times New Roman" w:hAnsi="Times New Roman" w:cs="Times New Roman"/>
                      <w:color w:val="auto"/>
                      <w:sz w:val="21"/>
                      <w:szCs w:val="21"/>
                      <w:highlight w:val="none"/>
                    </w:rPr>
                  </w:pPr>
                  <w:r>
                    <w:rPr>
                      <w:rFonts w:ascii="Times New Roman" w:hAnsi="Times New Roman" w:eastAsia="等线" w:cs="Times New Roman"/>
                      <w:color w:val="auto"/>
                      <w:sz w:val="21"/>
                      <w:szCs w:val="21"/>
                      <w:highlight w:val="none"/>
                    </w:rPr>
                    <w:t xml:space="preserve">0.0630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4" w:type="dxa"/>
                  <w:vAlign w:val="center"/>
                </w:tcPr>
                <w:p>
                  <w:pPr>
                    <w:pStyle w:val="24"/>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成型工序</w:t>
                  </w:r>
                </w:p>
              </w:tc>
              <w:tc>
                <w:tcPr>
                  <w:tcW w:w="655" w:type="dxa"/>
                  <w:vMerge w:val="continue"/>
                  <w:vAlign w:val="center"/>
                </w:tcPr>
                <w:p>
                  <w:pPr>
                    <w:pStyle w:val="24"/>
                    <w:jc w:val="center"/>
                    <w:rPr>
                      <w:rFonts w:ascii="Times New Roman" w:hAnsi="Times New Roman" w:cs="Times New Roman"/>
                      <w:color w:val="auto"/>
                      <w:sz w:val="21"/>
                      <w:szCs w:val="21"/>
                      <w:highlight w:val="none"/>
                    </w:rPr>
                  </w:pPr>
                </w:p>
              </w:tc>
              <w:tc>
                <w:tcPr>
                  <w:tcW w:w="1075" w:type="dxa"/>
                  <w:vMerge w:val="continue"/>
                  <w:vAlign w:val="center"/>
                </w:tcPr>
                <w:p>
                  <w:pPr>
                    <w:pStyle w:val="24"/>
                    <w:jc w:val="center"/>
                    <w:rPr>
                      <w:rFonts w:ascii="Times New Roman" w:hAnsi="Times New Roman" w:cs="Times New Roman"/>
                      <w:color w:val="auto"/>
                      <w:sz w:val="21"/>
                      <w:szCs w:val="21"/>
                      <w:highlight w:val="none"/>
                    </w:rPr>
                  </w:pPr>
                </w:p>
              </w:tc>
              <w:tc>
                <w:tcPr>
                  <w:tcW w:w="601" w:type="dxa"/>
                  <w:vMerge w:val="continue"/>
                  <w:vAlign w:val="center"/>
                </w:tcPr>
                <w:p>
                  <w:pPr>
                    <w:pStyle w:val="24"/>
                    <w:jc w:val="center"/>
                    <w:rPr>
                      <w:rFonts w:ascii="Times New Roman" w:hAnsi="Times New Roman" w:cs="Times New Roman"/>
                      <w:color w:val="auto"/>
                      <w:sz w:val="21"/>
                      <w:szCs w:val="21"/>
                      <w:highlight w:val="none"/>
                    </w:rPr>
                  </w:pPr>
                </w:p>
              </w:tc>
              <w:tc>
                <w:tcPr>
                  <w:tcW w:w="1219" w:type="dxa"/>
                  <w:vAlign w:val="center"/>
                </w:tcPr>
                <w:p>
                  <w:pPr>
                    <w:pStyle w:val="24"/>
                    <w:jc w:val="center"/>
                    <w:rPr>
                      <w:rFonts w:ascii="Times New Roman" w:hAnsi="Times New Roman" w:cs="Times New Roman"/>
                      <w:color w:val="auto"/>
                      <w:sz w:val="21"/>
                      <w:szCs w:val="21"/>
                      <w:highlight w:val="none"/>
                    </w:rPr>
                  </w:pPr>
                  <w:r>
                    <w:rPr>
                      <w:rFonts w:ascii="Times New Roman" w:hAnsi="Times New Roman" w:eastAsia="等线" w:cs="Times New Roman"/>
                      <w:color w:val="auto"/>
                      <w:sz w:val="21"/>
                      <w:szCs w:val="21"/>
                      <w:highlight w:val="none"/>
                    </w:rPr>
                    <w:t xml:space="preserve">12.3577 </w:t>
                  </w:r>
                </w:p>
              </w:tc>
              <w:tc>
                <w:tcPr>
                  <w:tcW w:w="1035" w:type="dxa"/>
                  <w:vAlign w:val="center"/>
                </w:tcPr>
                <w:p>
                  <w:pPr>
                    <w:pStyle w:val="24"/>
                    <w:jc w:val="center"/>
                    <w:rPr>
                      <w:rFonts w:ascii="Times New Roman" w:hAnsi="Times New Roman" w:cs="Times New Roman"/>
                      <w:color w:val="auto"/>
                      <w:sz w:val="21"/>
                      <w:szCs w:val="21"/>
                      <w:highlight w:val="none"/>
                    </w:rPr>
                  </w:pPr>
                  <w:r>
                    <w:rPr>
                      <w:rFonts w:ascii="Times New Roman" w:hAnsi="Times New Roman" w:eastAsia="等线" w:cs="Times New Roman"/>
                      <w:color w:val="auto"/>
                      <w:sz w:val="21"/>
                      <w:szCs w:val="21"/>
                      <w:highlight w:val="none"/>
                    </w:rPr>
                    <w:t xml:space="preserve">0.1607 </w:t>
                  </w:r>
                </w:p>
              </w:tc>
              <w:tc>
                <w:tcPr>
                  <w:tcW w:w="871" w:type="dxa"/>
                  <w:vAlign w:val="center"/>
                </w:tcPr>
                <w:p>
                  <w:pPr>
                    <w:pStyle w:val="24"/>
                    <w:jc w:val="center"/>
                    <w:rPr>
                      <w:rFonts w:ascii="Times New Roman" w:hAnsi="Times New Roman" w:cs="Times New Roman"/>
                      <w:color w:val="auto"/>
                      <w:sz w:val="21"/>
                      <w:szCs w:val="21"/>
                      <w:highlight w:val="none"/>
                    </w:rPr>
                  </w:pPr>
                  <w:r>
                    <w:rPr>
                      <w:rFonts w:ascii="Times New Roman" w:hAnsi="Times New Roman" w:eastAsia="等线" w:cs="Times New Roman"/>
                      <w:color w:val="auto"/>
                      <w:sz w:val="21"/>
                      <w:szCs w:val="21"/>
                      <w:highlight w:val="none"/>
                    </w:rPr>
                    <w:t xml:space="preserve">0.3856 </w:t>
                  </w:r>
                </w:p>
              </w:tc>
              <w:tc>
                <w:tcPr>
                  <w:tcW w:w="1035" w:type="dxa"/>
                  <w:vAlign w:val="center"/>
                </w:tcPr>
                <w:p>
                  <w:pPr>
                    <w:pStyle w:val="24"/>
                    <w:jc w:val="center"/>
                    <w:rPr>
                      <w:rFonts w:ascii="Times New Roman" w:hAnsi="Times New Roman" w:cs="Times New Roman"/>
                      <w:color w:val="auto"/>
                      <w:sz w:val="21"/>
                      <w:szCs w:val="21"/>
                      <w:highlight w:val="none"/>
                    </w:rPr>
                  </w:pPr>
                  <w:r>
                    <w:rPr>
                      <w:rFonts w:ascii="Times New Roman" w:hAnsi="Times New Roman" w:eastAsia="等线" w:cs="Times New Roman"/>
                      <w:color w:val="auto"/>
                      <w:sz w:val="21"/>
                      <w:szCs w:val="21"/>
                      <w:highlight w:val="none"/>
                    </w:rPr>
                    <w:t xml:space="preserve">0.1418 </w:t>
                  </w:r>
                </w:p>
              </w:tc>
              <w:tc>
                <w:tcPr>
                  <w:tcW w:w="871" w:type="dxa"/>
                  <w:vAlign w:val="center"/>
                </w:tcPr>
                <w:p>
                  <w:pPr>
                    <w:pStyle w:val="24"/>
                    <w:jc w:val="center"/>
                    <w:rPr>
                      <w:rFonts w:ascii="Times New Roman" w:hAnsi="Times New Roman" w:cs="Times New Roman"/>
                      <w:color w:val="auto"/>
                      <w:sz w:val="21"/>
                      <w:szCs w:val="21"/>
                      <w:highlight w:val="none"/>
                    </w:rPr>
                  </w:pPr>
                  <w:r>
                    <w:rPr>
                      <w:rFonts w:ascii="Times New Roman" w:hAnsi="Times New Roman" w:eastAsia="等线" w:cs="Times New Roman"/>
                      <w:color w:val="auto"/>
                      <w:sz w:val="21"/>
                      <w:szCs w:val="21"/>
                      <w:highlight w:val="none"/>
                    </w:rPr>
                    <w:t xml:space="preserve">0.3402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4" w:type="dxa"/>
                  <w:vAlign w:val="center"/>
                </w:tcPr>
                <w:p>
                  <w:pPr>
                    <w:pStyle w:val="24"/>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合计</w:t>
                  </w:r>
                </w:p>
              </w:tc>
              <w:tc>
                <w:tcPr>
                  <w:tcW w:w="2331" w:type="dxa"/>
                  <w:gridSpan w:val="3"/>
                  <w:vAlign w:val="center"/>
                </w:tcPr>
                <w:p>
                  <w:pPr>
                    <w:pStyle w:val="24"/>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非甲烷总烃</w:t>
                  </w:r>
                </w:p>
              </w:tc>
              <w:tc>
                <w:tcPr>
                  <w:tcW w:w="1219" w:type="dxa"/>
                  <w:vAlign w:val="center"/>
                </w:tcPr>
                <w:p>
                  <w:pPr>
                    <w:pStyle w:val="24"/>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1035" w:type="dxa"/>
                  <w:vAlign w:val="center"/>
                </w:tcPr>
                <w:p>
                  <w:pPr>
                    <w:pStyle w:val="24"/>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871" w:type="dxa"/>
                  <w:vAlign w:val="center"/>
                </w:tcPr>
                <w:p>
                  <w:pPr>
                    <w:pStyle w:val="24"/>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0</w:t>
                  </w:r>
                  <w:r>
                    <w:rPr>
                      <w:rFonts w:ascii="Times New Roman" w:hAnsi="Times New Roman" w:cs="Times New Roman"/>
                      <w:b/>
                      <w:bCs/>
                      <w:color w:val="auto"/>
                      <w:sz w:val="21"/>
                      <w:szCs w:val="21"/>
                      <w:highlight w:val="none"/>
                    </w:rPr>
                    <w:t>.4570</w:t>
                  </w:r>
                </w:p>
              </w:tc>
              <w:tc>
                <w:tcPr>
                  <w:tcW w:w="1035" w:type="dxa"/>
                  <w:vAlign w:val="center"/>
                </w:tcPr>
                <w:p>
                  <w:pPr>
                    <w:pStyle w:val="24"/>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871" w:type="dxa"/>
                  <w:vAlign w:val="center"/>
                </w:tcPr>
                <w:p>
                  <w:pPr>
                    <w:pStyle w:val="24"/>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0</w:t>
                  </w:r>
                  <w:r>
                    <w:rPr>
                      <w:rFonts w:ascii="Times New Roman" w:hAnsi="Times New Roman" w:cs="Times New Roman"/>
                      <w:b/>
                      <w:bCs/>
                      <w:color w:val="auto"/>
                      <w:sz w:val="21"/>
                      <w:szCs w:val="21"/>
                      <w:highlight w:val="none"/>
                    </w:rPr>
                    <w:t>.4032</w:t>
                  </w:r>
                </w:p>
              </w:tc>
            </w:tr>
          </w:tbl>
          <w:p>
            <w:pPr>
              <w:snapToGrid w:val="0"/>
              <w:spacing w:line="360" w:lineRule="auto"/>
              <w:ind w:firstLine="413" w:firstLineChars="196"/>
              <w:rPr>
                <w:rFonts w:ascii="Times New Roman" w:hAnsi="Times New Roman" w:cs="Times New Roman"/>
                <w:b/>
                <w:bCs/>
                <w:color w:val="auto"/>
                <w:highlight w:val="none"/>
              </w:rPr>
            </w:pPr>
          </w:p>
          <w:p>
            <w:pPr>
              <w:snapToGrid w:val="0"/>
              <w:spacing w:line="360" w:lineRule="auto"/>
              <w:ind w:firstLine="413" w:firstLineChars="196"/>
              <w:rPr>
                <w:rFonts w:ascii="Times New Roman" w:hAnsi="Times New Roman" w:cs="Times New Roman"/>
                <w:b/>
                <w:bCs/>
                <w:color w:val="auto"/>
                <w:sz w:val="24"/>
                <w:highlight w:val="none"/>
              </w:rPr>
            </w:pPr>
            <w:r>
              <w:rPr>
                <w:rFonts w:ascii="Times New Roman" w:hAnsi="Times New Roman" w:cs="Times New Roman"/>
                <w:b/>
                <w:bCs/>
                <w:color w:val="auto"/>
                <w:highlight w:val="none"/>
              </w:rPr>
              <w:t>②</w:t>
            </w:r>
            <w:r>
              <w:rPr>
                <w:rFonts w:ascii="Times New Roman" w:hAnsi="Times New Roman" w:cs="Times New Roman"/>
                <w:b/>
                <w:bCs/>
                <w:color w:val="auto"/>
                <w:sz w:val="24"/>
                <w:highlight w:val="none"/>
              </w:rPr>
              <w:t>饭堂油烟</w:t>
            </w:r>
          </w:p>
          <w:p>
            <w:pPr>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本项目就餐人数为20人。一般食堂的食用油耗油系数为7kg/100人·d，则其一天的食用油的用量约为1.4kg，则食堂烹饪过程中每年食用油消耗量为0.42t/a，食用油的挥发量占总耗油量的2%～4%之间，取其均值3%，则油烟的产生量约为0.126kg/a（年工作日以300天计，炉灶每天使用5h计算）。项目拟在炉灶上方安装油烟净化器（1个基准炉灶的总处理风量为3000m</w:t>
            </w:r>
            <w:r>
              <w:rPr>
                <w:rFonts w:ascii="Times New Roman" w:hAnsi="Times New Roman" w:cs="Times New Roman"/>
                <w:color w:val="auto"/>
                <w:sz w:val="24"/>
                <w:highlight w:val="none"/>
                <w:vertAlign w:val="superscript"/>
              </w:rPr>
              <w:t>3</w:t>
            </w:r>
            <w:r>
              <w:rPr>
                <w:rFonts w:ascii="Times New Roman" w:hAnsi="Times New Roman" w:cs="Times New Roman"/>
                <w:color w:val="auto"/>
                <w:sz w:val="24"/>
                <w:highlight w:val="none"/>
              </w:rPr>
              <w:t>/h，净化效率不小于60%），收集处理后经管道于厨房屋顶烟囱排放，则年产生的油烟废气量约5.68×10</w:t>
            </w:r>
            <w:r>
              <w:rPr>
                <w:rFonts w:ascii="Times New Roman" w:hAnsi="Times New Roman" w:cs="Times New Roman"/>
                <w:color w:val="auto"/>
                <w:sz w:val="24"/>
                <w:highlight w:val="none"/>
                <w:vertAlign w:val="superscript"/>
              </w:rPr>
              <w:t>6</w:t>
            </w:r>
            <w:r>
              <w:rPr>
                <w:rFonts w:ascii="Times New Roman" w:hAnsi="Times New Roman" w:cs="Times New Roman"/>
                <w:color w:val="auto"/>
                <w:sz w:val="24"/>
                <w:highlight w:val="none"/>
              </w:rPr>
              <w:t>m</w:t>
            </w:r>
            <w:r>
              <w:rPr>
                <w:rFonts w:ascii="Times New Roman" w:hAnsi="Times New Roman" w:cs="Times New Roman"/>
                <w:color w:val="auto"/>
                <w:sz w:val="24"/>
                <w:highlight w:val="none"/>
                <w:vertAlign w:val="superscript"/>
              </w:rPr>
              <w:t>3</w:t>
            </w:r>
            <w:r>
              <w:rPr>
                <w:rFonts w:ascii="Times New Roman" w:hAnsi="Times New Roman" w:cs="Times New Roman"/>
                <w:color w:val="auto"/>
                <w:sz w:val="24"/>
                <w:highlight w:val="none"/>
              </w:rPr>
              <w:t>/a，则油烟的排放初始浓度为2.8mg/m</w:t>
            </w:r>
            <w:r>
              <w:rPr>
                <w:rFonts w:ascii="Times New Roman" w:hAnsi="Times New Roman" w:cs="Times New Roman"/>
                <w:color w:val="auto"/>
                <w:sz w:val="24"/>
                <w:highlight w:val="none"/>
                <w:vertAlign w:val="superscript"/>
              </w:rPr>
              <w:t>3</w:t>
            </w:r>
            <w:r>
              <w:rPr>
                <w:rFonts w:ascii="Times New Roman" w:hAnsi="Times New Roman" w:cs="Times New Roman"/>
                <w:color w:val="auto"/>
                <w:sz w:val="24"/>
                <w:highlight w:val="none"/>
              </w:rPr>
              <w:t>，净化处理后油烟的排放浓度约为1.12mg/m</w:t>
            </w:r>
            <w:r>
              <w:rPr>
                <w:rFonts w:ascii="Times New Roman" w:hAnsi="Times New Roman" w:cs="Times New Roman"/>
                <w:color w:val="auto"/>
                <w:sz w:val="24"/>
                <w:highlight w:val="none"/>
                <w:vertAlign w:val="superscript"/>
              </w:rPr>
              <w:t>3</w:t>
            </w:r>
            <w:r>
              <w:rPr>
                <w:rFonts w:ascii="Times New Roman" w:hAnsi="Times New Roman" w:cs="Times New Roman"/>
                <w:color w:val="auto"/>
                <w:sz w:val="24"/>
                <w:highlight w:val="none"/>
              </w:rPr>
              <w:t>，排放速率为0.0084kg/h，年排放量为5.04kg/a。</w:t>
            </w:r>
          </w:p>
          <w:p>
            <w:pPr>
              <w:spacing w:before="156" w:beforeLines="50"/>
              <w:jc w:val="center"/>
              <w:rPr>
                <w:rFonts w:ascii="Times New Roman" w:hAnsi="Times New Roman" w:cs="Times New Roman"/>
                <w:b/>
                <w:bCs/>
                <w:color w:val="auto"/>
                <w:sz w:val="22"/>
                <w:highlight w:val="none"/>
              </w:rPr>
            </w:pPr>
            <w:r>
              <w:rPr>
                <w:rFonts w:ascii="Times New Roman" w:hAnsi="Times New Roman" w:cs="Times New Roman"/>
                <w:b/>
                <w:bCs/>
                <w:color w:val="auto"/>
                <w:sz w:val="22"/>
                <w:highlight w:val="none"/>
              </w:rPr>
              <w:t>表</w:t>
            </w:r>
            <w:r>
              <w:rPr>
                <w:rFonts w:hint="eastAsia" w:ascii="Times New Roman" w:hAnsi="Times New Roman" w:cs="Times New Roman"/>
                <w:b/>
                <w:bCs/>
                <w:color w:val="auto"/>
                <w:sz w:val="22"/>
                <w:highlight w:val="none"/>
              </w:rPr>
              <w:t>5-</w:t>
            </w:r>
            <w:r>
              <w:rPr>
                <w:rFonts w:ascii="Times New Roman" w:hAnsi="Times New Roman" w:cs="Times New Roman"/>
                <w:b/>
                <w:bCs/>
                <w:color w:val="auto"/>
                <w:sz w:val="22"/>
                <w:highlight w:val="none"/>
              </w:rPr>
              <w:t>4项目油烟废气污染物浓度及排放量一览表</w:t>
            </w:r>
          </w:p>
          <w:tbl>
            <w:tblPr>
              <w:tblStyle w:val="22"/>
              <w:tblW w:w="8286"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973"/>
              <w:gridCol w:w="1317"/>
              <w:gridCol w:w="1326"/>
              <w:gridCol w:w="1099"/>
              <w:gridCol w:w="1062"/>
              <w:gridCol w:w="1445"/>
              <w:gridCol w:w="106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jc w:val="center"/>
              </w:trPr>
              <w:tc>
                <w:tcPr>
                  <w:tcW w:w="973" w:type="dxa"/>
                  <w:vAlign w:val="center"/>
                </w:tcPr>
                <w:p>
                  <w:pPr>
                    <w:pStyle w:val="34"/>
                    <w:jc w:val="center"/>
                    <w:rPr>
                      <w:rFonts w:ascii="Times New Roman" w:hAnsi="Times New Roman" w:cs="Times New Roman"/>
                      <w:b/>
                      <w:color w:val="auto"/>
                      <w:sz w:val="21"/>
                      <w:highlight w:val="none"/>
                    </w:rPr>
                  </w:pPr>
                  <w:r>
                    <w:rPr>
                      <w:rFonts w:ascii="Times New Roman" w:hAnsi="Times New Roman" w:cs="Times New Roman"/>
                      <w:b/>
                      <w:color w:val="auto"/>
                      <w:sz w:val="21"/>
                      <w:highlight w:val="none"/>
                    </w:rPr>
                    <w:t>污染物</w:t>
                  </w:r>
                </w:p>
              </w:tc>
              <w:tc>
                <w:tcPr>
                  <w:tcW w:w="1317" w:type="dxa"/>
                  <w:vAlign w:val="center"/>
                </w:tcPr>
                <w:p>
                  <w:pPr>
                    <w:pStyle w:val="34"/>
                    <w:jc w:val="center"/>
                    <w:rPr>
                      <w:rFonts w:ascii="Times New Roman" w:hAnsi="Times New Roman" w:cs="Times New Roman"/>
                      <w:b/>
                      <w:color w:val="auto"/>
                      <w:sz w:val="21"/>
                      <w:highlight w:val="none"/>
                    </w:rPr>
                  </w:pPr>
                  <w:r>
                    <w:rPr>
                      <w:rFonts w:ascii="Times New Roman" w:hAnsi="Times New Roman" w:cs="Times New Roman"/>
                      <w:b/>
                      <w:color w:val="auto"/>
                      <w:sz w:val="21"/>
                      <w:highlight w:val="none"/>
                    </w:rPr>
                    <w:t>废气量</w:t>
                  </w:r>
                </w:p>
                <w:p>
                  <w:pPr>
                    <w:pStyle w:val="34"/>
                    <w:jc w:val="center"/>
                    <w:rPr>
                      <w:rFonts w:ascii="Times New Roman" w:hAnsi="Times New Roman" w:cs="Times New Roman"/>
                      <w:b/>
                      <w:color w:val="auto"/>
                      <w:sz w:val="21"/>
                      <w:highlight w:val="none"/>
                    </w:rPr>
                  </w:pPr>
                  <w:r>
                    <w:rPr>
                      <w:rFonts w:ascii="Times New Roman" w:hAnsi="Times New Roman" w:cs="Times New Roman"/>
                      <w:b/>
                      <w:color w:val="auto"/>
                      <w:sz w:val="21"/>
                      <w:highlight w:val="none"/>
                    </w:rPr>
                    <w:t>（万m</w:t>
                  </w:r>
                  <w:r>
                    <w:rPr>
                      <w:rFonts w:ascii="Times New Roman" w:hAnsi="Times New Roman" w:cs="Times New Roman"/>
                      <w:b/>
                      <w:color w:val="auto"/>
                      <w:sz w:val="21"/>
                      <w:highlight w:val="none"/>
                      <w:vertAlign w:val="superscript"/>
                    </w:rPr>
                    <w:t>3</w:t>
                  </w:r>
                  <w:r>
                    <w:rPr>
                      <w:rFonts w:ascii="Times New Roman" w:hAnsi="Times New Roman" w:cs="Times New Roman"/>
                      <w:b/>
                      <w:color w:val="auto"/>
                      <w:sz w:val="21"/>
                      <w:highlight w:val="none"/>
                    </w:rPr>
                    <w:t>/a）</w:t>
                  </w:r>
                </w:p>
              </w:tc>
              <w:tc>
                <w:tcPr>
                  <w:tcW w:w="1326" w:type="dxa"/>
                  <w:vAlign w:val="center"/>
                </w:tcPr>
                <w:p>
                  <w:pPr>
                    <w:pStyle w:val="34"/>
                    <w:jc w:val="center"/>
                    <w:rPr>
                      <w:rFonts w:ascii="Times New Roman" w:hAnsi="Times New Roman" w:cs="Times New Roman"/>
                      <w:b/>
                      <w:color w:val="auto"/>
                      <w:sz w:val="21"/>
                      <w:highlight w:val="none"/>
                    </w:rPr>
                  </w:pPr>
                  <w:r>
                    <w:rPr>
                      <w:rFonts w:ascii="Times New Roman" w:hAnsi="Times New Roman" w:cs="Times New Roman"/>
                      <w:b/>
                      <w:color w:val="auto"/>
                      <w:sz w:val="21"/>
                      <w:highlight w:val="none"/>
                    </w:rPr>
                    <w:t>产生浓度</w:t>
                  </w:r>
                </w:p>
                <w:p>
                  <w:pPr>
                    <w:pStyle w:val="34"/>
                    <w:jc w:val="center"/>
                    <w:rPr>
                      <w:rFonts w:ascii="Times New Roman" w:hAnsi="Times New Roman" w:cs="Times New Roman"/>
                      <w:b/>
                      <w:color w:val="auto"/>
                      <w:sz w:val="21"/>
                      <w:highlight w:val="none"/>
                    </w:rPr>
                  </w:pPr>
                  <w:r>
                    <w:rPr>
                      <w:rFonts w:ascii="Times New Roman" w:hAnsi="Times New Roman" w:cs="Times New Roman"/>
                      <w:b/>
                      <w:color w:val="auto"/>
                      <w:sz w:val="21"/>
                      <w:highlight w:val="none"/>
                    </w:rPr>
                    <w:t>（mg/m</w:t>
                  </w:r>
                  <w:r>
                    <w:rPr>
                      <w:rFonts w:ascii="Times New Roman" w:hAnsi="Times New Roman" w:cs="Times New Roman"/>
                      <w:b/>
                      <w:color w:val="auto"/>
                      <w:sz w:val="21"/>
                      <w:highlight w:val="none"/>
                      <w:vertAlign w:val="superscript"/>
                    </w:rPr>
                    <w:t>3</w:t>
                  </w:r>
                  <w:r>
                    <w:rPr>
                      <w:rFonts w:ascii="Times New Roman" w:hAnsi="Times New Roman" w:cs="Times New Roman"/>
                      <w:b/>
                      <w:color w:val="auto"/>
                      <w:sz w:val="21"/>
                      <w:highlight w:val="none"/>
                    </w:rPr>
                    <w:t>）</w:t>
                  </w:r>
                </w:p>
              </w:tc>
              <w:tc>
                <w:tcPr>
                  <w:tcW w:w="1099" w:type="dxa"/>
                  <w:vAlign w:val="center"/>
                </w:tcPr>
                <w:p>
                  <w:pPr>
                    <w:pStyle w:val="34"/>
                    <w:jc w:val="center"/>
                    <w:rPr>
                      <w:rFonts w:ascii="Times New Roman" w:hAnsi="Times New Roman" w:cs="Times New Roman"/>
                      <w:b/>
                      <w:color w:val="auto"/>
                      <w:sz w:val="21"/>
                      <w:highlight w:val="none"/>
                    </w:rPr>
                  </w:pPr>
                  <w:r>
                    <w:rPr>
                      <w:rFonts w:ascii="Times New Roman" w:hAnsi="Times New Roman" w:cs="Times New Roman"/>
                      <w:b/>
                      <w:color w:val="auto"/>
                      <w:sz w:val="21"/>
                      <w:highlight w:val="none"/>
                    </w:rPr>
                    <w:t>产生量</w:t>
                  </w:r>
                </w:p>
                <w:p>
                  <w:pPr>
                    <w:pStyle w:val="34"/>
                    <w:jc w:val="center"/>
                    <w:rPr>
                      <w:rFonts w:ascii="Times New Roman" w:hAnsi="Times New Roman" w:cs="Times New Roman"/>
                      <w:b/>
                      <w:color w:val="auto"/>
                      <w:sz w:val="21"/>
                      <w:highlight w:val="none"/>
                    </w:rPr>
                  </w:pPr>
                  <w:r>
                    <w:rPr>
                      <w:rFonts w:ascii="Times New Roman" w:hAnsi="Times New Roman" w:cs="Times New Roman"/>
                      <w:b/>
                      <w:color w:val="auto"/>
                      <w:sz w:val="21"/>
                      <w:highlight w:val="none"/>
                    </w:rPr>
                    <w:t>（t/a）</w:t>
                  </w:r>
                </w:p>
              </w:tc>
              <w:tc>
                <w:tcPr>
                  <w:tcW w:w="1062" w:type="dxa"/>
                  <w:vAlign w:val="center"/>
                </w:tcPr>
                <w:p>
                  <w:pPr>
                    <w:pStyle w:val="34"/>
                    <w:jc w:val="center"/>
                    <w:rPr>
                      <w:rFonts w:ascii="Times New Roman" w:hAnsi="Times New Roman" w:cs="Times New Roman"/>
                      <w:b/>
                      <w:color w:val="auto"/>
                      <w:sz w:val="21"/>
                      <w:highlight w:val="none"/>
                    </w:rPr>
                  </w:pPr>
                  <w:r>
                    <w:rPr>
                      <w:rFonts w:ascii="Times New Roman" w:hAnsi="Times New Roman" w:cs="Times New Roman"/>
                      <w:b/>
                      <w:color w:val="auto"/>
                      <w:sz w:val="21"/>
                      <w:highlight w:val="none"/>
                    </w:rPr>
                    <w:t>削减量</w:t>
                  </w:r>
                </w:p>
                <w:p>
                  <w:pPr>
                    <w:pStyle w:val="34"/>
                    <w:jc w:val="center"/>
                    <w:rPr>
                      <w:rFonts w:ascii="Times New Roman" w:hAnsi="Times New Roman" w:cs="Times New Roman"/>
                      <w:b/>
                      <w:color w:val="auto"/>
                      <w:sz w:val="21"/>
                      <w:highlight w:val="none"/>
                    </w:rPr>
                  </w:pPr>
                  <w:r>
                    <w:rPr>
                      <w:rFonts w:ascii="Times New Roman" w:hAnsi="Times New Roman" w:cs="Times New Roman"/>
                      <w:b/>
                      <w:color w:val="auto"/>
                      <w:sz w:val="21"/>
                      <w:highlight w:val="none"/>
                    </w:rPr>
                    <w:t>（t/a）</w:t>
                  </w:r>
                </w:p>
              </w:tc>
              <w:tc>
                <w:tcPr>
                  <w:tcW w:w="1445" w:type="dxa"/>
                  <w:vAlign w:val="center"/>
                </w:tcPr>
                <w:p>
                  <w:pPr>
                    <w:pStyle w:val="34"/>
                    <w:jc w:val="center"/>
                    <w:rPr>
                      <w:rFonts w:ascii="Times New Roman" w:hAnsi="Times New Roman" w:cs="Times New Roman"/>
                      <w:b/>
                      <w:color w:val="auto"/>
                      <w:sz w:val="21"/>
                      <w:highlight w:val="none"/>
                    </w:rPr>
                  </w:pPr>
                  <w:r>
                    <w:rPr>
                      <w:rFonts w:ascii="Times New Roman" w:hAnsi="Times New Roman" w:cs="Times New Roman"/>
                      <w:b/>
                      <w:color w:val="auto"/>
                      <w:sz w:val="21"/>
                      <w:highlight w:val="none"/>
                    </w:rPr>
                    <w:t>排放浓度</w:t>
                  </w:r>
                </w:p>
                <w:p>
                  <w:pPr>
                    <w:pStyle w:val="34"/>
                    <w:jc w:val="center"/>
                    <w:rPr>
                      <w:rFonts w:ascii="Times New Roman" w:hAnsi="Times New Roman" w:cs="Times New Roman"/>
                      <w:b/>
                      <w:color w:val="auto"/>
                      <w:sz w:val="21"/>
                      <w:highlight w:val="none"/>
                    </w:rPr>
                  </w:pPr>
                  <w:r>
                    <w:rPr>
                      <w:rFonts w:ascii="Times New Roman" w:hAnsi="Times New Roman" w:cs="Times New Roman"/>
                      <w:b/>
                      <w:color w:val="auto"/>
                      <w:sz w:val="21"/>
                      <w:highlight w:val="none"/>
                    </w:rPr>
                    <w:t>（mg/m</w:t>
                  </w:r>
                  <w:r>
                    <w:rPr>
                      <w:rFonts w:ascii="Times New Roman" w:hAnsi="Times New Roman" w:cs="Times New Roman"/>
                      <w:b/>
                      <w:color w:val="auto"/>
                      <w:sz w:val="21"/>
                      <w:highlight w:val="none"/>
                      <w:vertAlign w:val="superscript"/>
                    </w:rPr>
                    <w:t>3</w:t>
                  </w:r>
                  <w:r>
                    <w:rPr>
                      <w:rFonts w:ascii="Times New Roman" w:hAnsi="Times New Roman" w:cs="Times New Roman"/>
                      <w:b/>
                      <w:color w:val="auto"/>
                      <w:sz w:val="21"/>
                      <w:highlight w:val="none"/>
                    </w:rPr>
                    <w:t>）</w:t>
                  </w:r>
                </w:p>
              </w:tc>
              <w:tc>
                <w:tcPr>
                  <w:tcW w:w="1064" w:type="dxa"/>
                  <w:vAlign w:val="center"/>
                </w:tcPr>
                <w:p>
                  <w:pPr>
                    <w:pStyle w:val="34"/>
                    <w:jc w:val="center"/>
                    <w:rPr>
                      <w:rFonts w:ascii="Times New Roman" w:hAnsi="Times New Roman" w:cs="Times New Roman"/>
                      <w:b/>
                      <w:color w:val="auto"/>
                      <w:sz w:val="21"/>
                      <w:highlight w:val="none"/>
                    </w:rPr>
                  </w:pPr>
                  <w:r>
                    <w:rPr>
                      <w:rFonts w:ascii="Times New Roman" w:hAnsi="Times New Roman" w:cs="Times New Roman"/>
                      <w:b/>
                      <w:color w:val="auto"/>
                      <w:sz w:val="21"/>
                      <w:highlight w:val="none"/>
                    </w:rPr>
                    <w:t>排放量</w:t>
                  </w:r>
                </w:p>
                <w:p>
                  <w:pPr>
                    <w:pStyle w:val="34"/>
                    <w:jc w:val="center"/>
                    <w:rPr>
                      <w:rFonts w:ascii="Times New Roman" w:hAnsi="Times New Roman" w:cs="Times New Roman"/>
                      <w:b/>
                      <w:color w:val="auto"/>
                      <w:sz w:val="21"/>
                      <w:highlight w:val="none"/>
                    </w:rPr>
                  </w:pPr>
                  <w:r>
                    <w:rPr>
                      <w:rFonts w:ascii="Times New Roman" w:hAnsi="Times New Roman" w:cs="Times New Roman"/>
                      <w:b/>
                      <w:color w:val="auto"/>
                      <w:sz w:val="21"/>
                      <w:highlight w:val="none"/>
                    </w:rPr>
                    <w:t>（t/a）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jc w:val="center"/>
              </w:trPr>
              <w:tc>
                <w:tcPr>
                  <w:tcW w:w="973" w:type="dxa"/>
                  <w:vAlign w:val="center"/>
                </w:tcPr>
                <w:p>
                  <w:pPr>
                    <w:pStyle w:val="34"/>
                    <w:jc w:val="center"/>
                    <w:rPr>
                      <w:rFonts w:ascii="Times New Roman" w:hAnsi="Times New Roman" w:cs="Times New Roman"/>
                      <w:color w:val="auto"/>
                      <w:sz w:val="21"/>
                      <w:highlight w:val="none"/>
                    </w:rPr>
                  </w:pPr>
                  <w:r>
                    <w:rPr>
                      <w:rFonts w:ascii="Times New Roman" w:hAnsi="Times New Roman" w:cs="Times New Roman"/>
                      <w:color w:val="auto"/>
                      <w:sz w:val="21"/>
                      <w:highlight w:val="none"/>
                    </w:rPr>
                    <w:t>油烟</w:t>
                  </w:r>
                </w:p>
              </w:tc>
              <w:tc>
                <w:tcPr>
                  <w:tcW w:w="1317" w:type="dxa"/>
                  <w:vAlign w:val="center"/>
                </w:tcPr>
                <w:p>
                  <w:pPr>
                    <w:pStyle w:val="34"/>
                    <w:jc w:val="center"/>
                    <w:rPr>
                      <w:rFonts w:ascii="Times New Roman" w:hAnsi="Times New Roman" w:cs="Times New Roman"/>
                      <w:color w:val="auto"/>
                      <w:sz w:val="21"/>
                      <w:highlight w:val="none"/>
                    </w:rPr>
                  </w:pPr>
                  <w:r>
                    <w:rPr>
                      <w:rFonts w:ascii="Times New Roman" w:hAnsi="Times New Roman" w:cs="Times New Roman"/>
                      <w:color w:val="auto"/>
                      <w:sz w:val="21"/>
                      <w:highlight w:val="none"/>
                    </w:rPr>
                    <w:t>568</w:t>
                  </w:r>
                </w:p>
              </w:tc>
              <w:tc>
                <w:tcPr>
                  <w:tcW w:w="1326" w:type="dxa"/>
                  <w:vAlign w:val="center"/>
                </w:tcPr>
                <w:p>
                  <w:pPr>
                    <w:pStyle w:val="34"/>
                    <w:jc w:val="center"/>
                    <w:rPr>
                      <w:rFonts w:ascii="Times New Roman" w:hAnsi="Times New Roman" w:cs="Times New Roman"/>
                      <w:color w:val="auto"/>
                      <w:sz w:val="21"/>
                      <w:highlight w:val="none"/>
                    </w:rPr>
                  </w:pPr>
                  <w:r>
                    <w:rPr>
                      <w:rFonts w:ascii="Times New Roman" w:hAnsi="Times New Roman" w:cs="Times New Roman"/>
                      <w:color w:val="auto"/>
                      <w:sz w:val="21"/>
                      <w:highlight w:val="none"/>
                    </w:rPr>
                    <w:t>2.8</w:t>
                  </w:r>
                </w:p>
              </w:tc>
              <w:tc>
                <w:tcPr>
                  <w:tcW w:w="1099" w:type="dxa"/>
                  <w:vAlign w:val="center"/>
                </w:tcPr>
                <w:p>
                  <w:pPr>
                    <w:pStyle w:val="34"/>
                    <w:jc w:val="center"/>
                    <w:rPr>
                      <w:rFonts w:ascii="Times New Roman" w:hAnsi="Times New Roman" w:cs="Times New Roman"/>
                      <w:color w:val="auto"/>
                      <w:sz w:val="21"/>
                      <w:highlight w:val="none"/>
                    </w:rPr>
                  </w:pPr>
                  <w:r>
                    <w:rPr>
                      <w:rFonts w:ascii="Times New Roman" w:hAnsi="Times New Roman" w:cs="Times New Roman"/>
                      <w:color w:val="auto"/>
                      <w:sz w:val="21"/>
                      <w:highlight w:val="none"/>
                    </w:rPr>
                    <w:t>0.0126</w:t>
                  </w:r>
                </w:p>
              </w:tc>
              <w:tc>
                <w:tcPr>
                  <w:tcW w:w="1062" w:type="dxa"/>
                  <w:vAlign w:val="center"/>
                </w:tcPr>
                <w:p>
                  <w:pPr>
                    <w:pStyle w:val="34"/>
                    <w:jc w:val="center"/>
                    <w:rPr>
                      <w:rFonts w:ascii="Times New Roman" w:hAnsi="Times New Roman" w:cs="Times New Roman"/>
                      <w:color w:val="auto"/>
                      <w:sz w:val="21"/>
                      <w:highlight w:val="none"/>
                    </w:rPr>
                  </w:pPr>
                  <w:r>
                    <w:rPr>
                      <w:rFonts w:ascii="Times New Roman" w:hAnsi="Times New Roman" w:cs="Times New Roman"/>
                      <w:color w:val="auto"/>
                      <w:sz w:val="21"/>
                      <w:highlight w:val="none"/>
                    </w:rPr>
                    <w:t>0.00756</w:t>
                  </w:r>
                </w:p>
              </w:tc>
              <w:tc>
                <w:tcPr>
                  <w:tcW w:w="1445" w:type="dxa"/>
                  <w:vAlign w:val="center"/>
                </w:tcPr>
                <w:p>
                  <w:pPr>
                    <w:pStyle w:val="34"/>
                    <w:jc w:val="center"/>
                    <w:rPr>
                      <w:rFonts w:ascii="Times New Roman" w:hAnsi="Times New Roman" w:cs="Times New Roman"/>
                      <w:color w:val="auto"/>
                      <w:sz w:val="21"/>
                      <w:highlight w:val="none"/>
                    </w:rPr>
                  </w:pPr>
                  <w:r>
                    <w:rPr>
                      <w:rFonts w:ascii="Times New Roman" w:hAnsi="Times New Roman" w:cs="Times New Roman"/>
                      <w:color w:val="auto"/>
                      <w:sz w:val="21"/>
                      <w:highlight w:val="none"/>
                    </w:rPr>
                    <w:t>1.12</w:t>
                  </w:r>
                </w:p>
              </w:tc>
              <w:tc>
                <w:tcPr>
                  <w:tcW w:w="1064" w:type="dxa"/>
                  <w:vAlign w:val="center"/>
                </w:tcPr>
                <w:p>
                  <w:pPr>
                    <w:pStyle w:val="34"/>
                    <w:jc w:val="center"/>
                    <w:rPr>
                      <w:rFonts w:ascii="Times New Roman" w:hAnsi="Times New Roman" w:cs="Times New Roman"/>
                      <w:color w:val="auto"/>
                      <w:sz w:val="21"/>
                      <w:highlight w:val="none"/>
                    </w:rPr>
                  </w:pPr>
                  <w:r>
                    <w:rPr>
                      <w:rFonts w:ascii="Times New Roman" w:hAnsi="Times New Roman" w:cs="Times New Roman"/>
                      <w:color w:val="auto"/>
                      <w:sz w:val="21"/>
                      <w:highlight w:val="none"/>
                    </w:rPr>
                    <w:t>0.00504</w:t>
                  </w:r>
                </w:p>
              </w:tc>
            </w:tr>
          </w:tbl>
          <w:p>
            <w:pPr>
              <w:spacing w:before="156" w:beforeLines="50" w:line="360" w:lineRule="auto"/>
              <w:ind w:firstLine="480" w:firstLineChars="200"/>
              <w:rPr>
                <w:rFonts w:ascii="Times New Roman" w:hAnsi="Times New Roman" w:cs="Times New Roman"/>
                <w:color w:val="auto"/>
                <w:kern w:val="0"/>
                <w:sz w:val="24"/>
                <w:highlight w:val="none"/>
              </w:rPr>
            </w:pPr>
            <w:r>
              <w:rPr>
                <w:rFonts w:ascii="Times New Roman" w:hAnsi="Times New Roman" w:cs="Times New Roman"/>
                <w:color w:val="auto"/>
                <w:sz w:val="24"/>
                <w:highlight w:val="none"/>
              </w:rPr>
              <w:t>本项目厨房燃料为液化石油气，液化石油气为清洁的能源，其主要成分为丙烷和丁烷等烷烃，燃烧后的产物为二氧化碳和水，不构成明显大气污染源</w:t>
            </w:r>
            <w:r>
              <w:rPr>
                <w:rFonts w:ascii="Times New Roman" w:hAnsi="Times New Roman" w:cs="Times New Roman"/>
                <w:color w:val="auto"/>
                <w:kern w:val="0"/>
                <w:sz w:val="24"/>
                <w:highlight w:val="none"/>
              </w:rPr>
              <w:t>。</w:t>
            </w:r>
          </w:p>
          <w:p>
            <w:pPr>
              <w:spacing w:line="360" w:lineRule="auto"/>
              <w:ind w:firstLine="482" w:firstLineChars="200"/>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（2）水污染源</w:t>
            </w:r>
          </w:p>
          <w:p>
            <w:pPr>
              <w:adjustRightInd w:val="0"/>
              <w:snapToGrid w:val="0"/>
              <w:spacing w:line="360" w:lineRule="auto"/>
              <w:ind w:firstLine="502"/>
              <w:rPr>
                <w:rFonts w:ascii="Times New Roman" w:hAnsi="Times New Roman" w:cs="Times New Roman"/>
                <w:b/>
                <w:bCs/>
                <w:color w:val="auto"/>
                <w:sz w:val="24"/>
                <w:highlight w:val="none"/>
              </w:rPr>
            </w:pPr>
            <w:r>
              <w:rPr>
                <w:rFonts w:ascii="Times New Roman" w:hAnsi="Times New Roman" w:cs="Times New Roman"/>
                <w:b/>
                <w:bCs/>
                <w:color w:val="auto"/>
                <w:sz w:val="24"/>
                <w:highlight w:val="none"/>
              </w:rPr>
              <w:t>1.生活污水</w:t>
            </w:r>
          </w:p>
          <w:p>
            <w:pPr>
              <w:spacing w:line="360" w:lineRule="auto"/>
              <w:ind w:firstLine="480" w:firstLineChars="200"/>
              <w:rPr>
                <w:rFonts w:ascii="Times New Roman" w:hAnsi="Times New Roman" w:cs="Times New Roman"/>
                <w:color w:val="auto"/>
                <w:sz w:val="24"/>
                <w:highlight w:val="none"/>
              </w:rPr>
            </w:pPr>
            <w:r>
              <w:rPr>
                <w:rFonts w:ascii="Times New Roman" w:hAnsi="Times New Roman" w:eastAsia="宋体" w:cs="Times New Roman"/>
                <w:color w:val="auto"/>
                <w:sz w:val="24"/>
                <w:highlight w:val="none"/>
              </w:rPr>
              <w:t>项目外排污水为员工生活污水。</w:t>
            </w:r>
            <w:r>
              <w:rPr>
                <w:rFonts w:ascii="Times New Roman" w:hAnsi="Times New Roman" w:cs="Times New Roman"/>
                <w:color w:val="auto"/>
                <w:sz w:val="24"/>
                <w:highlight w:val="none"/>
                <w:lang w:val="en-GB"/>
              </w:rPr>
              <w:t>项目设有员工</w:t>
            </w:r>
            <w:r>
              <w:rPr>
                <w:rFonts w:ascii="Times New Roman" w:hAnsi="Times New Roman" w:cs="Times New Roman"/>
                <w:color w:val="auto"/>
                <w:sz w:val="24"/>
                <w:highlight w:val="none"/>
              </w:rPr>
              <w:t>20</w:t>
            </w:r>
            <w:r>
              <w:rPr>
                <w:rFonts w:ascii="Times New Roman" w:hAnsi="Times New Roman" w:cs="Times New Roman"/>
                <w:color w:val="auto"/>
                <w:sz w:val="24"/>
                <w:highlight w:val="none"/>
                <w:lang w:val="en-GB"/>
              </w:rPr>
              <w:t>人，其中</w:t>
            </w:r>
            <w:r>
              <w:rPr>
                <w:rFonts w:ascii="Times New Roman" w:hAnsi="Times New Roman" w:cs="Times New Roman"/>
                <w:color w:val="auto"/>
                <w:sz w:val="24"/>
                <w:highlight w:val="none"/>
              </w:rPr>
              <w:t>20</w:t>
            </w:r>
            <w:r>
              <w:rPr>
                <w:rFonts w:ascii="Times New Roman" w:hAnsi="Times New Roman" w:cs="Times New Roman"/>
                <w:color w:val="auto"/>
                <w:sz w:val="24"/>
                <w:highlight w:val="none"/>
                <w:lang w:val="en-GB"/>
              </w:rPr>
              <w:t>个人在厂内住宿年工作300天，每天</w:t>
            </w:r>
            <w:r>
              <w:rPr>
                <w:rFonts w:ascii="Times New Roman" w:hAnsi="Times New Roman" w:cs="Times New Roman"/>
                <w:color w:val="auto"/>
                <w:sz w:val="24"/>
                <w:highlight w:val="none"/>
              </w:rPr>
              <w:t>2</w:t>
            </w:r>
            <w:r>
              <w:rPr>
                <w:rFonts w:ascii="Times New Roman" w:hAnsi="Times New Roman" w:cs="Times New Roman"/>
                <w:color w:val="auto"/>
                <w:sz w:val="24"/>
                <w:highlight w:val="none"/>
                <w:lang w:val="en-GB"/>
              </w:rPr>
              <w:t>班，每班8小时</w:t>
            </w:r>
            <w:r>
              <w:rPr>
                <w:rFonts w:ascii="Times New Roman" w:hAnsi="Times New Roman" w:cs="Times New Roman"/>
                <w:color w:val="auto"/>
                <w:sz w:val="24"/>
                <w:highlight w:val="none"/>
              </w:rPr>
              <w:t>，根据《广东省用水定额》（DB44/1461-2014），按人均用水0.08 m</w:t>
            </w:r>
            <w:r>
              <w:rPr>
                <w:rFonts w:ascii="Times New Roman" w:hAnsi="Times New Roman" w:cs="Times New Roman"/>
                <w:color w:val="auto"/>
                <w:sz w:val="24"/>
                <w:highlight w:val="none"/>
                <w:vertAlign w:val="superscript"/>
              </w:rPr>
              <w:t>3</w:t>
            </w:r>
            <w:r>
              <w:rPr>
                <w:rFonts w:ascii="Times New Roman" w:hAnsi="Times New Roman" w:cs="Times New Roman"/>
                <w:color w:val="auto"/>
                <w:sz w:val="24"/>
                <w:highlight w:val="none"/>
              </w:rPr>
              <w:t>/人·天，即每天用水约1.6m</w:t>
            </w:r>
            <w:r>
              <w:rPr>
                <w:rFonts w:ascii="Times New Roman" w:hAnsi="Times New Roman" w:cs="Times New Roman"/>
                <w:color w:val="auto"/>
                <w:sz w:val="24"/>
                <w:highlight w:val="none"/>
                <w:vertAlign w:val="superscript"/>
              </w:rPr>
              <w:t>3</w:t>
            </w:r>
            <w:r>
              <w:rPr>
                <w:rFonts w:ascii="Times New Roman" w:hAnsi="Times New Roman" w:cs="Times New Roman"/>
                <w:color w:val="auto"/>
                <w:sz w:val="24"/>
                <w:highlight w:val="none"/>
              </w:rPr>
              <w:t>，一年300天计算，生活用水约为480m</w:t>
            </w:r>
            <w:r>
              <w:rPr>
                <w:rFonts w:ascii="Times New Roman" w:hAnsi="Times New Roman" w:cs="Times New Roman"/>
                <w:color w:val="auto"/>
                <w:sz w:val="24"/>
                <w:highlight w:val="none"/>
                <w:vertAlign w:val="superscript"/>
              </w:rPr>
              <w:t>3</w:t>
            </w:r>
            <w:r>
              <w:rPr>
                <w:rFonts w:ascii="Times New Roman" w:hAnsi="Times New Roman" w:cs="Times New Roman"/>
                <w:color w:val="auto"/>
                <w:sz w:val="24"/>
                <w:highlight w:val="none"/>
              </w:rPr>
              <w:t>/a。项目生活污水排污系数按0.9计算，则生活污水排放量约为1.44m</w:t>
            </w:r>
            <w:r>
              <w:rPr>
                <w:rFonts w:ascii="Times New Roman" w:hAnsi="Times New Roman" w:cs="Times New Roman"/>
                <w:color w:val="auto"/>
                <w:sz w:val="24"/>
                <w:highlight w:val="none"/>
                <w:vertAlign w:val="superscript"/>
              </w:rPr>
              <w:t>3</w:t>
            </w:r>
            <w:r>
              <w:rPr>
                <w:rFonts w:ascii="Times New Roman" w:hAnsi="Times New Roman" w:cs="Times New Roman"/>
                <w:color w:val="auto"/>
                <w:sz w:val="24"/>
                <w:highlight w:val="none"/>
              </w:rPr>
              <w:t>/d （432m</w:t>
            </w:r>
            <w:r>
              <w:rPr>
                <w:rFonts w:ascii="Times New Roman" w:hAnsi="Times New Roman" w:cs="Times New Roman"/>
                <w:color w:val="auto"/>
                <w:sz w:val="24"/>
                <w:highlight w:val="none"/>
                <w:vertAlign w:val="superscript"/>
              </w:rPr>
              <w:t>3</w:t>
            </w:r>
            <w:r>
              <w:rPr>
                <w:rFonts w:ascii="Times New Roman" w:hAnsi="Times New Roman" w:cs="Times New Roman"/>
                <w:color w:val="auto"/>
                <w:sz w:val="24"/>
                <w:highlight w:val="none"/>
              </w:rPr>
              <w:t>/a）。</w:t>
            </w:r>
          </w:p>
          <w:p>
            <w:pPr>
              <w:adjustRightInd w:val="0"/>
              <w:snapToGrid w:val="0"/>
              <w:spacing w:line="360" w:lineRule="auto"/>
              <w:ind w:firstLine="500"/>
              <w:rPr>
                <w:rFonts w:ascii="Times New Roman" w:hAnsi="Times New Roman" w:cs="Times New Roman"/>
                <w:color w:val="auto"/>
                <w:sz w:val="24"/>
                <w:highlight w:val="none"/>
              </w:rPr>
            </w:pPr>
            <w:r>
              <w:rPr>
                <w:rFonts w:ascii="Times New Roman" w:hAnsi="Times New Roman" w:cs="Times New Roman"/>
                <w:color w:val="auto"/>
                <w:sz w:val="24"/>
                <w:highlight w:val="none"/>
              </w:rPr>
              <w:t>生活污水浓度依据《给排水设计手册》第五册《城镇排水》表4-1典型生活污水水质示例·低浓度，运营期污水中主要污染物的浓度和排放量见表</w:t>
            </w:r>
            <w:r>
              <w:rPr>
                <w:rFonts w:hint="eastAsia" w:ascii="Times New Roman" w:hAnsi="Times New Roman" w:cs="Times New Roman"/>
                <w:color w:val="auto"/>
                <w:sz w:val="24"/>
                <w:highlight w:val="none"/>
              </w:rPr>
              <w:t>5-</w:t>
            </w:r>
            <w:r>
              <w:rPr>
                <w:rFonts w:ascii="Times New Roman" w:hAnsi="Times New Roman" w:cs="Times New Roman"/>
                <w:color w:val="auto"/>
                <w:sz w:val="24"/>
                <w:highlight w:val="none"/>
              </w:rPr>
              <w:t>5。</w:t>
            </w:r>
          </w:p>
          <w:p>
            <w:pPr>
              <w:pStyle w:val="24"/>
              <w:spacing w:line="360" w:lineRule="auto"/>
              <w:ind w:firstLine="482" w:firstLineChars="200"/>
              <w:jc w:val="both"/>
              <w:rPr>
                <w:rFonts w:ascii="Times New Roman" w:hAnsi="Times New Roman" w:cs="Times New Roman"/>
                <w:b/>
                <w:bCs/>
                <w:color w:val="auto"/>
                <w:kern w:val="2"/>
                <w:highlight w:val="none"/>
              </w:rPr>
            </w:pPr>
            <w:r>
              <w:rPr>
                <w:rFonts w:ascii="Times New Roman" w:hAnsi="Times New Roman" w:cs="Times New Roman"/>
                <w:b/>
                <w:bCs/>
                <w:color w:val="auto"/>
                <w:kern w:val="2"/>
                <w:highlight w:val="none"/>
              </w:rPr>
              <w:t>2.成型机冷却水</w:t>
            </w:r>
          </w:p>
          <w:p>
            <w:pPr>
              <w:pStyle w:val="24"/>
              <w:spacing w:line="360" w:lineRule="auto"/>
              <w:ind w:firstLine="480" w:firstLineChars="200"/>
              <w:jc w:val="both"/>
              <w:rPr>
                <w:rFonts w:ascii="Times New Roman" w:hAnsi="Times New Roman" w:cs="Times New Roman"/>
                <w:color w:val="auto"/>
                <w:kern w:val="2"/>
                <w:highlight w:val="none"/>
              </w:rPr>
            </w:pPr>
            <w:r>
              <w:rPr>
                <w:rFonts w:ascii="Times New Roman" w:hAnsi="Times New Roman" w:cs="Times New Roman"/>
                <w:color w:val="auto"/>
                <w:kern w:val="2"/>
                <w:highlight w:val="none"/>
              </w:rPr>
              <w:t>项目发泡、成型生产过程中温度较高，需要对成型工件进行冷却，项目使用冷却塔进行冷却，冷却水循环使用，仅需定期补充冷却水的损耗量。本项目冷却塔蓄水池规格为1m×1m×1m，循环水量为1m³/h，冷却塔工作时间为2400h/a，则项目总循环水量为2400m³/a。</w:t>
            </w:r>
          </w:p>
          <w:p>
            <w:pPr>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本项目冷却塔采用自然通风、间接冷却方式，根据《工业循环水冷却设计规范》（GB/T50102-2014），该类冷却系统冷却水损耗主要为风吹损失及蒸发损失，参考《工业循环水冷却设计规范》（GB/T50102-2014）并结合项目实际情况，本项目冷却塔蒸发损失水率约为2.1%，风吹损失水率约为0.8%，则本项目冷却塔补水率为2.9%，本项目冷却水总循环水量为2400m³/a，则本项目新鲜水补充量为69.6m³/a。</w:t>
            </w:r>
            <w:r>
              <w:rPr>
                <w:rFonts w:hint="eastAsia" w:ascii="Times New Roman" w:hAnsi="Times New Roman" w:cs="Times New Roman"/>
                <w:color w:val="auto"/>
                <w:sz w:val="24"/>
                <w:highlight w:val="none"/>
              </w:rPr>
              <w:t>项目冷却塔需要定期进行排污处理，一年两次，每次对蓄水池进行清空排放，年产废水约2吨，该部分排污废水只是含盐度高，可作清净下水和生活污水一同处理。</w:t>
            </w:r>
          </w:p>
          <w:p>
            <w:pPr>
              <w:adjustRightInd w:val="0"/>
              <w:snapToGrid w:val="0"/>
              <w:spacing w:line="360" w:lineRule="auto"/>
              <w:ind w:firstLine="442"/>
              <w:rPr>
                <w:rFonts w:ascii="Times New Roman" w:hAnsi="Times New Roman" w:cs="Times New Roman"/>
                <w:color w:val="auto"/>
                <w:sz w:val="24"/>
                <w:highlight w:val="none"/>
              </w:rPr>
            </w:pPr>
            <w:r>
              <w:rPr>
                <w:rFonts w:hint="eastAsia" w:ascii="Times New Roman" w:hAnsi="Times New Roman" w:cs="Times New Roman"/>
                <w:color w:val="auto"/>
                <w:sz w:val="24"/>
                <w:highlight w:val="none"/>
              </w:rPr>
              <w:t>冷却废水和生活污水一同处理，</w:t>
            </w:r>
            <w:r>
              <w:rPr>
                <w:rFonts w:ascii="Times New Roman" w:hAnsi="Times New Roman" w:cs="Times New Roman"/>
                <w:color w:val="auto"/>
                <w:sz w:val="24"/>
                <w:highlight w:val="none"/>
              </w:rPr>
              <w:t>依托开平裕进纺织厂有限公司的厂区污水站</w:t>
            </w:r>
            <w:r>
              <w:rPr>
                <w:rFonts w:hint="eastAsia" w:ascii="Times New Roman" w:hAnsi="Times New Roman" w:cs="Times New Roman"/>
                <w:color w:val="auto"/>
                <w:sz w:val="24"/>
                <w:highlight w:val="none"/>
              </w:rPr>
              <w:t>（采用“混凝沉淀+水解酸化+接触氧化”工艺）</w:t>
            </w:r>
            <w:r>
              <w:rPr>
                <w:rFonts w:ascii="Times New Roman" w:hAnsi="Times New Roman" w:cs="Times New Roman"/>
                <w:color w:val="auto"/>
                <w:sz w:val="24"/>
                <w:highlight w:val="none"/>
              </w:rPr>
              <w:t>处理</w:t>
            </w:r>
            <w:r>
              <w:rPr>
                <w:rFonts w:hint="eastAsia" w:ascii="Times New Roman" w:hAnsi="Times New Roman" w:cs="Times New Roman"/>
                <w:color w:val="auto"/>
                <w:sz w:val="24"/>
                <w:highlight w:val="none"/>
              </w:rPr>
              <w:t>达到《</w:t>
            </w:r>
            <w:r>
              <w:rPr>
                <w:color w:val="auto"/>
                <w:highlight w:val="none"/>
              </w:rPr>
              <w:fldChar w:fldCharType="begin"/>
            </w:r>
            <w:r>
              <w:rPr>
                <w:color w:val="auto"/>
                <w:highlight w:val="none"/>
              </w:rPr>
              <w:instrText xml:space="preserve"> HYPERLINK "http://kjs.mep.gov.cn/hjbhbz/bzwb/shjbh/swrwpfbz/201211/./W020121116662298626393.pdf" </w:instrText>
            </w:r>
            <w:r>
              <w:rPr>
                <w:color w:val="auto"/>
                <w:highlight w:val="none"/>
              </w:rPr>
              <w:fldChar w:fldCharType="separate"/>
            </w:r>
            <w:r>
              <w:rPr>
                <w:rFonts w:hint="eastAsia" w:ascii="Times New Roman" w:hAnsi="Times New Roman" w:cs="Times New Roman"/>
                <w:color w:val="auto"/>
                <w:sz w:val="24"/>
                <w:highlight w:val="none"/>
              </w:rPr>
              <w:t>纺织染整工业水污染物排放标准（GB 4287-2012）</w:t>
            </w:r>
            <w:r>
              <w:rPr>
                <w:rFonts w:hint="eastAsia" w:ascii="Times New Roman" w:hAnsi="Times New Roman" w:cs="Times New Roman"/>
                <w:color w:val="auto"/>
                <w:sz w:val="24"/>
                <w:highlight w:val="none"/>
              </w:rPr>
              <w:fldChar w:fldCharType="end"/>
            </w:r>
            <w:r>
              <w:rPr>
                <w:rFonts w:hint="eastAsia" w:ascii="Times New Roman" w:hAnsi="Times New Roman" w:cs="Times New Roman"/>
                <w:color w:val="auto"/>
                <w:sz w:val="24"/>
                <w:highlight w:val="none"/>
              </w:rPr>
              <w:t>》中的表2标准后，排入镇海水。因此，</w:t>
            </w:r>
            <w:r>
              <w:rPr>
                <w:rFonts w:ascii="Times New Roman" w:hAnsi="Times New Roman" w:cs="Times New Roman"/>
                <w:color w:val="auto"/>
                <w:sz w:val="24"/>
                <w:highlight w:val="none"/>
              </w:rPr>
              <w:t>运营期污水</w:t>
            </w:r>
            <w:r>
              <w:rPr>
                <w:rFonts w:hint="eastAsia" w:ascii="Times New Roman" w:hAnsi="Times New Roman" w:cs="Times New Roman"/>
                <w:color w:val="auto"/>
                <w:sz w:val="24"/>
                <w:highlight w:val="none"/>
              </w:rPr>
              <w:t>（4</w:t>
            </w:r>
            <w:r>
              <w:rPr>
                <w:rFonts w:ascii="Times New Roman" w:hAnsi="Times New Roman" w:cs="Times New Roman"/>
                <w:color w:val="auto"/>
                <w:sz w:val="24"/>
                <w:highlight w:val="none"/>
              </w:rPr>
              <w:t>32</w:t>
            </w:r>
            <w:r>
              <w:rPr>
                <w:rFonts w:ascii="Times New Roman" w:hAnsi="Times New Roman" w:cs="Times New Roman"/>
                <w:color w:val="auto"/>
                <w:highlight w:val="none"/>
              </w:rPr>
              <w:t xml:space="preserve"> m³/a</w:t>
            </w:r>
            <w:r>
              <w:rPr>
                <w:rFonts w:ascii="Times New Roman" w:hAnsi="Times New Roman" w:cs="Times New Roman"/>
                <w:color w:val="auto"/>
                <w:sz w:val="24"/>
                <w:highlight w:val="none"/>
              </w:rPr>
              <w:t xml:space="preserve"> +2</w:t>
            </w:r>
            <w:r>
              <w:rPr>
                <w:rFonts w:ascii="Times New Roman" w:hAnsi="Times New Roman" w:cs="Times New Roman"/>
                <w:color w:val="auto"/>
                <w:highlight w:val="none"/>
              </w:rPr>
              <w:t xml:space="preserve"> m³/a</w:t>
            </w:r>
            <w:r>
              <w:rPr>
                <w:rFonts w:hint="eastAsia" w:ascii="Times New Roman" w:hAnsi="Times New Roman" w:cs="Times New Roman"/>
                <w:color w:val="auto"/>
                <w:sz w:val="24"/>
                <w:highlight w:val="none"/>
              </w:rPr>
              <w:t xml:space="preserve"> =</w:t>
            </w:r>
            <w:r>
              <w:rPr>
                <w:rFonts w:ascii="Times New Roman" w:hAnsi="Times New Roman" w:cs="Times New Roman"/>
                <w:color w:val="auto"/>
                <w:sz w:val="24"/>
                <w:highlight w:val="none"/>
              </w:rPr>
              <w:t>434</w:t>
            </w:r>
            <w:r>
              <w:rPr>
                <w:rFonts w:ascii="Times New Roman" w:hAnsi="Times New Roman" w:cs="Times New Roman"/>
                <w:color w:val="auto"/>
                <w:highlight w:val="none"/>
              </w:rPr>
              <w:t xml:space="preserve"> m³/a</w:t>
            </w:r>
            <w:r>
              <w:rPr>
                <w:rFonts w:hint="eastAsia" w:ascii="Times New Roman" w:hAnsi="Times New Roman" w:cs="Times New Roman"/>
                <w:color w:val="auto"/>
                <w:sz w:val="24"/>
                <w:highlight w:val="none"/>
              </w:rPr>
              <w:t>）</w:t>
            </w:r>
            <w:r>
              <w:rPr>
                <w:rFonts w:ascii="Times New Roman" w:hAnsi="Times New Roman" w:cs="Times New Roman"/>
                <w:color w:val="auto"/>
                <w:sz w:val="24"/>
                <w:highlight w:val="none"/>
              </w:rPr>
              <w:t>中主要污染物的浓度和排放量见表</w:t>
            </w:r>
            <w:r>
              <w:rPr>
                <w:rFonts w:hint="eastAsia" w:ascii="Times New Roman" w:hAnsi="Times New Roman" w:cs="Times New Roman"/>
                <w:color w:val="auto"/>
                <w:sz w:val="24"/>
                <w:highlight w:val="none"/>
              </w:rPr>
              <w:t>5-</w:t>
            </w:r>
            <w:r>
              <w:rPr>
                <w:rFonts w:ascii="Times New Roman" w:hAnsi="Times New Roman" w:cs="Times New Roman"/>
                <w:color w:val="auto"/>
                <w:sz w:val="24"/>
                <w:highlight w:val="none"/>
              </w:rPr>
              <w:t>5</w:t>
            </w:r>
            <w:r>
              <w:rPr>
                <w:rFonts w:hint="eastAsia" w:ascii="Times New Roman" w:hAnsi="Times New Roman" w:cs="Times New Roman"/>
                <w:color w:val="auto"/>
                <w:sz w:val="24"/>
                <w:highlight w:val="none"/>
              </w:rPr>
              <w:t>。</w:t>
            </w:r>
          </w:p>
          <w:p>
            <w:pPr>
              <w:adjustRightInd w:val="0"/>
              <w:snapToGrid w:val="0"/>
              <w:spacing w:line="360" w:lineRule="auto"/>
              <w:ind w:firstLine="442"/>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表</w:t>
            </w:r>
            <w:r>
              <w:rPr>
                <w:rFonts w:hint="eastAsia" w:ascii="Times New Roman" w:hAnsi="Times New Roman" w:cs="Times New Roman"/>
                <w:b/>
                <w:color w:val="auto"/>
                <w:szCs w:val="21"/>
                <w:highlight w:val="none"/>
              </w:rPr>
              <w:t>5-</w:t>
            </w:r>
            <w:r>
              <w:rPr>
                <w:rFonts w:ascii="Times New Roman" w:hAnsi="Times New Roman" w:cs="Times New Roman"/>
                <w:b/>
                <w:color w:val="auto"/>
                <w:szCs w:val="21"/>
                <w:highlight w:val="none"/>
              </w:rPr>
              <w:t>5</w:t>
            </w:r>
            <w:r>
              <w:rPr>
                <w:rFonts w:hint="eastAsia" w:ascii="Times New Roman" w:hAnsi="Times New Roman" w:cs="Times New Roman"/>
                <w:b/>
                <w:color w:val="auto"/>
                <w:szCs w:val="21"/>
                <w:highlight w:val="none"/>
              </w:rPr>
              <w:t>本项目</w:t>
            </w:r>
            <w:r>
              <w:rPr>
                <w:rFonts w:ascii="Times New Roman" w:hAnsi="Times New Roman" w:cs="Times New Roman"/>
                <w:b/>
                <w:color w:val="auto"/>
                <w:szCs w:val="21"/>
                <w:highlight w:val="none"/>
              </w:rPr>
              <w:t>污水主要污染物负荷一览表</w:t>
            </w:r>
          </w:p>
          <w:tbl>
            <w:tblPr>
              <w:tblStyle w:val="22"/>
              <w:tblW w:w="8286"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57" w:type="dxa"/>
                <w:left w:w="108" w:type="dxa"/>
                <w:bottom w:w="57" w:type="dxa"/>
                <w:right w:w="108" w:type="dxa"/>
              </w:tblCellMar>
            </w:tblPr>
            <w:tblGrid>
              <w:gridCol w:w="2360"/>
              <w:gridCol w:w="1482"/>
              <w:gridCol w:w="1480"/>
              <w:gridCol w:w="1480"/>
              <w:gridCol w:w="14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57" w:type="dxa"/>
                  <w:left w:w="108" w:type="dxa"/>
                  <w:bottom w:w="57" w:type="dxa"/>
                  <w:right w:w="108" w:type="dxa"/>
                </w:tblCellMar>
              </w:tblPrEx>
              <w:trPr>
                <w:trHeight w:val="456" w:hRule="exact"/>
                <w:jc w:val="center"/>
              </w:trPr>
              <w:tc>
                <w:tcPr>
                  <w:tcW w:w="2360" w:type="dxa"/>
                  <w:vAlign w:val="center"/>
                </w:tcPr>
                <w:p>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污染物</w:t>
                  </w:r>
                </w:p>
              </w:tc>
              <w:tc>
                <w:tcPr>
                  <w:tcW w:w="1482" w:type="dxa"/>
                  <w:vAlign w:val="center"/>
                </w:tcPr>
                <w:p>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COD</w:t>
                  </w:r>
                  <w:r>
                    <w:rPr>
                      <w:rFonts w:ascii="Times New Roman" w:hAnsi="Times New Roman" w:cs="Times New Roman"/>
                      <w:b/>
                      <w:bCs/>
                      <w:color w:val="auto"/>
                      <w:szCs w:val="21"/>
                      <w:highlight w:val="none"/>
                      <w:vertAlign w:val="subscript"/>
                    </w:rPr>
                    <w:t>cr</w:t>
                  </w:r>
                </w:p>
              </w:tc>
              <w:tc>
                <w:tcPr>
                  <w:tcW w:w="1480" w:type="dxa"/>
                  <w:vAlign w:val="center"/>
                </w:tcPr>
                <w:p>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BOD</w:t>
                  </w:r>
                  <w:r>
                    <w:rPr>
                      <w:rFonts w:ascii="Times New Roman" w:hAnsi="Times New Roman" w:cs="Times New Roman"/>
                      <w:b/>
                      <w:bCs/>
                      <w:color w:val="auto"/>
                      <w:szCs w:val="21"/>
                      <w:highlight w:val="none"/>
                      <w:vertAlign w:val="subscript"/>
                    </w:rPr>
                    <w:t>5</w:t>
                  </w:r>
                </w:p>
              </w:tc>
              <w:tc>
                <w:tcPr>
                  <w:tcW w:w="1480" w:type="dxa"/>
                  <w:vAlign w:val="center"/>
                </w:tcPr>
                <w:p>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SS</w:t>
                  </w:r>
                </w:p>
              </w:tc>
              <w:tc>
                <w:tcPr>
                  <w:tcW w:w="1484" w:type="dxa"/>
                  <w:vAlign w:val="center"/>
                </w:tcPr>
                <w:p>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NH</w:t>
                  </w:r>
                  <w:r>
                    <w:rPr>
                      <w:rFonts w:ascii="Times New Roman" w:hAnsi="Times New Roman" w:cs="Times New Roman"/>
                      <w:b/>
                      <w:bCs/>
                      <w:color w:val="auto"/>
                      <w:szCs w:val="21"/>
                      <w:highlight w:val="none"/>
                      <w:vertAlign w:val="subscript"/>
                    </w:rPr>
                    <w:t>3</w:t>
                  </w:r>
                  <w:r>
                    <w:rPr>
                      <w:rFonts w:ascii="Times New Roman" w:hAnsi="Times New Roman" w:cs="Times New Roman"/>
                      <w:b/>
                      <w:bCs/>
                      <w:color w:val="auto"/>
                      <w:szCs w:val="21"/>
                      <w:highlight w:val="none"/>
                    </w:rPr>
                    <w:t>-N</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57" w:type="dxa"/>
                  <w:left w:w="108" w:type="dxa"/>
                  <w:bottom w:w="57" w:type="dxa"/>
                  <w:right w:w="108" w:type="dxa"/>
                </w:tblCellMar>
              </w:tblPrEx>
              <w:trPr>
                <w:trHeight w:val="456" w:hRule="exact"/>
                <w:jc w:val="center"/>
              </w:trPr>
              <w:tc>
                <w:tcPr>
                  <w:tcW w:w="2360" w:type="dxa"/>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产生浓度（mg/L）</w:t>
                  </w:r>
                </w:p>
              </w:tc>
              <w:tc>
                <w:tcPr>
                  <w:tcW w:w="1482" w:type="dxa"/>
                  <w:vAlign w:val="center"/>
                </w:tcPr>
                <w:p>
                  <w:pPr>
                    <w:jc w:val="center"/>
                    <w:rPr>
                      <w:rFonts w:ascii="Times New Roman" w:hAnsi="Times New Roman" w:cs="Times New Roman"/>
                      <w:color w:val="auto"/>
                      <w:szCs w:val="21"/>
                      <w:highlight w:val="none"/>
                    </w:rPr>
                  </w:pPr>
                  <w:r>
                    <w:rPr>
                      <w:rFonts w:ascii="Times New Roman" w:hAnsi="Times New Roman" w:eastAsia="等线" w:cs="Times New Roman"/>
                      <w:color w:val="auto"/>
                      <w:szCs w:val="21"/>
                      <w:highlight w:val="none"/>
                    </w:rPr>
                    <w:t>300</w:t>
                  </w:r>
                </w:p>
              </w:tc>
              <w:tc>
                <w:tcPr>
                  <w:tcW w:w="1480" w:type="dxa"/>
                  <w:vAlign w:val="center"/>
                </w:tcPr>
                <w:p>
                  <w:pPr>
                    <w:jc w:val="center"/>
                    <w:rPr>
                      <w:rFonts w:ascii="Times New Roman" w:hAnsi="Times New Roman" w:cs="Times New Roman"/>
                      <w:color w:val="auto"/>
                      <w:szCs w:val="21"/>
                      <w:highlight w:val="none"/>
                    </w:rPr>
                  </w:pPr>
                  <w:r>
                    <w:rPr>
                      <w:rFonts w:ascii="Times New Roman" w:hAnsi="Times New Roman" w:eastAsia="等线" w:cs="Times New Roman"/>
                      <w:color w:val="auto"/>
                      <w:szCs w:val="21"/>
                      <w:highlight w:val="none"/>
                    </w:rPr>
                    <w:t>150</w:t>
                  </w:r>
                </w:p>
              </w:tc>
              <w:tc>
                <w:tcPr>
                  <w:tcW w:w="1480" w:type="dxa"/>
                  <w:vAlign w:val="center"/>
                </w:tcPr>
                <w:p>
                  <w:pPr>
                    <w:jc w:val="center"/>
                    <w:rPr>
                      <w:rFonts w:ascii="Times New Roman" w:hAnsi="Times New Roman" w:cs="Times New Roman"/>
                      <w:color w:val="auto"/>
                      <w:szCs w:val="21"/>
                      <w:highlight w:val="none"/>
                    </w:rPr>
                  </w:pPr>
                  <w:r>
                    <w:rPr>
                      <w:rFonts w:ascii="Times New Roman" w:hAnsi="Times New Roman" w:eastAsia="等线" w:cs="Times New Roman"/>
                      <w:color w:val="auto"/>
                      <w:szCs w:val="21"/>
                      <w:highlight w:val="none"/>
                    </w:rPr>
                    <w:t>150</w:t>
                  </w:r>
                </w:p>
              </w:tc>
              <w:tc>
                <w:tcPr>
                  <w:tcW w:w="1484" w:type="dxa"/>
                  <w:vAlign w:val="center"/>
                </w:tcPr>
                <w:p>
                  <w:pPr>
                    <w:jc w:val="center"/>
                    <w:rPr>
                      <w:rFonts w:ascii="Times New Roman" w:hAnsi="Times New Roman" w:cs="Times New Roman"/>
                      <w:color w:val="auto"/>
                      <w:szCs w:val="21"/>
                      <w:highlight w:val="none"/>
                    </w:rPr>
                  </w:pPr>
                  <w:r>
                    <w:rPr>
                      <w:rFonts w:ascii="Times New Roman" w:hAnsi="Times New Roman" w:eastAsia="等线" w:cs="Times New Roman"/>
                      <w:color w:val="auto"/>
                      <w:szCs w:val="21"/>
                      <w:highlight w:val="none"/>
                    </w:rPr>
                    <w:t>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57" w:type="dxa"/>
                  <w:left w:w="108" w:type="dxa"/>
                  <w:bottom w:w="57" w:type="dxa"/>
                  <w:right w:w="108" w:type="dxa"/>
                </w:tblCellMar>
              </w:tblPrEx>
              <w:trPr>
                <w:trHeight w:val="456" w:hRule="exact"/>
                <w:jc w:val="center"/>
              </w:trPr>
              <w:tc>
                <w:tcPr>
                  <w:tcW w:w="2360" w:type="dxa"/>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产生量（m</w:t>
                  </w:r>
                  <w:r>
                    <w:rPr>
                      <w:rFonts w:ascii="Times New Roman" w:hAnsi="Times New Roman" w:cs="Times New Roman"/>
                      <w:color w:val="auto"/>
                      <w:szCs w:val="21"/>
                      <w:highlight w:val="none"/>
                      <w:vertAlign w:val="superscript"/>
                    </w:rPr>
                    <w:t>3</w:t>
                  </w:r>
                  <w:r>
                    <w:rPr>
                      <w:rFonts w:ascii="Times New Roman" w:hAnsi="Times New Roman" w:cs="Times New Roman"/>
                      <w:color w:val="auto"/>
                      <w:szCs w:val="21"/>
                      <w:highlight w:val="none"/>
                    </w:rPr>
                    <w:t>/a</w:t>
                  </w:r>
                </w:p>
              </w:tc>
              <w:tc>
                <w:tcPr>
                  <w:tcW w:w="1482" w:type="dxa"/>
                  <w:vAlign w:val="center"/>
                </w:tcPr>
                <w:p>
                  <w:pPr>
                    <w:widowControl/>
                    <w:jc w:val="center"/>
                    <w:textAlignment w:val="center"/>
                    <w:rPr>
                      <w:rFonts w:ascii="Times New Roman" w:hAnsi="Times New Roman" w:cs="Times New Roman"/>
                      <w:color w:val="auto"/>
                      <w:szCs w:val="21"/>
                      <w:highlight w:val="none"/>
                    </w:rPr>
                  </w:pPr>
                  <w:r>
                    <w:rPr>
                      <w:rFonts w:ascii="Times New Roman" w:hAnsi="Times New Roman" w:eastAsia="等线" w:cs="Times New Roman"/>
                      <w:color w:val="auto"/>
                      <w:szCs w:val="21"/>
                      <w:highlight w:val="none"/>
                    </w:rPr>
                    <w:t xml:space="preserve">0.130 </w:t>
                  </w:r>
                </w:p>
              </w:tc>
              <w:tc>
                <w:tcPr>
                  <w:tcW w:w="1480" w:type="dxa"/>
                  <w:vAlign w:val="center"/>
                </w:tcPr>
                <w:p>
                  <w:pPr>
                    <w:widowControl/>
                    <w:jc w:val="center"/>
                    <w:textAlignment w:val="center"/>
                    <w:rPr>
                      <w:rFonts w:ascii="Times New Roman" w:hAnsi="Times New Roman" w:cs="Times New Roman"/>
                      <w:color w:val="auto"/>
                      <w:szCs w:val="21"/>
                      <w:highlight w:val="none"/>
                    </w:rPr>
                  </w:pPr>
                  <w:r>
                    <w:rPr>
                      <w:rFonts w:ascii="Times New Roman" w:hAnsi="Times New Roman" w:eastAsia="等线" w:cs="Times New Roman"/>
                      <w:color w:val="auto"/>
                      <w:szCs w:val="21"/>
                      <w:highlight w:val="none"/>
                    </w:rPr>
                    <w:t xml:space="preserve">0.065 </w:t>
                  </w:r>
                </w:p>
              </w:tc>
              <w:tc>
                <w:tcPr>
                  <w:tcW w:w="1480" w:type="dxa"/>
                  <w:vAlign w:val="center"/>
                </w:tcPr>
                <w:p>
                  <w:pPr>
                    <w:widowControl/>
                    <w:jc w:val="center"/>
                    <w:textAlignment w:val="center"/>
                    <w:rPr>
                      <w:rFonts w:ascii="Times New Roman" w:hAnsi="Times New Roman" w:cs="Times New Roman"/>
                      <w:color w:val="auto"/>
                      <w:szCs w:val="21"/>
                      <w:highlight w:val="none"/>
                    </w:rPr>
                  </w:pPr>
                  <w:r>
                    <w:rPr>
                      <w:rFonts w:ascii="Times New Roman" w:hAnsi="Times New Roman" w:eastAsia="等线" w:cs="Times New Roman"/>
                      <w:color w:val="auto"/>
                      <w:szCs w:val="21"/>
                      <w:highlight w:val="none"/>
                    </w:rPr>
                    <w:t xml:space="preserve">0.065 </w:t>
                  </w:r>
                </w:p>
              </w:tc>
              <w:tc>
                <w:tcPr>
                  <w:tcW w:w="1484" w:type="dxa"/>
                  <w:vAlign w:val="center"/>
                </w:tcPr>
                <w:p>
                  <w:pPr>
                    <w:widowControl/>
                    <w:jc w:val="center"/>
                    <w:textAlignment w:val="center"/>
                    <w:rPr>
                      <w:rFonts w:ascii="Times New Roman" w:hAnsi="Times New Roman" w:cs="Times New Roman"/>
                      <w:color w:val="auto"/>
                      <w:szCs w:val="21"/>
                      <w:highlight w:val="none"/>
                    </w:rPr>
                  </w:pPr>
                  <w:r>
                    <w:rPr>
                      <w:rFonts w:ascii="Times New Roman" w:hAnsi="Times New Roman" w:eastAsia="等线" w:cs="Times New Roman"/>
                      <w:color w:val="auto"/>
                      <w:szCs w:val="21"/>
                      <w:highlight w:val="none"/>
                    </w:rPr>
                    <w:t xml:space="preserve">0.009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57" w:type="dxa"/>
                  <w:left w:w="108" w:type="dxa"/>
                  <w:bottom w:w="57" w:type="dxa"/>
                  <w:right w:w="108" w:type="dxa"/>
                </w:tblCellMar>
              </w:tblPrEx>
              <w:trPr>
                <w:trHeight w:val="456" w:hRule="exact"/>
                <w:jc w:val="center"/>
              </w:trPr>
              <w:tc>
                <w:tcPr>
                  <w:tcW w:w="2360" w:type="dxa"/>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排放浓度（mg/L）</w:t>
                  </w:r>
                </w:p>
              </w:tc>
              <w:tc>
                <w:tcPr>
                  <w:tcW w:w="1482" w:type="dxa"/>
                  <w:vAlign w:val="center"/>
                </w:tcPr>
                <w:p>
                  <w:pPr>
                    <w:widowControl/>
                    <w:jc w:val="center"/>
                    <w:textAlignment w:val="center"/>
                    <w:rPr>
                      <w:rFonts w:ascii="Times New Roman" w:hAnsi="Times New Roman" w:cs="Times New Roman"/>
                      <w:color w:val="auto"/>
                      <w:szCs w:val="21"/>
                      <w:highlight w:val="none"/>
                    </w:rPr>
                  </w:pPr>
                  <w:r>
                    <w:rPr>
                      <w:rFonts w:ascii="Times New Roman" w:hAnsi="Times New Roman" w:eastAsia="等线" w:cs="Times New Roman"/>
                      <w:color w:val="auto"/>
                      <w:szCs w:val="21"/>
                      <w:highlight w:val="none"/>
                    </w:rPr>
                    <w:t>80</w:t>
                  </w:r>
                </w:p>
              </w:tc>
              <w:tc>
                <w:tcPr>
                  <w:tcW w:w="1480" w:type="dxa"/>
                  <w:vAlign w:val="center"/>
                </w:tcPr>
                <w:p>
                  <w:pPr>
                    <w:widowControl/>
                    <w:jc w:val="center"/>
                    <w:textAlignment w:val="center"/>
                    <w:rPr>
                      <w:rFonts w:ascii="Times New Roman" w:hAnsi="Times New Roman" w:cs="Times New Roman"/>
                      <w:color w:val="auto"/>
                      <w:szCs w:val="21"/>
                      <w:highlight w:val="none"/>
                    </w:rPr>
                  </w:pPr>
                  <w:r>
                    <w:rPr>
                      <w:rFonts w:ascii="Times New Roman" w:hAnsi="Times New Roman" w:eastAsia="等线" w:cs="Times New Roman"/>
                      <w:color w:val="auto"/>
                      <w:szCs w:val="21"/>
                      <w:highlight w:val="none"/>
                    </w:rPr>
                    <w:t>20</w:t>
                  </w:r>
                </w:p>
              </w:tc>
              <w:tc>
                <w:tcPr>
                  <w:tcW w:w="1480" w:type="dxa"/>
                  <w:vAlign w:val="center"/>
                </w:tcPr>
                <w:p>
                  <w:pPr>
                    <w:widowControl/>
                    <w:jc w:val="center"/>
                    <w:textAlignment w:val="center"/>
                    <w:rPr>
                      <w:rFonts w:ascii="Times New Roman" w:hAnsi="Times New Roman" w:cs="Times New Roman"/>
                      <w:color w:val="auto"/>
                      <w:szCs w:val="21"/>
                      <w:highlight w:val="none"/>
                    </w:rPr>
                  </w:pPr>
                  <w:r>
                    <w:rPr>
                      <w:rFonts w:ascii="Times New Roman" w:hAnsi="Times New Roman" w:eastAsia="等线" w:cs="Times New Roman"/>
                      <w:color w:val="auto"/>
                      <w:szCs w:val="21"/>
                      <w:highlight w:val="none"/>
                    </w:rPr>
                    <w:t>50</w:t>
                  </w:r>
                </w:p>
              </w:tc>
              <w:tc>
                <w:tcPr>
                  <w:tcW w:w="1484" w:type="dxa"/>
                  <w:vAlign w:val="center"/>
                </w:tcPr>
                <w:p>
                  <w:pPr>
                    <w:widowControl/>
                    <w:jc w:val="center"/>
                    <w:textAlignment w:val="center"/>
                    <w:rPr>
                      <w:rFonts w:ascii="Times New Roman" w:hAnsi="Times New Roman" w:cs="Times New Roman"/>
                      <w:color w:val="auto"/>
                      <w:szCs w:val="21"/>
                      <w:highlight w:val="none"/>
                    </w:rPr>
                  </w:pPr>
                  <w:r>
                    <w:rPr>
                      <w:rFonts w:ascii="Times New Roman" w:hAnsi="Times New Roman" w:eastAsia="等线" w:cs="Times New Roman"/>
                      <w:color w:val="auto"/>
                      <w:szCs w:val="21"/>
                      <w:highlight w:val="none"/>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57" w:type="dxa"/>
                  <w:left w:w="108" w:type="dxa"/>
                  <w:bottom w:w="57" w:type="dxa"/>
                  <w:right w:w="108" w:type="dxa"/>
                </w:tblCellMar>
              </w:tblPrEx>
              <w:trPr>
                <w:trHeight w:val="490" w:hRule="exact"/>
                <w:jc w:val="center"/>
              </w:trPr>
              <w:tc>
                <w:tcPr>
                  <w:tcW w:w="2360" w:type="dxa"/>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排放量（m</w:t>
                  </w:r>
                  <w:r>
                    <w:rPr>
                      <w:rFonts w:ascii="Times New Roman" w:hAnsi="Times New Roman" w:cs="Times New Roman"/>
                      <w:color w:val="auto"/>
                      <w:szCs w:val="21"/>
                      <w:highlight w:val="none"/>
                      <w:vertAlign w:val="superscript"/>
                    </w:rPr>
                    <w:t>3</w:t>
                  </w:r>
                  <w:r>
                    <w:rPr>
                      <w:rFonts w:ascii="Times New Roman" w:hAnsi="Times New Roman" w:cs="Times New Roman"/>
                      <w:color w:val="auto"/>
                      <w:szCs w:val="21"/>
                      <w:highlight w:val="none"/>
                    </w:rPr>
                    <w:t>/a）</w:t>
                  </w:r>
                </w:p>
              </w:tc>
              <w:tc>
                <w:tcPr>
                  <w:tcW w:w="1482" w:type="dxa"/>
                  <w:vAlign w:val="center"/>
                </w:tcPr>
                <w:p>
                  <w:pPr>
                    <w:widowControl/>
                    <w:jc w:val="center"/>
                    <w:textAlignment w:val="center"/>
                    <w:rPr>
                      <w:rFonts w:ascii="Times New Roman" w:hAnsi="Times New Roman" w:cs="Times New Roman"/>
                      <w:color w:val="auto"/>
                      <w:szCs w:val="21"/>
                      <w:highlight w:val="none"/>
                    </w:rPr>
                  </w:pPr>
                  <w:r>
                    <w:rPr>
                      <w:rFonts w:ascii="Times New Roman" w:hAnsi="Times New Roman" w:eastAsia="等线" w:cs="Times New Roman"/>
                      <w:color w:val="auto"/>
                      <w:szCs w:val="21"/>
                      <w:highlight w:val="none"/>
                    </w:rPr>
                    <w:t xml:space="preserve">0.035 </w:t>
                  </w:r>
                </w:p>
              </w:tc>
              <w:tc>
                <w:tcPr>
                  <w:tcW w:w="1480" w:type="dxa"/>
                  <w:vAlign w:val="center"/>
                </w:tcPr>
                <w:p>
                  <w:pPr>
                    <w:widowControl/>
                    <w:jc w:val="center"/>
                    <w:textAlignment w:val="center"/>
                    <w:rPr>
                      <w:rFonts w:ascii="Times New Roman" w:hAnsi="Times New Roman" w:cs="Times New Roman"/>
                      <w:color w:val="auto"/>
                      <w:szCs w:val="21"/>
                      <w:highlight w:val="none"/>
                    </w:rPr>
                  </w:pPr>
                  <w:r>
                    <w:rPr>
                      <w:rFonts w:ascii="Times New Roman" w:hAnsi="Times New Roman" w:eastAsia="等线" w:cs="Times New Roman"/>
                      <w:color w:val="auto"/>
                      <w:szCs w:val="21"/>
                      <w:highlight w:val="none"/>
                    </w:rPr>
                    <w:t xml:space="preserve">0.009 </w:t>
                  </w:r>
                </w:p>
              </w:tc>
              <w:tc>
                <w:tcPr>
                  <w:tcW w:w="1480" w:type="dxa"/>
                  <w:vAlign w:val="center"/>
                </w:tcPr>
                <w:p>
                  <w:pPr>
                    <w:widowControl/>
                    <w:jc w:val="center"/>
                    <w:textAlignment w:val="center"/>
                    <w:rPr>
                      <w:rFonts w:ascii="Times New Roman" w:hAnsi="Times New Roman" w:cs="Times New Roman"/>
                      <w:color w:val="auto"/>
                      <w:szCs w:val="21"/>
                      <w:highlight w:val="none"/>
                    </w:rPr>
                  </w:pPr>
                  <w:r>
                    <w:rPr>
                      <w:rFonts w:ascii="Times New Roman" w:hAnsi="Times New Roman" w:eastAsia="等线" w:cs="Times New Roman"/>
                      <w:color w:val="auto"/>
                      <w:szCs w:val="21"/>
                      <w:highlight w:val="none"/>
                    </w:rPr>
                    <w:t xml:space="preserve">0.022 </w:t>
                  </w:r>
                </w:p>
              </w:tc>
              <w:tc>
                <w:tcPr>
                  <w:tcW w:w="1484" w:type="dxa"/>
                  <w:vAlign w:val="center"/>
                </w:tcPr>
                <w:p>
                  <w:pPr>
                    <w:widowControl/>
                    <w:jc w:val="center"/>
                    <w:textAlignment w:val="center"/>
                    <w:rPr>
                      <w:rFonts w:ascii="Times New Roman" w:hAnsi="Times New Roman" w:cs="Times New Roman"/>
                      <w:color w:val="auto"/>
                      <w:szCs w:val="21"/>
                      <w:highlight w:val="none"/>
                    </w:rPr>
                  </w:pPr>
                  <w:r>
                    <w:rPr>
                      <w:rFonts w:ascii="Times New Roman" w:hAnsi="Times New Roman" w:eastAsia="等线" w:cs="Times New Roman"/>
                      <w:color w:val="auto"/>
                      <w:szCs w:val="21"/>
                      <w:highlight w:val="none"/>
                    </w:rPr>
                    <w:t xml:space="preserve">0.004 </w:t>
                  </w:r>
                </w:p>
              </w:tc>
            </w:tr>
          </w:tbl>
          <w:p>
            <w:pPr>
              <w:spacing w:line="360" w:lineRule="auto"/>
              <w:ind w:firstLine="480" w:firstLineChars="200"/>
              <w:rPr>
                <w:rFonts w:ascii="Times New Roman" w:hAnsi="Times New Roman" w:cs="Times New Roman"/>
                <w:color w:val="auto"/>
                <w:sz w:val="24"/>
                <w:highlight w:val="none"/>
              </w:rPr>
            </w:pPr>
            <w:r>
              <w:rPr>
                <w:rFonts w:hint="eastAsia" w:ascii="Times New Roman" w:hAnsi="Times New Roman" w:cs="Times New Roman"/>
                <w:color w:val="auto"/>
                <w:sz w:val="24"/>
                <w:highlight w:val="none"/>
              </w:rPr>
              <w:t>根据《关于开平裕进纺织厂有限公司迁建项目环境影响报告书审批意见的函》（江环技[</w:t>
            </w:r>
            <w:r>
              <w:rPr>
                <w:rFonts w:ascii="Times New Roman" w:hAnsi="Times New Roman" w:cs="Times New Roman"/>
                <w:color w:val="auto"/>
                <w:sz w:val="24"/>
                <w:highlight w:val="none"/>
              </w:rPr>
              <w:t>2004]173</w:t>
            </w:r>
            <w:r>
              <w:rPr>
                <w:rFonts w:hint="eastAsia" w:ascii="Times New Roman" w:hAnsi="Times New Roman" w:cs="Times New Roman"/>
                <w:color w:val="auto"/>
                <w:sz w:val="24"/>
                <w:highlight w:val="none"/>
              </w:rPr>
              <w:t>号）（附件</w:t>
            </w:r>
            <w:r>
              <w:rPr>
                <w:rFonts w:ascii="Times New Roman" w:hAnsi="Times New Roman" w:cs="Times New Roman"/>
                <w:color w:val="auto"/>
                <w:sz w:val="24"/>
                <w:highlight w:val="none"/>
              </w:rPr>
              <w:t>8</w:t>
            </w:r>
            <w:r>
              <w:rPr>
                <w:rFonts w:hint="eastAsia" w:ascii="Times New Roman" w:hAnsi="Times New Roman" w:cs="Times New Roman"/>
                <w:color w:val="auto"/>
                <w:sz w:val="24"/>
                <w:highlight w:val="none"/>
              </w:rPr>
              <w:t>）内容，开平裕进纺织厂有限公司最大废水排放量为</w:t>
            </w:r>
            <w:r>
              <w:rPr>
                <w:rFonts w:ascii="Times New Roman" w:hAnsi="Times New Roman" w:cs="Times New Roman"/>
                <w:color w:val="auto"/>
                <w:sz w:val="24"/>
                <w:highlight w:val="none"/>
              </w:rPr>
              <w:t>1160</w:t>
            </w:r>
            <w:r>
              <w:rPr>
                <w:rFonts w:hint="eastAsia" w:ascii="Times New Roman" w:hAnsi="Times New Roman" w:cs="Times New Roman"/>
                <w:color w:val="auto"/>
                <w:sz w:val="24"/>
                <w:highlight w:val="none"/>
              </w:rPr>
              <w:t>m</w:t>
            </w:r>
            <w:r>
              <w:rPr>
                <w:rFonts w:hint="eastAsia" w:ascii="Times New Roman" w:hAnsi="Times New Roman" w:cs="Times New Roman"/>
                <w:color w:val="auto"/>
                <w:sz w:val="24"/>
                <w:highlight w:val="none"/>
                <w:vertAlign w:val="superscript"/>
              </w:rPr>
              <w:t>3</w:t>
            </w:r>
            <w:r>
              <w:rPr>
                <w:rFonts w:hint="eastAsia" w:ascii="Times New Roman" w:hAnsi="Times New Roman" w:cs="Times New Roman"/>
                <w:color w:val="auto"/>
                <w:sz w:val="24"/>
                <w:highlight w:val="none"/>
              </w:rPr>
              <w:t>/d，开平裕进纺织厂有限公司年工作</w:t>
            </w:r>
            <w:r>
              <w:rPr>
                <w:rFonts w:ascii="Times New Roman" w:hAnsi="Times New Roman" w:cs="Times New Roman"/>
                <w:color w:val="auto"/>
                <w:sz w:val="24"/>
                <w:highlight w:val="none"/>
              </w:rPr>
              <w:t>300</w:t>
            </w:r>
            <w:r>
              <w:rPr>
                <w:rFonts w:hint="eastAsia" w:ascii="Times New Roman" w:hAnsi="Times New Roman" w:cs="Times New Roman"/>
                <w:color w:val="auto"/>
                <w:sz w:val="24"/>
                <w:highlight w:val="none"/>
              </w:rPr>
              <w:t>天，则最大废水排放量为3</w:t>
            </w:r>
            <w:r>
              <w:rPr>
                <w:rFonts w:ascii="Times New Roman" w:hAnsi="Times New Roman" w:cs="Times New Roman"/>
                <w:color w:val="auto"/>
                <w:sz w:val="24"/>
                <w:highlight w:val="none"/>
              </w:rPr>
              <w:t>48000</w:t>
            </w:r>
            <w:r>
              <w:rPr>
                <w:rFonts w:hint="eastAsia" w:ascii="Times New Roman" w:hAnsi="Times New Roman" w:cs="Times New Roman"/>
                <w:color w:val="auto"/>
                <w:sz w:val="24"/>
                <w:highlight w:val="none"/>
              </w:rPr>
              <w:t xml:space="preserve"> m</w:t>
            </w:r>
            <w:r>
              <w:rPr>
                <w:rFonts w:hint="eastAsia" w:ascii="Times New Roman" w:hAnsi="Times New Roman" w:cs="Times New Roman"/>
                <w:color w:val="auto"/>
                <w:sz w:val="24"/>
                <w:highlight w:val="none"/>
                <w:vertAlign w:val="superscript"/>
              </w:rPr>
              <w:t>3</w:t>
            </w:r>
            <w:r>
              <w:rPr>
                <w:rFonts w:hint="eastAsia" w:ascii="Times New Roman" w:hAnsi="Times New Roman" w:cs="Times New Roman"/>
                <w:color w:val="auto"/>
                <w:sz w:val="24"/>
                <w:highlight w:val="none"/>
              </w:rPr>
              <w:t>/a，则本项目建成后开平裕进纺织厂有限公司总厂污水（</w:t>
            </w:r>
            <w:r>
              <w:rPr>
                <w:rFonts w:ascii="Times New Roman" w:hAnsi="Times New Roman" w:cs="Times New Roman"/>
                <w:color w:val="auto"/>
                <w:sz w:val="24"/>
                <w:highlight w:val="none"/>
              </w:rPr>
              <w:t>348434</w:t>
            </w:r>
            <w:r>
              <w:rPr>
                <w:rFonts w:hint="eastAsia" w:ascii="Times New Roman" w:hAnsi="Times New Roman" w:cs="Times New Roman"/>
                <w:color w:val="auto"/>
                <w:sz w:val="24"/>
                <w:highlight w:val="none"/>
              </w:rPr>
              <w:t xml:space="preserve"> m</w:t>
            </w:r>
            <w:r>
              <w:rPr>
                <w:rFonts w:hint="eastAsia" w:ascii="Times New Roman" w:hAnsi="Times New Roman" w:cs="Times New Roman"/>
                <w:color w:val="auto"/>
                <w:sz w:val="24"/>
                <w:highlight w:val="none"/>
                <w:vertAlign w:val="superscript"/>
              </w:rPr>
              <w:t>3</w:t>
            </w:r>
            <w:r>
              <w:rPr>
                <w:rFonts w:hint="eastAsia" w:ascii="Times New Roman" w:hAnsi="Times New Roman" w:cs="Times New Roman"/>
                <w:color w:val="auto"/>
                <w:sz w:val="24"/>
                <w:highlight w:val="none"/>
              </w:rPr>
              <w:t>/a）主要污染物负荷见表5</w:t>
            </w:r>
            <w:r>
              <w:rPr>
                <w:rFonts w:ascii="Times New Roman" w:hAnsi="Times New Roman" w:cs="Times New Roman"/>
                <w:color w:val="auto"/>
                <w:sz w:val="24"/>
                <w:highlight w:val="none"/>
              </w:rPr>
              <w:t>-6</w:t>
            </w:r>
            <w:r>
              <w:rPr>
                <w:rFonts w:hint="eastAsia" w:ascii="Times New Roman" w:hAnsi="Times New Roman" w:cs="Times New Roman"/>
                <w:color w:val="auto"/>
                <w:sz w:val="24"/>
                <w:highlight w:val="none"/>
              </w:rPr>
              <w:t>。</w:t>
            </w:r>
          </w:p>
          <w:p>
            <w:pPr>
              <w:adjustRightInd w:val="0"/>
              <w:snapToGrid w:val="0"/>
              <w:spacing w:line="360" w:lineRule="auto"/>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表</w:t>
            </w:r>
            <w:r>
              <w:rPr>
                <w:rFonts w:hint="eastAsia" w:ascii="Times New Roman" w:hAnsi="Times New Roman" w:cs="Times New Roman"/>
                <w:b/>
                <w:color w:val="auto"/>
                <w:szCs w:val="21"/>
                <w:highlight w:val="none"/>
              </w:rPr>
              <w:t>5-</w:t>
            </w:r>
            <w:r>
              <w:rPr>
                <w:rFonts w:ascii="Times New Roman" w:hAnsi="Times New Roman" w:cs="Times New Roman"/>
                <w:b/>
                <w:color w:val="auto"/>
                <w:szCs w:val="21"/>
                <w:highlight w:val="none"/>
              </w:rPr>
              <w:t>6</w:t>
            </w:r>
            <w:r>
              <w:rPr>
                <w:rFonts w:hint="eastAsia" w:ascii="Times New Roman" w:hAnsi="Times New Roman" w:cs="Times New Roman"/>
                <w:b/>
                <w:color w:val="auto"/>
                <w:szCs w:val="21"/>
                <w:highlight w:val="none"/>
              </w:rPr>
              <w:t>本项目建成后开平裕进纺织厂有限公司总厂</w:t>
            </w:r>
            <w:r>
              <w:rPr>
                <w:rFonts w:ascii="Times New Roman" w:hAnsi="Times New Roman" w:cs="Times New Roman"/>
                <w:b/>
                <w:color w:val="auto"/>
                <w:szCs w:val="21"/>
                <w:highlight w:val="none"/>
              </w:rPr>
              <w:t>污水主要污染物负荷一览表</w:t>
            </w:r>
          </w:p>
          <w:tbl>
            <w:tblPr>
              <w:tblStyle w:val="22"/>
              <w:tblW w:w="8286"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57" w:type="dxa"/>
                <w:left w:w="108" w:type="dxa"/>
                <w:bottom w:w="57" w:type="dxa"/>
                <w:right w:w="108" w:type="dxa"/>
              </w:tblCellMar>
            </w:tblPr>
            <w:tblGrid>
              <w:gridCol w:w="2360"/>
              <w:gridCol w:w="1482"/>
              <w:gridCol w:w="1480"/>
              <w:gridCol w:w="1480"/>
              <w:gridCol w:w="14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57" w:type="dxa"/>
                  <w:left w:w="108" w:type="dxa"/>
                  <w:bottom w:w="57" w:type="dxa"/>
                  <w:right w:w="108" w:type="dxa"/>
                </w:tblCellMar>
              </w:tblPrEx>
              <w:trPr>
                <w:trHeight w:val="456" w:hRule="exact"/>
                <w:jc w:val="center"/>
              </w:trPr>
              <w:tc>
                <w:tcPr>
                  <w:tcW w:w="2360" w:type="dxa"/>
                  <w:vAlign w:val="center"/>
                </w:tcPr>
                <w:p>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污染物</w:t>
                  </w:r>
                </w:p>
              </w:tc>
              <w:tc>
                <w:tcPr>
                  <w:tcW w:w="1482" w:type="dxa"/>
                  <w:vAlign w:val="center"/>
                </w:tcPr>
                <w:p>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COD</w:t>
                  </w:r>
                  <w:r>
                    <w:rPr>
                      <w:rFonts w:ascii="Times New Roman" w:hAnsi="Times New Roman" w:cs="Times New Roman"/>
                      <w:b/>
                      <w:bCs/>
                      <w:color w:val="auto"/>
                      <w:szCs w:val="21"/>
                      <w:highlight w:val="none"/>
                      <w:vertAlign w:val="subscript"/>
                    </w:rPr>
                    <w:t>cr</w:t>
                  </w:r>
                </w:p>
              </w:tc>
              <w:tc>
                <w:tcPr>
                  <w:tcW w:w="1480" w:type="dxa"/>
                  <w:vAlign w:val="center"/>
                </w:tcPr>
                <w:p>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BOD</w:t>
                  </w:r>
                  <w:r>
                    <w:rPr>
                      <w:rFonts w:ascii="Times New Roman" w:hAnsi="Times New Roman" w:cs="Times New Roman"/>
                      <w:b/>
                      <w:bCs/>
                      <w:color w:val="auto"/>
                      <w:szCs w:val="21"/>
                      <w:highlight w:val="none"/>
                      <w:vertAlign w:val="subscript"/>
                    </w:rPr>
                    <w:t>5</w:t>
                  </w:r>
                </w:p>
              </w:tc>
              <w:tc>
                <w:tcPr>
                  <w:tcW w:w="1480" w:type="dxa"/>
                  <w:vAlign w:val="center"/>
                </w:tcPr>
                <w:p>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SS</w:t>
                  </w:r>
                </w:p>
              </w:tc>
              <w:tc>
                <w:tcPr>
                  <w:tcW w:w="1484" w:type="dxa"/>
                  <w:vAlign w:val="center"/>
                </w:tcPr>
                <w:p>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NH</w:t>
                  </w:r>
                  <w:r>
                    <w:rPr>
                      <w:rFonts w:ascii="Times New Roman" w:hAnsi="Times New Roman" w:cs="Times New Roman"/>
                      <w:b/>
                      <w:bCs/>
                      <w:color w:val="auto"/>
                      <w:szCs w:val="21"/>
                      <w:highlight w:val="none"/>
                      <w:vertAlign w:val="subscript"/>
                    </w:rPr>
                    <w:t>3</w:t>
                  </w:r>
                  <w:r>
                    <w:rPr>
                      <w:rFonts w:ascii="Times New Roman" w:hAnsi="Times New Roman" w:cs="Times New Roman"/>
                      <w:b/>
                      <w:bCs/>
                      <w:color w:val="auto"/>
                      <w:szCs w:val="21"/>
                      <w:highlight w:val="none"/>
                    </w:rPr>
                    <w:t>-N</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57" w:type="dxa"/>
                  <w:left w:w="108" w:type="dxa"/>
                  <w:bottom w:w="57" w:type="dxa"/>
                  <w:right w:w="108" w:type="dxa"/>
                </w:tblCellMar>
              </w:tblPrEx>
              <w:trPr>
                <w:trHeight w:val="456" w:hRule="exact"/>
                <w:jc w:val="center"/>
              </w:trPr>
              <w:tc>
                <w:tcPr>
                  <w:tcW w:w="2360" w:type="dxa"/>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产生浓度（mg/L）</w:t>
                  </w:r>
                </w:p>
              </w:tc>
              <w:tc>
                <w:tcPr>
                  <w:tcW w:w="1482" w:type="dxa"/>
                  <w:vAlign w:val="center"/>
                </w:tcPr>
                <w:p>
                  <w:pPr>
                    <w:jc w:val="center"/>
                    <w:rPr>
                      <w:rFonts w:ascii="Times New Roman" w:hAnsi="Times New Roman" w:eastAsia="等线" w:cs="Times New Roman"/>
                      <w:color w:val="auto"/>
                      <w:szCs w:val="21"/>
                      <w:highlight w:val="none"/>
                    </w:rPr>
                  </w:pPr>
                  <w:r>
                    <w:rPr>
                      <w:rFonts w:ascii="Times New Roman" w:hAnsi="Times New Roman" w:eastAsia="等线" w:cs="Times New Roman"/>
                      <w:color w:val="auto"/>
                      <w:szCs w:val="21"/>
                      <w:highlight w:val="none"/>
                    </w:rPr>
                    <w:t>300</w:t>
                  </w:r>
                </w:p>
              </w:tc>
              <w:tc>
                <w:tcPr>
                  <w:tcW w:w="1480" w:type="dxa"/>
                  <w:vAlign w:val="center"/>
                </w:tcPr>
                <w:p>
                  <w:pPr>
                    <w:jc w:val="center"/>
                    <w:rPr>
                      <w:rFonts w:ascii="Times New Roman" w:hAnsi="Times New Roman" w:eastAsia="等线" w:cs="Times New Roman"/>
                      <w:color w:val="auto"/>
                      <w:szCs w:val="21"/>
                      <w:highlight w:val="none"/>
                    </w:rPr>
                  </w:pPr>
                  <w:r>
                    <w:rPr>
                      <w:rFonts w:ascii="Times New Roman" w:hAnsi="Times New Roman" w:eastAsia="等线" w:cs="Times New Roman"/>
                      <w:color w:val="auto"/>
                      <w:szCs w:val="21"/>
                      <w:highlight w:val="none"/>
                    </w:rPr>
                    <w:t>150</w:t>
                  </w:r>
                </w:p>
              </w:tc>
              <w:tc>
                <w:tcPr>
                  <w:tcW w:w="1480" w:type="dxa"/>
                  <w:vAlign w:val="center"/>
                </w:tcPr>
                <w:p>
                  <w:pPr>
                    <w:jc w:val="center"/>
                    <w:rPr>
                      <w:rFonts w:ascii="Times New Roman" w:hAnsi="Times New Roman" w:eastAsia="等线" w:cs="Times New Roman"/>
                      <w:color w:val="auto"/>
                      <w:szCs w:val="21"/>
                      <w:highlight w:val="none"/>
                    </w:rPr>
                  </w:pPr>
                  <w:r>
                    <w:rPr>
                      <w:rFonts w:ascii="Times New Roman" w:hAnsi="Times New Roman" w:eastAsia="等线" w:cs="Times New Roman"/>
                      <w:color w:val="auto"/>
                      <w:szCs w:val="21"/>
                      <w:highlight w:val="none"/>
                    </w:rPr>
                    <w:t>150</w:t>
                  </w:r>
                </w:p>
              </w:tc>
              <w:tc>
                <w:tcPr>
                  <w:tcW w:w="1484" w:type="dxa"/>
                  <w:vAlign w:val="center"/>
                </w:tcPr>
                <w:p>
                  <w:pPr>
                    <w:jc w:val="center"/>
                    <w:rPr>
                      <w:rFonts w:ascii="Times New Roman" w:hAnsi="Times New Roman" w:eastAsia="等线" w:cs="Times New Roman"/>
                      <w:color w:val="auto"/>
                      <w:szCs w:val="21"/>
                      <w:highlight w:val="none"/>
                    </w:rPr>
                  </w:pPr>
                  <w:r>
                    <w:rPr>
                      <w:rFonts w:ascii="Times New Roman" w:hAnsi="Times New Roman" w:eastAsia="等线" w:cs="Times New Roman"/>
                      <w:color w:val="auto"/>
                      <w:szCs w:val="21"/>
                      <w:highlight w:val="none"/>
                    </w:rPr>
                    <w:t>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57" w:type="dxa"/>
                  <w:left w:w="108" w:type="dxa"/>
                  <w:bottom w:w="57" w:type="dxa"/>
                  <w:right w:w="108" w:type="dxa"/>
                </w:tblCellMar>
              </w:tblPrEx>
              <w:trPr>
                <w:trHeight w:val="456" w:hRule="exact"/>
                <w:jc w:val="center"/>
              </w:trPr>
              <w:tc>
                <w:tcPr>
                  <w:tcW w:w="2360" w:type="dxa"/>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产生量（t/a）</w:t>
                  </w:r>
                </w:p>
              </w:tc>
              <w:tc>
                <w:tcPr>
                  <w:tcW w:w="1482" w:type="dxa"/>
                  <w:vAlign w:val="center"/>
                </w:tcPr>
                <w:p>
                  <w:pPr>
                    <w:jc w:val="center"/>
                    <w:rPr>
                      <w:rFonts w:ascii="Times New Roman" w:hAnsi="Times New Roman" w:eastAsia="等线" w:cs="Times New Roman"/>
                      <w:color w:val="auto"/>
                      <w:szCs w:val="21"/>
                      <w:highlight w:val="none"/>
                    </w:rPr>
                  </w:pPr>
                  <w:r>
                    <w:rPr>
                      <w:rFonts w:ascii="Times New Roman" w:hAnsi="Times New Roman" w:eastAsia="等线" w:cs="Times New Roman"/>
                      <w:color w:val="auto"/>
                      <w:szCs w:val="21"/>
                      <w:highlight w:val="none"/>
                    </w:rPr>
                    <w:t>104.40</w:t>
                  </w:r>
                </w:p>
              </w:tc>
              <w:tc>
                <w:tcPr>
                  <w:tcW w:w="1480" w:type="dxa"/>
                  <w:vAlign w:val="center"/>
                </w:tcPr>
                <w:p>
                  <w:pPr>
                    <w:jc w:val="center"/>
                    <w:rPr>
                      <w:rFonts w:ascii="Times New Roman" w:hAnsi="Times New Roman" w:eastAsia="等线" w:cs="Times New Roman"/>
                      <w:color w:val="auto"/>
                      <w:szCs w:val="21"/>
                      <w:highlight w:val="none"/>
                    </w:rPr>
                  </w:pPr>
                  <w:r>
                    <w:rPr>
                      <w:rFonts w:ascii="Times New Roman" w:hAnsi="Times New Roman" w:eastAsia="等线" w:cs="Times New Roman"/>
                      <w:color w:val="auto"/>
                      <w:szCs w:val="21"/>
                      <w:highlight w:val="none"/>
                    </w:rPr>
                    <w:t>52.20</w:t>
                  </w:r>
                </w:p>
              </w:tc>
              <w:tc>
                <w:tcPr>
                  <w:tcW w:w="1480" w:type="dxa"/>
                  <w:vAlign w:val="center"/>
                </w:tcPr>
                <w:p>
                  <w:pPr>
                    <w:jc w:val="center"/>
                    <w:rPr>
                      <w:rFonts w:ascii="Times New Roman" w:hAnsi="Times New Roman" w:eastAsia="等线" w:cs="Times New Roman"/>
                      <w:color w:val="auto"/>
                      <w:szCs w:val="21"/>
                      <w:highlight w:val="none"/>
                    </w:rPr>
                  </w:pPr>
                  <w:r>
                    <w:rPr>
                      <w:rFonts w:ascii="Times New Roman" w:hAnsi="Times New Roman" w:eastAsia="等线" w:cs="Times New Roman"/>
                      <w:color w:val="auto"/>
                      <w:szCs w:val="21"/>
                      <w:highlight w:val="none"/>
                    </w:rPr>
                    <w:t>52.20</w:t>
                  </w:r>
                </w:p>
              </w:tc>
              <w:tc>
                <w:tcPr>
                  <w:tcW w:w="1484" w:type="dxa"/>
                  <w:vAlign w:val="center"/>
                </w:tcPr>
                <w:p>
                  <w:pPr>
                    <w:jc w:val="center"/>
                    <w:rPr>
                      <w:rFonts w:ascii="Times New Roman" w:hAnsi="Times New Roman" w:eastAsia="等线" w:cs="Times New Roman"/>
                      <w:color w:val="auto"/>
                      <w:szCs w:val="21"/>
                      <w:highlight w:val="none"/>
                    </w:rPr>
                  </w:pPr>
                  <w:r>
                    <w:rPr>
                      <w:rFonts w:ascii="Times New Roman" w:hAnsi="Times New Roman" w:eastAsia="等线" w:cs="Times New Roman"/>
                      <w:color w:val="auto"/>
                      <w:szCs w:val="21"/>
                      <w:highlight w:val="none"/>
                    </w:rPr>
                    <w:t>6.96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57" w:type="dxa"/>
                  <w:left w:w="108" w:type="dxa"/>
                  <w:bottom w:w="57" w:type="dxa"/>
                  <w:right w:w="108" w:type="dxa"/>
                </w:tblCellMar>
              </w:tblPrEx>
              <w:trPr>
                <w:trHeight w:val="456" w:hRule="exact"/>
                <w:jc w:val="center"/>
              </w:trPr>
              <w:tc>
                <w:tcPr>
                  <w:tcW w:w="2360" w:type="dxa"/>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排放浓度（mg/L）</w:t>
                  </w:r>
                </w:p>
              </w:tc>
              <w:tc>
                <w:tcPr>
                  <w:tcW w:w="1482" w:type="dxa"/>
                  <w:vAlign w:val="center"/>
                </w:tcPr>
                <w:p>
                  <w:pPr>
                    <w:jc w:val="center"/>
                    <w:rPr>
                      <w:rFonts w:ascii="Times New Roman" w:hAnsi="Times New Roman" w:eastAsia="等线" w:cs="Times New Roman"/>
                      <w:color w:val="auto"/>
                      <w:szCs w:val="21"/>
                      <w:highlight w:val="none"/>
                    </w:rPr>
                  </w:pPr>
                  <w:r>
                    <w:rPr>
                      <w:rFonts w:ascii="Times New Roman" w:hAnsi="Times New Roman" w:eastAsia="等线" w:cs="Times New Roman"/>
                      <w:color w:val="auto"/>
                      <w:szCs w:val="21"/>
                      <w:highlight w:val="none"/>
                    </w:rPr>
                    <w:t>80</w:t>
                  </w:r>
                </w:p>
              </w:tc>
              <w:tc>
                <w:tcPr>
                  <w:tcW w:w="1480" w:type="dxa"/>
                  <w:vAlign w:val="center"/>
                </w:tcPr>
                <w:p>
                  <w:pPr>
                    <w:jc w:val="center"/>
                    <w:rPr>
                      <w:rFonts w:ascii="Times New Roman" w:hAnsi="Times New Roman" w:eastAsia="等线" w:cs="Times New Roman"/>
                      <w:color w:val="auto"/>
                      <w:szCs w:val="21"/>
                      <w:highlight w:val="none"/>
                    </w:rPr>
                  </w:pPr>
                  <w:r>
                    <w:rPr>
                      <w:rFonts w:ascii="Times New Roman" w:hAnsi="Times New Roman" w:eastAsia="等线" w:cs="Times New Roman"/>
                      <w:color w:val="auto"/>
                      <w:szCs w:val="21"/>
                      <w:highlight w:val="none"/>
                    </w:rPr>
                    <w:t>20</w:t>
                  </w:r>
                </w:p>
              </w:tc>
              <w:tc>
                <w:tcPr>
                  <w:tcW w:w="1480" w:type="dxa"/>
                  <w:vAlign w:val="center"/>
                </w:tcPr>
                <w:p>
                  <w:pPr>
                    <w:jc w:val="center"/>
                    <w:rPr>
                      <w:rFonts w:ascii="Times New Roman" w:hAnsi="Times New Roman" w:eastAsia="等线" w:cs="Times New Roman"/>
                      <w:color w:val="auto"/>
                      <w:szCs w:val="21"/>
                      <w:highlight w:val="none"/>
                    </w:rPr>
                  </w:pPr>
                  <w:r>
                    <w:rPr>
                      <w:rFonts w:ascii="Times New Roman" w:hAnsi="Times New Roman" w:eastAsia="等线" w:cs="Times New Roman"/>
                      <w:color w:val="auto"/>
                      <w:szCs w:val="21"/>
                      <w:highlight w:val="none"/>
                    </w:rPr>
                    <w:t>50</w:t>
                  </w:r>
                </w:p>
              </w:tc>
              <w:tc>
                <w:tcPr>
                  <w:tcW w:w="1484" w:type="dxa"/>
                  <w:vAlign w:val="center"/>
                </w:tcPr>
                <w:p>
                  <w:pPr>
                    <w:jc w:val="center"/>
                    <w:rPr>
                      <w:rFonts w:ascii="Times New Roman" w:hAnsi="Times New Roman" w:eastAsia="等线" w:cs="Times New Roman"/>
                      <w:color w:val="auto"/>
                      <w:szCs w:val="21"/>
                      <w:highlight w:val="none"/>
                    </w:rPr>
                  </w:pPr>
                  <w:r>
                    <w:rPr>
                      <w:rFonts w:ascii="Times New Roman" w:hAnsi="Times New Roman" w:eastAsia="等线" w:cs="Times New Roman"/>
                      <w:color w:val="auto"/>
                      <w:szCs w:val="21"/>
                      <w:highlight w:val="none"/>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57" w:type="dxa"/>
                  <w:left w:w="108" w:type="dxa"/>
                  <w:bottom w:w="57" w:type="dxa"/>
                  <w:right w:w="108" w:type="dxa"/>
                </w:tblCellMar>
              </w:tblPrEx>
              <w:trPr>
                <w:trHeight w:val="490" w:hRule="exact"/>
                <w:jc w:val="center"/>
              </w:trPr>
              <w:tc>
                <w:tcPr>
                  <w:tcW w:w="2360" w:type="dxa"/>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排放量（t/a）</w:t>
                  </w:r>
                </w:p>
              </w:tc>
              <w:tc>
                <w:tcPr>
                  <w:tcW w:w="1482" w:type="dxa"/>
                  <w:vAlign w:val="center"/>
                </w:tcPr>
                <w:p>
                  <w:pPr>
                    <w:jc w:val="center"/>
                    <w:rPr>
                      <w:rFonts w:ascii="Times New Roman" w:hAnsi="Times New Roman" w:eastAsia="等线" w:cs="Times New Roman"/>
                      <w:color w:val="auto"/>
                      <w:szCs w:val="21"/>
                      <w:highlight w:val="none"/>
                    </w:rPr>
                  </w:pPr>
                  <w:r>
                    <w:rPr>
                      <w:rFonts w:ascii="Times New Roman" w:hAnsi="Times New Roman" w:eastAsia="等线" w:cs="Times New Roman"/>
                      <w:color w:val="auto"/>
                      <w:szCs w:val="21"/>
                      <w:highlight w:val="none"/>
                    </w:rPr>
                    <w:t>27.84</w:t>
                  </w:r>
                </w:p>
              </w:tc>
              <w:tc>
                <w:tcPr>
                  <w:tcW w:w="1480" w:type="dxa"/>
                  <w:vAlign w:val="center"/>
                </w:tcPr>
                <w:p>
                  <w:pPr>
                    <w:jc w:val="center"/>
                    <w:rPr>
                      <w:rFonts w:ascii="Times New Roman" w:hAnsi="Times New Roman" w:eastAsia="等线" w:cs="Times New Roman"/>
                      <w:color w:val="auto"/>
                      <w:szCs w:val="21"/>
                      <w:highlight w:val="none"/>
                    </w:rPr>
                  </w:pPr>
                  <w:r>
                    <w:rPr>
                      <w:rFonts w:ascii="Times New Roman" w:hAnsi="Times New Roman" w:eastAsia="等线" w:cs="Times New Roman"/>
                      <w:color w:val="auto"/>
                      <w:szCs w:val="21"/>
                      <w:highlight w:val="none"/>
                    </w:rPr>
                    <w:t>6.96</w:t>
                  </w:r>
                </w:p>
              </w:tc>
              <w:tc>
                <w:tcPr>
                  <w:tcW w:w="1480" w:type="dxa"/>
                  <w:vAlign w:val="center"/>
                </w:tcPr>
                <w:p>
                  <w:pPr>
                    <w:jc w:val="center"/>
                    <w:rPr>
                      <w:rFonts w:ascii="Times New Roman" w:hAnsi="Times New Roman" w:eastAsia="等线" w:cs="Times New Roman"/>
                      <w:color w:val="auto"/>
                      <w:szCs w:val="21"/>
                      <w:highlight w:val="none"/>
                    </w:rPr>
                  </w:pPr>
                  <w:r>
                    <w:rPr>
                      <w:rFonts w:ascii="Times New Roman" w:hAnsi="Times New Roman" w:eastAsia="等线" w:cs="Times New Roman"/>
                      <w:color w:val="auto"/>
                      <w:szCs w:val="21"/>
                      <w:highlight w:val="none"/>
                    </w:rPr>
                    <w:t>17.40</w:t>
                  </w:r>
                </w:p>
              </w:tc>
              <w:tc>
                <w:tcPr>
                  <w:tcW w:w="1484" w:type="dxa"/>
                  <w:vAlign w:val="center"/>
                </w:tcPr>
                <w:p>
                  <w:pPr>
                    <w:jc w:val="center"/>
                    <w:rPr>
                      <w:rFonts w:ascii="Times New Roman" w:hAnsi="Times New Roman" w:eastAsia="等线" w:cs="Times New Roman"/>
                      <w:color w:val="auto"/>
                      <w:szCs w:val="21"/>
                      <w:highlight w:val="none"/>
                    </w:rPr>
                  </w:pPr>
                  <w:r>
                    <w:rPr>
                      <w:rFonts w:ascii="Times New Roman" w:hAnsi="Times New Roman" w:eastAsia="等线" w:cs="Times New Roman"/>
                      <w:color w:val="auto"/>
                      <w:szCs w:val="21"/>
                      <w:highlight w:val="none"/>
                    </w:rPr>
                    <w:t>3.48</w:t>
                  </w:r>
                </w:p>
              </w:tc>
            </w:tr>
          </w:tbl>
          <w:p>
            <w:pPr>
              <w:spacing w:line="360" w:lineRule="auto"/>
              <w:ind w:firstLine="241" w:firstLineChars="100"/>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（3）噪声污染源</w:t>
            </w:r>
          </w:p>
          <w:p>
            <w:pPr>
              <w:snapToGrid w:val="0"/>
              <w:spacing w:line="360" w:lineRule="auto"/>
              <w:ind w:firstLine="502"/>
              <w:rPr>
                <w:rFonts w:ascii="Times New Roman" w:hAnsi="Times New Roman" w:cs="Times New Roman"/>
                <w:b/>
                <w:bCs/>
                <w:color w:val="auto"/>
                <w:sz w:val="24"/>
                <w:highlight w:val="none"/>
              </w:rPr>
            </w:pPr>
            <w:r>
              <w:rPr>
                <w:rFonts w:ascii="Times New Roman" w:hAnsi="Times New Roman" w:cs="Times New Roman"/>
                <w:b/>
                <w:bCs/>
                <w:color w:val="auto"/>
                <w:sz w:val="24"/>
                <w:highlight w:val="none"/>
              </w:rPr>
              <w:t>1.工业噪声</w:t>
            </w:r>
          </w:p>
          <w:p>
            <w:pPr>
              <w:snapToGrid w:val="0"/>
              <w:spacing w:line="360" w:lineRule="auto"/>
              <w:ind w:firstLine="500"/>
              <w:rPr>
                <w:rFonts w:ascii="Times New Roman" w:hAnsi="Times New Roman" w:cs="Times New Roman"/>
                <w:color w:val="auto"/>
                <w:sz w:val="24"/>
                <w:highlight w:val="none"/>
              </w:rPr>
            </w:pPr>
            <w:r>
              <w:rPr>
                <w:rFonts w:ascii="Times New Roman" w:hAnsi="Times New Roman" w:cs="Times New Roman"/>
                <w:color w:val="auto"/>
                <w:sz w:val="24"/>
                <w:highlight w:val="none"/>
              </w:rPr>
              <w:t>项目主要噪声源：生产设备运行以及车间机械通风时产生的噪声。其中生产设备运行时产生的噪声值约为70～90dB（A）；机械通风所用通风机运行时产生的噪声值约为70～75dB（A）。具体设备噪声值详见表</w:t>
            </w:r>
            <w:r>
              <w:rPr>
                <w:rFonts w:hint="eastAsia" w:ascii="Times New Roman" w:hAnsi="Times New Roman" w:cs="Times New Roman"/>
                <w:color w:val="auto"/>
                <w:sz w:val="24"/>
                <w:highlight w:val="none"/>
              </w:rPr>
              <w:t>5-</w:t>
            </w:r>
            <w:r>
              <w:rPr>
                <w:rFonts w:ascii="Times New Roman" w:hAnsi="Times New Roman" w:cs="Times New Roman"/>
                <w:color w:val="auto"/>
                <w:sz w:val="24"/>
                <w:highlight w:val="none"/>
              </w:rPr>
              <w:t>7。</w:t>
            </w:r>
          </w:p>
          <w:p>
            <w:pPr>
              <w:pStyle w:val="33"/>
              <w:snapToGrid w:val="0"/>
              <w:spacing w:line="360" w:lineRule="auto"/>
              <w:rPr>
                <w:b/>
                <w:bCs/>
                <w:color w:val="auto"/>
                <w:highlight w:val="none"/>
              </w:rPr>
            </w:pPr>
            <w:r>
              <w:rPr>
                <w:b/>
                <w:bCs/>
                <w:color w:val="auto"/>
                <w:highlight w:val="none"/>
              </w:rPr>
              <w:t>表</w:t>
            </w:r>
            <w:r>
              <w:rPr>
                <w:rFonts w:hint="eastAsia"/>
                <w:b/>
                <w:bCs/>
                <w:color w:val="auto"/>
                <w:highlight w:val="none"/>
              </w:rPr>
              <w:t>5-</w:t>
            </w:r>
            <w:r>
              <w:rPr>
                <w:b/>
                <w:bCs/>
                <w:color w:val="auto"/>
                <w:highlight w:val="none"/>
              </w:rPr>
              <w:t>7项目主要设备声功率一览表</w:t>
            </w:r>
          </w:p>
          <w:tbl>
            <w:tblPr>
              <w:tblStyle w:val="22"/>
              <w:tblW w:w="8286"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631"/>
              <w:gridCol w:w="2212"/>
              <w:gridCol w:w="1939"/>
              <w:gridCol w:w="250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2" w:hRule="atLeast"/>
                <w:jc w:val="center"/>
              </w:trPr>
              <w:tc>
                <w:tcPr>
                  <w:tcW w:w="1631" w:type="dxa"/>
                  <w:vAlign w:val="center"/>
                </w:tcPr>
                <w:p>
                  <w:pPr>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序号</w:t>
                  </w:r>
                </w:p>
              </w:tc>
              <w:tc>
                <w:tcPr>
                  <w:tcW w:w="2212" w:type="dxa"/>
                  <w:vAlign w:val="center"/>
                </w:tcPr>
                <w:p>
                  <w:pPr>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设备</w:t>
                  </w:r>
                </w:p>
              </w:tc>
              <w:tc>
                <w:tcPr>
                  <w:tcW w:w="1939" w:type="dxa"/>
                  <w:vAlign w:val="center"/>
                </w:tcPr>
                <w:p>
                  <w:pPr>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数量</w:t>
                  </w:r>
                </w:p>
              </w:tc>
              <w:tc>
                <w:tcPr>
                  <w:tcW w:w="2504" w:type="dxa"/>
                  <w:vAlign w:val="center"/>
                </w:tcPr>
                <w:p>
                  <w:pPr>
                    <w:pStyle w:val="33"/>
                    <w:rPr>
                      <w:color w:val="auto"/>
                      <w:highlight w:val="none"/>
                    </w:rPr>
                  </w:pPr>
                  <w:r>
                    <w:rPr>
                      <w:b/>
                      <w:bCs/>
                      <w:color w:val="auto"/>
                      <w:szCs w:val="21"/>
                      <w:highlight w:val="none"/>
                    </w:rPr>
                    <w:t>设备外 1m 处噪声级（dB(A)）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2" w:hRule="atLeast"/>
                <w:jc w:val="center"/>
              </w:trPr>
              <w:tc>
                <w:tcPr>
                  <w:tcW w:w="1631" w:type="dxa"/>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w:t>
                  </w:r>
                </w:p>
              </w:tc>
              <w:tc>
                <w:tcPr>
                  <w:tcW w:w="2212" w:type="dxa"/>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发泡机</w:t>
                  </w:r>
                </w:p>
              </w:tc>
              <w:tc>
                <w:tcPr>
                  <w:tcW w:w="1939" w:type="dxa"/>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w:t>
                  </w:r>
                </w:p>
              </w:tc>
              <w:tc>
                <w:tcPr>
                  <w:tcW w:w="2504" w:type="dxa"/>
                  <w:vAlign w:val="center"/>
                </w:tcPr>
                <w:p>
                  <w:pPr>
                    <w:pStyle w:val="33"/>
                    <w:rPr>
                      <w:color w:val="auto"/>
                      <w:highlight w:val="none"/>
                    </w:rPr>
                  </w:pPr>
                  <w:r>
                    <w:rPr>
                      <w:color w:val="auto"/>
                      <w:szCs w:val="21"/>
                      <w:highlight w:val="none"/>
                    </w:rPr>
                    <w:t>70~90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2" w:hRule="atLeast"/>
                <w:jc w:val="center"/>
              </w:trPr>
              <w:tc>
                <w:tcPr>
                  <w:tcW w:w="1631" w:type="dxa"/>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w:t>
                  </w:r>
                </w:p>
              </w:tc>
              <w:tc>
                <w:tcPr>
                  <w:tcW w:w="2212" w:type="dxa"/>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成型机</w:t>
                  </w:r>
                </w:p>
              </w:tc>
              <w:tc>
                <w:tcPr>
                  <w:tcW w:w="1939" w:type="dxa"/>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5</w:t>
                  </w:r>
                </w:p>
              </w:tc>
              <w:tc>
                <w:tcPr>
                  <w:tcW w:w="2504" w:type="dxa"/>
                  <w:vAlign w:val="center"/>
                </w:tcPr>
                <w:p>
                  <w:pPr>
                    <w:overflowPunct w:val="0"/>
                    <w:autoSpaceDE w:val="0"/>
                    <w:autoSpaceDN w:val="0"/>
                    <w:jc w:val="center"/>
                    <w:rPr>
                      <w:rFonts w:ascii="Times New Roman" w:hAnsi="Times New Roman" w:cs="Times New Roman"/>
                      <w:color w:val="auto"/>
                      <w:highlight w:val="none"/>
                    </w:rPr>
                  </w:pPr>
                  <w:r>
                    <w:rPr>
                      <w:rFonts w:ascii="Times New Roman" w:hAnsi="Times New Roman" w:eastAsia="宋体" w:cs="Times New Roman"/>
                      <w:color w:val="auto"/>
                      <w:szCs w:val="21"/>
                      <w:highlight w:val="none"/>
                    </w:rPr>
                    <w:t>70~85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2" w:hRule="atLeast"/>
                <w:jc w:val="center"/>
              </w:trPr>
              <w:tc>
                <w:tcPr>
                  <w:tcW w:w="1631" w:type="dxa"/>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3</w:t>
                  </w:r>
                </w:p>
              </w:tc>
              <w:tc>
                <w:tcPr>
                  <w:tcW w:w="2212" w:type="dxa"/>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成型机</w:t>
                  </w:r>
                </w:p>
              </w:tc>
              <w:tc>
                <w:tcPr>
                  <w:tcW w:w="1939" w:type="dxa"/>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w:t>
                  </w:r>
                </w:p>
              </w:tc>
              <w:tc>
                <w:tcPr>
                  <w:tcW w:w="2504" w:type="dxa"/>
                  <w:vAlign w:val="center"/>
                </w:tcPr>
                <w:p>
                  <w:pPr>
                    <w:overflowPunct w:val="0"/>
                    <w:autoSpaceDE w:val="0"/>
                    <w:autoSpaceDN w:val="0"/>
                    <w:jc w:val="center"/>
                    <w:rPr>
                      <w:rFonts w:ascii="Times New Roman" w:hAnsi="Times New Roman" w:cs="Times New Roman"/>
                      <w:color w:val="auto"/>
                      <w:highlight w:val="none"/>
                    </w:rPr>
                  </w:pPr>
                  <w:r>
                    <w:rPr>
                      <w:rFonts w:ascii="Times New Roman" w:hAnsi="Times New Roman" w:eastAsia="宋体" w:cs="Times New Roman"/>
                      <w:color w:val="auto"/>
                      <w:szCs w:val="21"/>
                      <w:highlight w:val="none"/>
                    </w:rPr>
                    <w:t>70~80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2" w:hRule="atLeast"/>
                <w:jc w:val="center"/>
              </w:trPr>
              <w:tc>
                <w:tcPr>
                  <w:tcW w:w="1631" w:type="dxa"/>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w:t>
                  </w:r>
                </w:p>
              </w:tc>
              <w:tc>
                <w:tcPr>
                  <w:tcW w:w="2212" w:type="dxa"/>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空压机</w:t>
                  </w:r>
                </w:p>
              </w:tc>
              <w:tc>
                <w:tcPr>
                  <w:tcW w:w="1939" w:type="dxa"/>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w:t>
                  </w:r>
                </w:p>
              </w:tc>
              <w:tc>
                <w:tcPr>
                  <w:tcW w:w="2504" w:type="dxa"/>
                  <w:vAlign w:val="center"/>
                </w:tcPr>
                <w:p>
                  <w:pPr>
                    <w:overflowPunct w:val="0"/>
                    <w:autoSpaceDE w:val="0"/>
                    <w:autoSpaceDN w:val="0"/>
                    <w:jc w:val="center"/>
                    <w:rPr>
                      <w:rFonts w:ascii="Times New Roman" w:hAnsi="Times New Roman" w:cs="Times New Roman"/>
                      <w:color w:val="auto"/>
                      <w:highlight w:val="none"/>
                    </w:rPr>
                  </w:pPr>
                  <w:r>
                    <w:rPr>
                      <w:rFonts w:ascii="Times New Roman" w:hAnsi="Times New Roman" w:eastAsia="宋体" w:cs="Times New Roman"/>
                      <w:color w:val="auto"/>
                      <w:szCs w:val="21"/>
                      <w:highlight w:val="none"/>
                    </w:rPr>
                    <w:t>75~85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2" w:hRule="atLeast"/>
                <w:jc w:val="center"/>
              </w:trPr>
              <w:tc>
                <w:tcPr>
                  <w:tcW w:w="1631" w:type="dxa"/>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5</w:t>
                  </w:r>
                </w:p>
              </w:tc>
              <w:tc>
                <w:tcPr>
                  <w:tcW w:w="2212" w:type="dxa"/>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空压机</w:t>
                  </w:r>
                </w:p>
              </w:tc>
              <w:tc>
                <w:tcPr>
                  <w:tcW w:w="1939" w:type="dxa"/>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w:t>
                  </w:r>
                </w:p>
              </w:tc>
              <w:tc>
                <w:tcPr>
                  <w:tcW w:w="2504" w:type="dxa"/>
                  <w:vAlign w:val="center"/>
                </w:tcPr>
                <w:p>
                  <w:pPr>
                    <w:overflowPunct w:val="0"/>
                    <w:autoSpaceDE w:val="0"/>
                    <w:autoSpaceDN w:val="0"/>
                    <w:jc w:val="center"/>
                    <w:rPr>
                      <w:rFonts w:ascii="Times New Roman" w:hAnsi="Times New Roman" w:cs="Times New Roman"/>
                      <w:color w:val="auto"/>
                      <w:highlight w:val="none"/>
                    </w:rPr>
                  </w:pPr>
                  <w:r>
                    <w:rPr>
                      <w:rFonts w:ascii="Times New Roman" w:hAnsi="Times New Roman" w:eastAsia="宋体" w:cs="Times New Roman"/>
                      <w:color w:val="auto"/>
                      <w:szCs w:val="21"/>
                      <w:highlight w:val="none"/>
                    </w:rPr>
                    <w:t>70~80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2" w:hRule="atLeast"/>
                <w:jc w:val="center"/>
              </w:trPr>
              <w:tc>
                <w:tcPr>
                  <w:tcW w:w="1631" w:type="dxa"/>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6</w:t>
                  </w:r>
                </w:p>
              </w:tc>
              <w:tc>
                <w:tcPr>
                  <w:tcW w:w="2212" w:type="dxa"/>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冷却塔</w:t>
                  </w:r>
                </w:p>
              </w:tc>
              <w:tc>
                <w:tcPr>
                  <w:tcW w:w="1939" w:type="dxa"/>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w:t>
                  </w:r>
                </w:p>
              </w:tc>
              <w:tc>
                <w:tcPr>
                  <w:tcW w:w="2504" w:type="dxa"/>
                  <w:vAlign w:val="center"/>
                </w:tcPr>
                <w:p>
                  <w:pPr>
                    <w:overflowPunct w:val="0"/>
                    <w:autoSpaceDE w:val="0"/>
                    <w:autoSpaceDN w:val="0"/>
                    <w:jc w:val="center"/>
                    <w:rPr>
                      <w:rFonts w:ascii="Times New Roman" w:hAnsi="Times New Roman" w:cs="Times New Roman"/>
                      <w:color w:val="auto"/>
                      <w:highlight w:val="none"/>
                    </w:rPr>
                  </w:pPr>
                  <w:r>
                    <w:rPr>
                      <w:rFonts w:ascii="Times New Roman" w:hAnsi="Times New Roman" w:eastAsia="宋体" w:cs="Times New Roman"/>
                      <w:color w:val="auto"/>
                      <w:szCs w:val="21"/>
                      <w:highlight w:val="none"/>
                    </w:rPr>
                    <w:t>75~85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2" w:hRule="atLeast"/>
                <w:jc w:val="center"/>
              </w:trPr>
              <w:tc>
                <w:tcPr>
                  <w:tcW w:w="1631" w:type="dxa"/>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7</w:t>
                  </w:r>
                </w:p>
              </w:tc>
              <w:tc>
                <w:tcPr>
                  <w:tcW w:w="2212" w:type="dxa"/>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冷却塔顶马达</w:t>
                  </w:r>
                </w:p>
              </w:tc>
              <w:tc>
                <w:tcPr>
                  <w:tcW w:w="1939" w:type="dxa"/>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w:t>
                  </w:r>
                </w:p>
              </w:tc>
              <w:tc>
                <w:tcPr>
                  <w:tcW w:w="2504" w:type="dxa"/>
                  <w:vAlign w:val="center"/>
                </w:tcPr>
                <w:p>
                  <w:pPr>
                    <w:overflowPunct w:val="0"/>
                    <w:autoSpaceDE w:val="0"/>
                    <w:autoSpaceDN w:val="0"/>
                    <w:jc w:val="center"/>
                    <w:rPr>
                      <w:rFonts w:ascii="Times New Roman" w:hAnsi="Times New Roman" w:cs="Times New Roman"/>
                      <w:color w:val="auto"/>
                      <w:highlight w:val="none"/>
                    </w:rPr>
                  </w:pPr>
                  <w:r>
                    <w:rPr>
                      <w:rFonts w:ascii="Times New Roman" w:hAnsi="Times New Roman" w:eastAsia="宋体" w:cs="Times New Roman"/>
                      <w:color w:val="auto"/>
                      <w:szCs w:val="21"/>
                      <w:highlight w:val="none"/>
                    </w:rPr>
                    <w:t>70~80</w:t>
                  </w:r>
                </w:p>
              </w:tc>
            </w:tr>
          </w:tbl>
          <w:p>
            <w:pPr>
              <w:spacing w:line="360" w:lineRule="auto"/>
              <w:ind w:firstLine="482" w:firstLineChars="200"/>
              <w:rPr>
                <w:rFonts w:ascii="Times New Roman" w:hAnsi="Times New Roman" w:eastAsia="宋体" w:cs="Times New Roman"/>
                <w:bCs/>
                <w:color w:val="auto"/>
                <w:sz w:val="24"/>
                <w:highlight w:val="none"/>
              </w:rPr>
            </w:pPr>
            <w:r>
              <w:rPr>
                <w:rFonts w:ascii="Times New Roman" w:hAnsi="Times New Roman" w:eastAsia="宋体" w:cs="Times New Roman"/>
                <w:b/>
                <w:color w:val="auto"/>
                <w:sz w:val="24"/>
                <w:highlight w:val="none"/>
              </w:rPr>
              <w:t>（4）固体废物污染源</w:t>
            </w:r>
          </w:p>
          <w:p>
            <w:pPr>
              <w:pStyle w:val="24"/>
              <w:spacing w:line="360" w:lineRule="auto"/>
              <w:ind w:firstLine="480" w:firstLineChars="200"/>
              <w:jc w:val="both"/>
              <w:rPr>
                <w:rFonts w:ascii="Times New Roman" w:hAnsi="Times New Roman" w:cs="Times New Roman"/>
                <w:color w:val="auto"/>
                <w:kern w:val="2"/>
                <w:highlight w:val="none"/>
              </w:rPr>
            </w:pPr>
            <w:r>
              <w:rPr>
                <w:rFonts w:ascii="Times New Roman" w:hAnsi="Times New Roman" w:cs="Times New Roman"/>
                <w:color w:val="auto"/>
                <w:kern w:val="2"/>
                <w:highlight w:val="none"/>
              </w:rPr>
              <w:t>固体废弃物是人们在生活和生产活动中产生的一系列暂时性和永久性无法利用的固态物质，它具有占领空间和造成二次污染的特点，如果管理不当或处理不善，将对环境造成影响。本项目在运营过程中产生的固体废弃物为生产过程中产生的不能重复利用的废料；员工日常生活中产生的生活垃圾；危险废物。</w:t>
            </w:r>
          </w:p>
          <w:p>
            <w:pPr>
              <w:snapToGrid w:val="0"/>
              <w:spacing w:line="360" w:lineRule="auto"/>
              <w:ind w:firstLine="482" w:firstLineChars="200"/>
              <w:rPr>
                <w:rFonts w:ascii="Times New Roman" w:hAnsi="Times New Roman" w:cs="Times New Roman"/>
                <w:b/>
                <w:bCs/>
                <w:color w:val="auto"/>
                <w:sz w:val="24"/>
                <w:highlight w:val="none"/>
              </w:rPr>
            </w:pPr>
            <w:r>
              <w:rPr>
                <w:rFonts w:ascii="Times New Roman" w:hAnsi="Times New Roman" w:cs="Times New Roman"/>
                <w:b/>
                <w:bCs/>
                <w:color w:val="auto"/>
                <w:sz w:val="24"/>
                <w:highlight w:val="none"/>
              </w:rPr>
              <w:t>（1）生活垃圾</w:t>
            </w:r>
          </w:p>
          <w:p>
            <w:pPr>
              <w:snapToGrid w:val="0"/>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根据《社会区域类环境影响评价》（中国环境科学出版社），我国目前城市人均生活垃圾为0.8~1.5kg/人·d，办公垃圾为0.5~1.0kg/人·d，项目共有员工人数为20人，均在项目内食宿，生活垃圾系数按0.5kg/人·天计算。一年工作时间为300天计算，生活垃圾产生量为3t/a。</w:t>
            </w:r>
          </w:p>
          <w:p>
            <w:pPr>
              <w:tabs>
                <w:tab w:val="left" w:pos="677"/>
              </w:tabs>
              <w:snapToGrid w:val="0"/>
              <w:spacing w:line="360" w:lineRule="auto"/>
              <w:ind w:firstLine="482" w:firstLineChars="200"/>
              <w:rPr>
                <w:rFonts w:ascii="Times New Roman" w:hAnsi="Times New Roman" w:cs="Times New Roman"/>
                <w:b/>
                <w:bCs/>
                <w:color w:val="auto"/>
                <w:sz w:val="24"/>
                <w:highlight w:val="none"/>
              </w:rPr>
            </w:pPr>
            <w:r>
              <w:rPr>
                <w:rFonts w:ascii="Times New Roman" w:hAnsi="Times New Roman" w:cs="Times New Roman"/>
                <w:b/>
                <w:bCs/>
                <w:color w:val="auto"/>
                <w:sz w:val="24"/>
                <w:highlight w:val="none"/>
              </w:rPr>
              <w:t>（2）一般生产固废</w:t>
            </w:r>
          </w:p>
          <w:p>
            <w:pPr>
              <w:tabs>
                <w:tab w:val="left" w:pos="677"/>
              </w:tabs>
              <w:snapToGrid w:val="0"/>
              <w:spacing w:line="360" w:lineRule="auto"/>
              <w:ind w:firstLine="482" w:firstLineChars="200"/>
              <w:rPr>
                <w:rFonts w:ascii="Times New Roman" w:hAnsi="Times New Roman" w:cs="Times New Roman"/>
                <w:b/>
                <w:bCs/>
                <w:color w:val="auto"/>
                <w:sz w:val="24"/>
                <w:highlight w:val="none"/>
              </w:rPr>
            </w:pPr>
            <w:r>
              <w:rPr>
                <w:rFonts w:ascii="Times New Roman" w:hAnsi="Times New Roman" w:cs="Times New Roman"/>
                <w:b/>
                <w:bCs/>
                <w:color w:val="auto"/>
                <w:sz w:val="24"/>
                <w:highlight w:val="none"/>
              </w:rPr>
              <w:t>①废包装材料</w:t>
            </w:r>
          </w:p>
          <w:p>
            <w:pPr>
              <w:tabs>
                <w:tab w:val="left" w:pos="677"/>
              </w:tabs>
              <w:snapToGrid w:val="0"/>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根据业主提供的资料，项目生产过程中产生的废包装材料0.1t/a。项目将其分类收集后交专业公司回收处理。</w:t>
            </w:r>
          </w:p>
          <w:p>
            <w:pPr>
              <w:tabs>
                <w:tab w:val="left" w:pos="677"/>
              </w:tabs>
              <w:snapToGrid w:val="0"/>
              <w:spacing w:line="360" w:lineRule="auto"/>
              <w:ind w:firstLine="482" w:firstLineChars="200"/>
              <w:rPr>
                <w:rFonts w:ascii="Times New Roman" w:hAnsi="Times New Roman" w:cs="Times New Roman"/>
                <w:b/>
                <w:bCs/>
                <w:color w:val="auto"/>
                <w:sz w:val="24"/>
                <w:highlight w:val="none"/>
              </w:rPr>
            </w:pPr>
            <w:r>
              <w:rPr>
                <w:rFonts w:ascii="Times New Roman" w:hAnsi="Times New Roman" w:cs="Times New Roman"/>
                <w:b/>
                <w:bCs/>
                <w:color w:val="auto"/>
                <w:sz w:val="24"/>
                <w:highlight w:val="none"/>
              </w:rPr>
              <w:t>②不合格品</w:t>
            </w:r>
          </w:p>
          <w:p>
            <w:pPr>
              <w:tabs>
                <w:tab w:val="left" w:pos="677"/>
              </w:tabs>
              <w:snapToGrid w:val="0"/>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根据建设单位提供资料，本项目不合格品产生量约20t/a。项目将其分类收集后交专业公司回收处理。</w:t>
            </w:r>
          </w:p>
          <w:p>
            <w:pPr>
              <w:pStyle w:val="24"/>
              <w:spacing w:line="360" w:lineRule="auto"/>
              <w:ind w:firstLine="482" w:firstLineChars="200"/>
              <w:jc w:val="both"/>
              <w:rPr>
                <w:rFonts w:ascii="Times New Roman" w:hAnsi="Times New Roman" w:cs="Times New Roman"/>
                <w:b/>
                <w:bCs/>
                <w:color w:val="auto"/>
                <w:kern w:val="2"/>
                <w:highlight w:val="none"/>
              </w:rPr>
            </w:pPr>
            <w:r>
              <w:rPr>
                <w:rFonts w:ascii="Times New Roman" w:hAnsi="Times New Roman" w:cs="Times New Roman"/>
                <w:b/>
                <w:bCs/>
                <w:color w:val="auto"/>
                <w:kern w:val="2"/>
                <w:highlight w:val="none"/>
              </w:rPr>
              <w:t>（3）危险废物</w:t>
            </w:r>
          </w:p>
          <w:p>
            <w:pPr>
              <w:pStyle w:val="24"/>
              <w:spacing w:line="360" w:lineRule="auto"/>
              <w:ind w:firstLine="480" w:firstLineChars="200"/>
              <w:jc w:val="both"/>
              <w:rPr>
                <w:rFonts w:ascii="Times New Roman" w:hAnsi="Times New Roman" w:cs="Times New Roman"/>
                <w:color w:val="auto"/>
                <w:kern w:val="2"/>
                <w:highlight w:val="none"/>
              </w:rPr>
            </w:pPr>
            <w:r>
              <w:rPr>
                <w:rFonts w:ascii="Times New Roman" w:hAnsi="Times New Roman" w:cs="Times New Roman"/>
                <w:color w:val="auto"/>
                <w:highlight w:val="none"/>
              </w:rPr>
              <w:t xml:space="preserve"> </w:t>
            </w:r>
            <w:r>
              <w:rPr>
                <w:rFonts w:ascii="Times New Roman" w:hAnsi="Times New Roman" w:cs="Times New Roman"/>
                <w:color w:val="auto"/>
                <w:kern w:val="2"/>
                <w:highlight w:val="none"/>
              </w:rPr>
              <w:t>危险废物主要为废润滑油、含油废抹布、废UV光管</w:t>
            </w:r>
            <w:r>
              <w:rPr>
                <w:rFonts w:hint="eastAsia" w:ascii="Times New Roman" w:hAnsi="Times New Roman" w:cs="Times New Roman"/>
                <w:color w:val="auto"/>
                <w:kern w:val="2"/>
                <w:highlight w:val="none"/>
              </w:rPr>
              <w:t>、废活性炭</w:t>
            </w:r>
            <w:r>
              <w:rPr>
                <w:rFonts w:ascii="Times New Roman" w:hAnsi="Times New Roman" w:cs="Times New Roman"/>
                <w:color w:val="auto"/>
                <w:kern w:val="2"/>
                <w:highlight w:val="none"/>
              </w:rPr>
              <w:t>。</w:t>
            </w:r>
          </w:p>
          <w:p>
            <w:pPr>
              <w:tabs>
                <w:tab w:val="left" w:pos="480"/>
              </w:tabs>
              <w:spacing w:line="360" w:lineRule="auto"/>
              <w:ind w:firstLine="482" w:firstLineChars="200"/>
              <w:rPr>
                <w:rFonts w:ascii="Times New Roman" w:hAnsi="Times New Roman" w:cs="Times New Roman"/>
                <w:b/>
                <w:bCs/>
                <w:color w:val="auto"/>
                <w:sz w:val="24"/>
                <w:highlight w:val="none"/>
              </w:rPr>
            </w:pPr>
            <w:r>
              <w:rPr>
                <w:rFonts w:ascii="Times New Roman" w:hAnsi="Times New Roman" w:cs="Times New Roman"/>
                <w:b/>
                <w:bCs/>
                <w:color w:val="auto"/>
                <w:sz w:val="24"/>
                <w:highlight w:val="none"/>
              </w:rPr>
              <w:t>①废润滑油</w:t>
            </w:r>
          </w:p>
          <w:p>
            <w:pPr>
              <w:tabs>
                <w:tab w:val="left" w:pos="480"/>
              </w:tabs>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本项目使用的润滑油主要用于机械维护过程，润滑机械，可循环使用，少量含杂质成分高的润滑油将被废弃，属危险废物，危废类别为HW09，危废代码为900-006-09，根据同类企业调查可知，这部分废润滑油的年产生量为总量的10%，即0.01t/a*10%=0.001t/a，定期交由资质单位处理。</w:t>
            </w:r>
          </w:p>
          <w:p>
            <w:pPr>
              <w:tabs>
                <w:tab w:val="left" w:pos="480"/>
              </w:tabs>
              <w:spacing w:line="360" w:lineRule="auto"/>
              <w:ind w:firstLine="482" w:firstLineChars="200"/>
              <w:rPr>
                <w:rFonts w:ascii="Times New Roman" w:hAnsi="Times New Roman" w:cs="Times New Roman"/>
                <w:color w:val="auto"/>
                <w:sz w:val="24"/>
                <w:highlight w:val="none"/>
              </w:rPr>
            </w:pPr>
            <w:r>
              <w:rPr>
                <w:rFonts w:ascii="Times New Roman" w:hAnsi="Times New Roman" w:cs="Times New Roman"/>
                <w:b/>
                <w:bCs/>
                <w:color w:val="auto"/>
                <w:sz w:val="24"/>
                <w:highlight w:val="none"/>
              </w:rPr>
              <w:t>②含油废抹布</w:t>
            </w:r>
          </w:p>
          <w:p>
            <w:pPr>
              <w:tabs>
                <w:tab w:val="left" w:pos="480"/>
              </w:tabs>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含油废抹布产生量约为0.1t/a，危废类别为HW12，危废代码为900-252-12，定期交由资质单位处理。</w:t>
            </w:r>
          </w:p>
          <w:p>
            <w:pPr>
              <w:pStyle w:val="8"/>
              <w:spacing w:line="360" w:lineRule="auto"/>
              <w:ind w:firstLine="482" w:firstLineChars="200"/>
              <w:rPr>
                <w:rFonts w:ascii="Times New Roman" w:hAnsi="Times New Roman" w:cs="Times New Roman"/>
                <w:b/>
                <w:bCs/>
                <w:color w:val="auto"/>
                <w:sz w:val="24"/>
                <w:highlight w:val="none"/>
              </w:rPr>
            </w:pPr>
            <w:r>
              <w:rPr>
                <w:rFonts w:ascii="Times New Roman" w:hAnsi="Times New Roman" w:cs="Times New Roman"/>
                <w:b/>
                <w:bCs/>
                <w:color w:val="auto"/>
                <w:sz w:val="24"/>
                <w:highlight w:val="none"/>
              </w:rPr>
              <w:t>③废UV光管</w:t>
            </w:r>
          </w:p>
          <w:p>
            <w:pPr>
              <w:pStyle w:val="8"/>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项目 UV 光解净化器中 UV 灯管为紫外线含汞灯管，UV 灯管使用一段时间达不到设定要求时需更换，会产生一定量的废 UV 灯管。UV 灯管连续使用的时间一般不超过4800h，结合 UV 灯管的工作环境及平均使用寿命，项目废 UV 灯管的产生量为0.01t/a。</w:t>
            </w:r>
          </w:p>
          <w:p>
            <w:pPr>
              <w:pStyle w:val="8"/>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废 UV 灯管的主要成分为玻璃和汞，属于《国家危险废物名录》中编号为 HW29 的危险废物（含汞废物），“900-023-29 生产、销售及使用过程中产生的废含汞荧光灯管及其他废含汞电光源 ”，收集后应交由有危险废物处理资质的单位回收处理。</w:t>
            </w:r>
          </w:p>
          <w:p>
            <w:pPr>
              <w:pStyle w:val="8"/>
              <w:spacing w:line="360" w:lineRule="auto"/>
              <w:ind w:firstLine="482" w:firstLineChars="200"/>
              <w:rPr>
                <w:rFonts w:ascii="Times New Roman" w:hAnsi="Times New Roman" w:cs="Times New Roman"/>
                <w:b/>
                <w:bCs/>
                <w:color w:val="auto"/>
                <w:sz w:val="24"/>
                <w:highlight w:val="none"/>
              </w:rPr>
            </w:pPr>
            <w:r>
              <w:rPr>
                <w:rFonts w:hint="eastAsia" w:ascii="Times New Roman" w:hAnsi="Times New Roman" w:cs="Times New Roman"/>
                <w:b/>
                <w:bCs/>
                <w:color w:val="auto"/>
                <w:sz w:val="24"/>
                <w:highlight w:val="none"/>
              </w:rPr>
              <w:t>④废活性炭</w:t>
            </w:r>
          </w:p>
          <w:p>
            <w:pPr>
              <w:pStyle w:val="56"/>
              <w:jc w:val="both"/>
              <w:rPr>
                <w:rFonts w:cs="Times New Roman"/>
                <w:color w:val="auto"/>
                <w:highlight w:val="none"/>
              </w:rPr>
            </w:pPr>
            <w:r>
              <w:rPr>
                <w:rFonts w:hint="eastAsia" w:cs="Times New Roman" w:eastAsiaTheme="minorEastAsia"/>
                <w:color w:val="auto"/>
                <w:highlight w:val="none"/>
              </w:rPr>
              <w:t>本项目</w:t>
            </w:r>
            <w:r>
              <w:rPr>
                <w:rFonts w:cs="Times New Roman" w:eastAsiaTheme="minorEastAsia"/>
                <w:color w:val="auto"/>
                <w:highlight w:val="none"/>
              </w:rPr>
              <w:t>废气处理装置中“活性炭吸附”处理段需定期更换活性炭，在更换活性炭时会产生一定量的废活性炭。</w:t>
            </w:r>
            <w:r>
              <w:rPr>
                <w:rFonts w:cs="Times New Roman"/>
                <w:color w:val="auto"/>
                <w:highlight w:val="none"/>
              </w:rPr>
              <w:t>根据上方工程分析，项目</w:t>
            </w:r>
            <w:r>
              <w:rPr>
                <w:rFonts w:hint="eastAsia" w:cs="Times New Roman" w:eastAsiaTheme="minorEastAsia"/>
                <w:color w:val="auto"/>
                <w:highlight w:val="none"/>
              </w:rPr>
              <w:t>设备</w:t>
            </w:r>
            <w:r>
              <w:rPr>
                <w:rFonts w:cs="Times New Roman" w:eastAsiaTheme="minorEastAsia"/>
                <w:color w:val="auto"/>
                <w:highlight w:val="none"/>
              </w:rPr>
              <w:t>处理</w:t>
            </w:r>
            <w:r>
              <w:rPr>
                <w:rFonts w:cs="Times New Roman"/>
                <w:color w:val="auto"/>
                <w:highlight w:val="none"/>
              </w:rPr>
              <w:t>需处理废气量为2.2848t/a。根据前方废气污染源分析中</w:t>
            </w:r>
            <w:r>
              <w:rPr>
                <w:rFonts w:hint="eastAsia" w:cs="Times New Roman"/>
                <w:color w:val="auto"/>
                <w:highlight w:val="none"/>
              </w:rPr>
              <w:t>UV光解催化氧化处理效率</w:t>
            </w:r>
            <w:r>
              <w:rPr>
                <w:rFonts w:cs="Times New Roman"/>
                <w:color w:val="auto"/>
                <w:highlight w:val="none"/>
              </w:rPr>
              <w:t>20</w:t>
            </w:r>
            <w:r>
              <w:rPr>
                <w:rFonts w:hint="eastAsia" w:cs="Times New Roman"/>
                <w:color w:val="auto"/>
                <w:highlight w:val="none"/>
              </w:rPr>
              <w:t>%，</w:t>
            </w:r>
            <w:r>
              <w:rPr>
                <w:rFonts w:cs="Times New Roman"/>
                <w:color w:val="auto"/>
                <w:highlight w:val="none"/>
              </w:rPr>
              <w:t>活性炭的处理效率为75%，则项目活性炭削减的有机废气</w:t>
            </w:r>
            <w:r>
              <w:rPr>
                <w:rFonts w:hint="eastAsia" w:cs="Times New Roman"/>
                <w:color w:val="auto"/>
                <w:highlight w:val="none"/>
              </w:rPr>
              <w:t>约</w:t>
            </w:r>
            <w:r>
              <w:rPr>
                <w:rFonts w:cs="Times New Roman"/>
                <w:color w:val="auto"/>
                <w:highlight w:val="none"/>
              </w:rPr>
              <w:t>为0.34</w:t>
            </w:r>
            <w:r>
              <w:rPr>
                <w:rFonts w:hint="eastAsia" w:cs="Times New Roman"/>
                <w:color w:val="auto"/>
                <w:highlight w:val="none"/>
              </w:rPr>
              <w:t>t/a</w:t>
            </w:r>
            <w:r>
              <w:rPr>
                <w:rFonts w:cs="Times New Roman"/>
                <w:color w:val="auto"/>
                <w:highlight w:val="none"/>
              </w:rPr>
              <w:t>，根据《现代涂装手册》（化学工业出版社，陈治良主编），活性炭的吸附容量一般为20%左右，考虑到活性炭吸收废气的衰减，本项目以活性炭吸附容量的80%核算活性炭用量及更换周期。根据废气污染物的特点，按照1吨活性炭约吸附0.2吨废气计，由上分析可得，本项目活性炭理论使用量不小于1.7t/a</w:t>
            </w:r>
            <w:r>
              <w:rPr>
                <w:rFonts w:hint="eastAsia" w:cs="Times New Roman"/>
                <w:color w:val="auto"/>
                <w:highlight w:val="none"/>
              </w:rPr>
              <w:t>。为保持活性炭的处理效率，</w:t>
            </w:r>
            <w:r>
              <w:rPr>
                <w:rFonts w:cs="Times New Roman"/>
                <w:color w:val="auto"/>
                <w:highlight w:val="none"/>
              </w:rPr>
              <w:t>活性炭更换周期为3个月，</w:t>
            </w:r>
            <w:r>
              <w:rPr>
                <w:rFonts w:hint="eastAsia" w:cs="Times New Roman"/>
                <w:color w:val="auto"/>
                <w:highlight w:val="none"/>
              </w:rPr>
              <w:t>项目</w:t>
            </w:r>
            <w:r>
              <w:rPr>
                <w:rFonts w:cs="Times New Roman"/>
                <w:color w:val="auto"/>
                <w:highlight w:val="none"/>
              </w:rPr>
              <w:t>设计活性炭箱体尺寸为1.7m×1.22m×1.2m，共设计3层，活性炭层每层装载量为0.15t，则活性炭箱装载量为0.15t/层×3层=0.45t，废活性炭更换量约为0.45t/次，</w:t>
            </w:r>
            <w:r>
              <w:rPr>
                <w:rFonts w:hint="eastAsia" w:cs="Times New Roman"/>
                <w:color w:val="auto"/>
                <w:highlight w:val="none"/>
              </w:rPr>
              <w:t>活性炭削减量约0</w:t>
            </w:r>
            <w:r>
              <w:rPr>
                <w:rFonts w:cs="Times New Roman"/>
                <w:color w:val="auto"/>
                <w:highlight w:val="none"/>
              </w:rPr>
              <w:t>.34</w:t>
            </w:r>
            <w:r>
              <w:rPr>
                <w:rFonts w:hint="eastAsia" w:cs="Times New Roman"/>
                <w:color w:val="auto"/>
                <w:highlight w:val="none"/>
              </w:rPr>
              <w:t>t/a，则</w:t>
            </w:r>
            <w:r>
              <w:rPr>
                <w:rFonts w:cs="Times New Roman"/>
                <w:color w:val="auto"/>
                <w:highlight w:val="none"/>
              </w:rPr>
              <w:t>每年产生废活性炭2.14t/a</w:t>
            </w:r>
            <w:r>
              <w:rPr>
                <w:rFonts w:hint="eastAsia" w:cs="Times New Roman"/>
                <w:color w:val="auto"/>
                <w:highlight w:val="none"/>
              </w:rPr>
              <w:t>。</w:t>
            </w:r>
            <w:r>
              <w:rPr>
                <w:rFonts w:cs="Times New Roman"/>
                <w:color w:val="auto"/>
                <w:highlight w:val="none"/>
              </w:rPr>
              <w:t>废活性炭属于《国家危险废物名录》（2016年版）中编号为HW49的危险废物，应妥善收集后交由有资质的单位处理。</w:t>
            </w:r>
          </w:p>
          <w:p>
            <w:pPr>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lang w:bidi="ar"/>
              </w:rPr>
              <w:t>本项目营运期固体废弃物产生情况及处理去向见表5-8，危险废物汇总情况见表5-9。</w:t>
            </w:r>
          </w:p>
          <w:p>
            <w:pPr>
              <w:ind w:left="80" w:firstLine="422" w:firstLineChars="200"/>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表5-8 固体废弃物排放情况</w:t>
            </w:r>
          </w:p>
          <w:tbl>
            <w:tblPr>
              <w:tblStyle w:val="22"/>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53"/>
              <w:gridCol w:w="1530"/>
              <w:gridCol w:w="1988"/>
              <w:gridCol w:w="1492"/>
              <w:gridCol w:w="2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953" w:type="dxa"/>
                  <w:vAlign w:val="center"/>
                </w:tcPr>
                <w:p>
                  <w:pPr>
                    <w:pStyle w:val="54"/>
                    <w:rPr>
                      <w:rFonts w:eastAsia="宋体"/>
                      <w:b/>
                      <w:bCs/>
                      <w:color w:val="auto"/>
                      <w:szCs w:val="21"/>
                      <w:highlight w:val="none"/>
                    </w:rPr>
                  </w:pPr>
                  <w:r>
                    <w:rPr>
                      <w:rFonts w:eastAsia="宋体"/>
                      <w:b/>
                      <w:bCs/>
                      <w:color w:val="auto"/>
                      <w:szCs w:val="21"/>
                      <w:highlight w:val="none"/>
                    </w:rPr>
                    <w:t>序号</w:t>
                  </w:r>
                </w:p>
              </w:tc>
              <w:tc>
                <w:tcPr>
                  <w:tcW w:w="1530" w:type="dxa"/>
                  <w:vAlign w:val="center"/>
                </w:tcPr>
                <w:p>
                  <w:pPr>
                    <w:pStyle w:val="54"/>
                    <w:rPr>
                      <w:rFonts w:eastAsia="宋体"/>
                      <w:b/>
                      <w:bCs/>
                      <w:color w:val="auto"/>
                      <w:szCs w:val="21"/>
                      <w:highlight w:val="none"/>
                    </w:rPr>
                  </w:pPr>
                  <w:r>
                    <w:rPr>
                      <w:rFonts w:eastAsia="宋体"/>
                      <w:b/>
                      <w:bCs/>
                      <w:color w:val="auto"/>
                      <w:szCs w:val="21"/>
                      <w:highlight w:val="none"/>
                    </w:rPr>
                    <w:t>废物类别</w:t>
                  </w:r>
                </w:p>
              </w:tc>
              <w:tc>
                <w:tcPr>
                  <w:tcW w:w="1988" w:type="dxa"/>
                  <w:vAlign w:val="center"/>
                </w:tcPr>
                <w:p>
                  <w:pPr>
                    <w:pStyle w:val="54"/>
                    <w:rPr>
                      <w:rFonts w:eastAsia="宋体"/>
                      <w:b/>
                      <w:bCs/>
                      <w:color w:val="auto"/>
                      <w:szCs w:val="21"/>
                      <w:highlight w:val="none"/>
                    </w:rPr>
                  </w:pPr>
                  <w:r>
                    <w:rPr>
                      <w:rFonts w:eastAsia="宋体"/>
                      <w:b/>
                      <w:bCs/>
                      <w:color w:val="auto"/>
                      <w:szCs w:val="21"/>
                      <w:highlight w:val="none"/>
                    </w:rPr>
                    <w:t>项目</w:t>
                  </w:r>
                </w:p>
              </w:tc>
              <w:tc>
                <w:tcPr>
                  <w:tcW w:w="1492" w:type="dxa"/>
                  <w:vAlign w:val="center"/>
                </w:tcPr>
                <w:p>
                  <w:pPr>
                    <w:pStyle w:val="54"/>
                    <w:rPr>
                      <w:rFonts w:eastAsia="宋体"/>
                      <w:b/>
                      <w:bCs/>
                      <w:color w:val="auto"/>
                      <w:szCs w:val="21"/>
                      <w:highlight w:val="none"/>
                    </w:rPr>
                  </w:pPr>
                  <w:r>
                    <w:rPr>
                      <w:rFonts w:eastAsia="宋体"/>
                      <w:b/>
                      <w:bCs/>
                      <w:color w:val="auto"/>
                      <w:szCs w:val="21"/>
                      <w:highlight w:val="none"/>
                    </w:rPr>
                    <w:t>产生量(t/a)</w:t>
                  </w:r>
                </w:p>
              </w:tc>
              <w:tc>
                <w:tcPr>
                  <w:tcW w:w="2333" w:type="dxa"/>
                  <w:vAlign w:val="center"/>
                </w:tcPr>
                <w:p>
                  <w:pPr>
                    <w:pStyle w:val="54"/>
                    <w:rPr>
                      <w:rFonts w:eastAsia="宋体"/>
                      <w:b/>
                      <w:bCs/>
                      <w:color w:val="auto"/>
                      <w:szCs w:val="21"/>
                      <w:highlight w:val="none"/>
                    </w:rPr>
                  </w:pPr>
                  <w:r>
                    <w:rPr>
                      <w:rFonts w:eastAsia="宋体"/>
                      <w:b/>
                      <w:bCs/>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953" w:type="dxa"/>
                  <w:vAlign w:val="center"/>
                </w:tcPr>
                <w:p>
                  <w:pPr>
                    <w:pStyle w:val="54"/>
                    <w:rPr>
                      <w:rFonts w:eastAsia="宋体"/>
                      <w:bCs/>
                      <w:color w:val="auto"/>
                      <w:szCs w:val="21"/>
                      <w:highlight w:val="none"/>
                    </w:rPr>
                  </w:pPr>
                  <w:r>
                    <w:rPr>
                      <w:rFonts w:eastAsia="宋体"/>
                      <w:bCs/>
                      <w:color w:val="auto"/>
                      <w:szCs w:val="21"/>
                      <w:highlight w:val="none"/>
                    </w:rPr>
                    <w:t>1</w:t>
                  </w:r>
                </w:p>
              </w:tc>
              <w:tc>
                <w:tcPr>
                  <w:tcW w:w="1530" w:type="dxa"/>
                  <w:vAlign w:val="center"/>
                </w:tcPr>
                <w:p>
                  <w:pPr>
                    <w:pStyle w:val="54"/>
                    <w:rPr>
                      <w:rFonts w:eastAsia="宋体"/>
                      <w:color w:val="auto"/>
                      <w:szCs w:val="21"/>
                      <w:highlight w:val="none"/>
                    </w:rPr>
                  </w:pPr>
                  <w:r>
                    <w:rPr>
                      <w:rFonts w:eastAsia="宋体"/>
                      <w:color w:val="auto"/>
                      <w:szCs w:val="21"/>
                      <w:highlight w:val="none"/>
                    </w:rPr>
                    <w:t>生活垃圾</w:t>
                  </w:r>
                </w:p>
              </w:tc>
              <w:tc>
                <w:tcPr>
                  <w:tcW w:w="1988" w:type="dxa"/>
                  <w:vAlign w:val="center"/>
                </w:tcPr>
                <w:p>
                  <w:pPr>
                    <w:pStyle w:val="54"/>
                    <w:rPr>
                      <w:rFonts w:eastAsia="宋体"/>
                      <w:color w:val="auto"/>
                      <w:szCs w:val="21"/>
                      <w:highlight w:val="none"/>
                    </w:rPr>
                  </w:pPr>
                  <w:r>
                    <w:rPr>
                      <w:rFonts w:eastAsia="宋体"/>
                      <w:color w:val="auto"/>
                      <w:szCs w:val="21"/>
                      <w:highlight w:val="none"/>
                    </w:rPr>
                    <w:t>员工生活垃圾</w:t>
                  </w:r>
                </w:p>
              </w:tc>
              <w:tc>
                <w:tcPr>
                  <w:tcW w:w="1492" w:type="dxa"/>
                  <w:vAlign w:val="center"/>
                </w:tcPr>
                <w:p>
                  <w:pPr>
                    <w:pStyle w:val="54"/>
                    <w:rPr>
                      <w:rFonts w:eastAsia="宋体"/>
                      <w:color w:val="auto"/>
                      <w:szCs w:val="21"/>
                      <w:highlight w:val="none"/>
                    </w:rPr>
                  </w:pPr>
                  <w:r>
                    <w:rPr>
                      <w:rFonts w:eastAsia="宋体"/>
                      <w:color w:val="auto"/>
                      <w:szCs w:val="21"/>
                      <w:highlight w:val="none"/>
                    </w:rPr>
                    <w:t>3</w:t>
                  </w:r>
                </w:p>
              </w:tc>
              <w:tc>
                <w:tcPr>
                  <w:tcW w:w="2333" w:type="dxa"/>
                  <w:vAlign w:val="center"/>
                </w:tcPr>
                <w:p>
                  <w:pPr>
                    <w:pStyle w:val="54"/>
                    <w:rPr>
                      <w:rFonts w:eastAsia="宋体"/>
                      <w:color w:val="auto"/>
                      <w:szCs w:val="21"/>
                      <w:highlight w:val="none"/>
                    </w:rPr>
                  </w:pPr>
                  <w:r>
                    <w:rPr>
                      <w:rFonts w:eastAsia="宋体"/>
                      <w:color w:val="auto"/>
                      <w:szCs w:val="21"/>
                      <w:highlight w:val="none"/>
                    </w:rPr>
                    <w:t>由环卫部门统一处理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953" w:type="dxa"/>
                  <w:vAlign w:val="center"/>
                </w:tcPr>
                <w:p>
                  <w:pPr>
                    <w:pStyle w:val="54"/>
                    <w:rPr>
                      <w:rFonts w:eastAsia="宋体"/>
                      <w:color w:val="auto"/>
                      <w:szCs w:val="21"/>
                      <w:highlight w:val="none"/>
                    </w:rPr>
                  </w:pPr>
                  <w:r>
                    <w:rPr>
                      <w:rFonts w:eastAsia="宋体"/>
                      <w:color w:val="auto"/>
                      <w:szCs w:val="21"/>
                      <w:highlight w:val="none"/>
                    </w:rPr>
                    <w:t>2</w:t>
                  </w:r>
                </w:p>
              </w:tc>
              <w:tc>
                <w:tcPr>
                  <w:tcW w:w="1530" w:type="dxa"/>
                  <w:vMerge w:val="restart"/>
                  <w:vAlign w:val="center"/>
                </w:tcPr>
                <w:p>
                  <w:pPr>
                    <w:pStyle w:val="54"/>
                    <w:rPr>
                      <w:rFonts w:eastAsia="宋体"/>
                      <w:color w:val="auto"/>
                      <w:szCs w:val="21"/>
                      <w:highlight w:val="none"/>
                    </w:rPr>
                  </w:pPr>
                  <w:r>
                    <w:rPr>
                      <w:rFonts w:eastAsia="宋体"/>
                      <w:color w:val="auto"/>
                      <w:szCs w:val="21"/>
                      <w:highlight w:val="none"/>
                    </w:rPr>
                    <w:t>一般工业固废</w:t>
                  </w:r>
                </w:p>
              </w:tc>
              <w:tc>
                <w:tcPr>
                  <w:tcW w:w="1988" w:type="dxa"/>
                  <w:vAlign w:val="center"/>
                </w:tcPr>
                <w:p>
                  <w:pPr>
                    <w:pStyle w:val="54"/>
                    <w:rPr>
                      <w:rFonts w:eastAsia="宋体"/>
                      <w:color w:val="auto"/>
                      <w:szCs w:val="21"/>
                      <w:highlight w:val="none"/>
                    </w:rPr>
                  </w:pPr>
                  <w:r>
                    <w:rPr>
                      <w:rFonts w:eastAsia="宋体"/>
                      <w:color w:val="auto"/>
                      <w:szCs w:val="21"/>
                      <w:highlight w:val="none"/>
                    </w:rPr>
                    <w:t>废包装材料</w:t>
                  </w:r>
                </w:p>
              </w:tc>
              <w:tc>
                <w:tcPr>
                  <w:tcW w:w="1492" w:type="dxa"/>
                  <w:vAlign w:val="center"/>
                </w:tcPr>
                <w:p>
                  <w:pPr>
                    <w:pStyle w:val="54"/>
                    <w:rPr>
                      <w:rFonts w:eastAsia="宋体"/>
                      <w:color w:val="auto"/>
                      <w:szCs w:val="21"/>
                      <w:highlight w:val="none"/>
                    </w:rPr>
                  </w:pPr>
                  <w:r>
                    <w:rPr>
                      <w:rFonts w:eastAsia="宋体"/>
                      <w:color w:val="auto"/>
                      <w:szCs w:val="21"/>
                      <w:highlight w:val="none"/>
                    </w:rPr>
                    <w:t>0.1</w:t>
                  </w:r>
                </w:p>
              </w:tc>
              <w:tc>
                <w:tcPr>
                  <w:tcW w:w="2333" w:type="dxa"/>
                  <w:vMerge w:val="restart"/>
                  <w:vAlign w:val="center"/>
                </w:tcPr>
                <w:p>
                  <w:pPr>
                    <w:pStyle w:val="54"/>
                    <w:rPr>
                      <w:rFonts w:eastAsia="宋体"/>
                      <w:color w:val="auto"/>
                      <w:szCs w:val="21"/>
                      <w:highlight w:val="none"/>
                    </w:rPr>
                  </w:pPr>
                  <w:r>
                    <w:rPr>
                      <w:rFonts w:eastAsia="宋体"/>
                      <w:color w:val="auto"/>
                      <w:szCs w:val="21"/>
                      <w:highlight w:val="none"/>
                    </w:rPr>
                    <w:t>由资源回收公司回收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953" w:type="dxa"/>
                  <w:vAlign w:val="center"/>
                </w:tcPr>
                <w:p>
                  <w:pPr>
                    <w:pStyle w:val="54"/>
                    <w:rPr>
                      <w:rFonts w:eastAsia="宋体"/>
                      <w:color w:val="auto"/>
                      <w:szCs w:val="21"/>
                      <w:highlight w:val="none"/>
                    </w:rPr>
                  </w:pPr>
                  <w:r>
                    <w:rPr>
                      <w:rFonts w:eastAsia="宋体"/>
                      <w:color w:val="auto"/>
                      <w:szCs w:val="21"/>
                      <w:highlight w:val="none"/>
                    </w:rPr>
                    <w:t>3</w:t>
                  </w:r>
                </w:p>
              </w:tc>
              <w:tc>
                <w:tcPr>
                  <w:tcW w:w="1530" w:type="dxa"/>
                  <w:vMerge w:val="continue"/>
                  <w:vAlign w:val="center"/>
                </w:tcPr>
                <w:p>
                  <w:pPr>
                    <w:pStyle w:val="54"/>
                    <w:rPr>
                      <w:rFonts w:eastAsia="宋体"/>
                      <w:color w:val="auto"/>
                      <w:szCs w:val="21"/>
                      <w:highlight w:val="none"/>
                    </w:rPr>
                  </w:pPr>
                </w:p>
              </w:tc>
              <w:tc>
                <w:tcPr>
                  <w:tcW w:w="1988" w:type="dxa"/>
                  <w:vAlign w:val="center"/>
                </w:tcPr>
                <w:p>
                  <w:pPr>
                    <w:pStyle w:val="54"/>
                    <w:rPr>
                      <w:rFonts w:eastAsia="宋体"/>
                      <w:color w:val="auto"/>
                      <w:szCs w:val="21"/>
                      <w:highlight w:val="none"/>
                    </w:rPr>
                  </w:pPr>
                  <w:r>
                    <w:rPr>
                      <w:rFonts w:eastAsia="宋体"/>
                      <w:color w:val="auto"/>
                      <w:szCs w:val="21"/>
                      <w:highlight w:val="none"/>
                    </w:rPr>
                    <w:t>不合格品</w:t>
                  </w:r>
                </w:p>
              </w:tc>
              <w:tc>
                <w:tcPr>
                  <w:tcW w:w="1492" w:type="dxa"/>
                  <w:vAlign w:val="center"/>
                </w:tcPr>
                <w:p>
                  <w:pPr>
                    <w:pStyle w:val="54"/>
                    <w:rPr>
                      <w:rFonts w:eastAsia="宋体"/>
                      <w:color w:val="auto"/>
                      <w:szCs w:val="21"/>
                      <w:highlight w:val="none"/>
                    </w:rPr>
                  </w:pPr>
                  <w:r>
                    <w:rPr>
                      <w:rFonts w:eastAsia="宋体"/>
                      <w:color w:val="auto"/>
                      <w:szCs w:val="21"/>
                      <w:highlight w:val="none"/>
                    </w:rPr>
                    <w:t>20</w:t>
                  </w:r>
                </w:p>
              </w:tc>
              <w:tc>
                <w:tcPr>
                  <w:tcW w:w="2333" w:type="dxa"/>
                  <w:vMerge w:val="continue"/>
                  <w:vAlign w:val="center"/>
                </w:tcPr>
                <w:p>
                  <w:pPr>
                    <w:pStyle w:val="54"/>
                    <w:rPr>
                      <w:rFonts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953" w:type="dxa"/>
                  <w:vAlign w:val="center"/>
                </w:tcPr>
                <w:p>
                  <w:pPr>
                    <w:pStyle w:val="54"/>
                    <w:rPr>
                      <w:rFonts w:eastAsia="宋体"/>
                      <w:color w:val="auto"/>
                      <w:szCs w:val="21"/>
                      <w:highlight w:val="none"/>
                    </w:rPr>
                  </w:pPr>
                  <w:r>
                    <w:rPr>
                      <w:rFonts w:eastAsia="宋体"/>
                      <w:color w:val="auto"/>
                      <w:szCs w:val="21"/>
                      <w:highlight w:val="none"/>
                    </w:rPr>
                    <w:t>4</w:t>
                  </w:r>
                </w:p>
              </w:tc>
              <w:tc>
                <w:tcPr>
                  <w:tcW w:w="1530" w:type="dxa"/>
                  <w:vMerge w:val="restart"/>
                  <w:vAlign w:val="center"/>
                </w:tcPr>
                <w:p>
                  <w:pPr>
                    <w:pStyle w:val="54"/>
                    <w:rPr>
                      <w:rFonts w:eastAsia="宋体"/>
                      <w:color w:val="auto"/>
                      <w:szCs w:val="21"/>
                      <w:highlight w:val="none"/>
                    </w:rPr>
                  </w:pPr>
                  <w:r>
                    <w:rPr>
                      <w:rFonts w:eastAsia="宋体"/>
                      <w:color w:val="auto"/>
                      <w:szCs w:val="21"/>
                      <w:highlight w:val="none"/>
                    </w:rPr>
                    <w:t>危险废物</w:t>
                  </w:r>
                </w:p>
              </w:tc>
              <w:tc>
                <w:tcPr>
                  <w:tcW w:w="1988" w:type="dxa"/>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highlight w:val="none"/>
                    </w:rPr>
                    <w:t>废润滑油</w:t>
                  </w:r>
                </w:p>
              </w:tc>
              <w:tc>
                <w:tcPr>
                  <w:tcW w:w="1492" w:type="dxa"/>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0.001</w:t>
                  </w:r>
                </w:p>
              </w:tc>
              <w:tc>
                <w:tcPr>
                  <w:tcW w:w="2333" w:type="dxa"/>
                  <w:vMerge w:val="restart"/>
                  <w:vAlign w:val="center"/>
                </w:tcPr>
                <w:p>
                  <w:pPr>
                    <w:pStyle w:val="54"/>
                    <w:rPr>
                      <w:rFonts w:eastAsia="宋体"/>
                      <w:color w:val="auto"/>
                      <w:szCs w:val="21"/>
                      <w:highlight w:val="none"/>
                    </w:rPr>
                  </w:pPr>
                  <w:r>
                    <w:rPr>
                      <w:rFonts w:eastAsia="宋体"/>
                      <w:color w:val="auto"/>
                      <w:szCs w:val="21"/>
                      <w:highlight w:val="none"/>
                    </w:rPr>
                    <w:t>交有资质的单位处置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953" w:type="dxa"/>
                  <w:vAlign w:val="center"/>
                </w:tcPr>
                <w:p>
                  <w:pPr>
                    <w:pStyle w:val="54"/>
                    <w:rPr>
                      <w:rFonts w:eastAsia="宋体"/>
                      <w:color w:val="auto"/>
                      <w:szCs w:val="21"/>
                      <w:highlight w:val="none"/>
                    </w:rPr>
                  </w:pPr>
                  <w:r>
                    <w:rPr>
                      <w:rFonts w:eastAsia="宋体"/>
                      <w:color w:val="auto"/>
                      <w:szCs w:val="21"/>
                      <w:highlight w:val="none"/>
                    </w:rPr>
                    <w:t>5</w:t>
                  </w:r>
                </w:p>
              </w:tc>
              <w:tc>
                <w:tcPr>
                  <w:tcW w:w="1530" w:type="dxa"/>
                  <w:vMerge w:val="continue"/>
                  <w:vAlign w:val="center"/>
                </w:tcPr>
                <w:p>
                  <w:pPr>
                    <w:pStyle w:val="54"/>
                    <w:rPr>
                      <w:rFonts w:eastAsia="宋体"/>
                      <w:color w:val="auto"/>
                      <w:szCs w:val="21"/>
                      <w:highlight w:val="none"/>
                    </w:rPr>
                  </w:pPr>
                </w:p>
              </w:tc>
              <w:tc>
                <w:tcPr>
                  <w:tcW w:w="1988" w:type="dxa"/>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highlight w:val="none"/>
                    </w:rPr>
                    <w:t>含油废抹布</w:t>
                  </w:r>
                </w:p>
              </w:tc>
              <w:tc>
                <w:tcPr>
                  <w:tcW w:w="1492" w:type="dxa"/>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0.1</w:t>
                  </w:r>
                </w:p>
              </w:tc>
              <w:tc>
                <w:tcPr>
                  <w:tcW w:w="2333" w:type="dxa"/>
                  <w:vMerge w:val="continue"/>
                  <w:vAlign w:val="center"/>
                </w:tcPr>
                <w:p>
                  <w:pPr>
                    <w:pStyle w:val="54"/>
                    <w:rPr>
                      <w:rFonts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953" w:type="dxa"/>
                  <w:vAlign w:val="center"/>
                </w:tcPr>
                <w:p>
                  <w:pPr>
                    <w:pStyle w:val="54"/>
                    <w:rPr>
                      <w:rFonts w:eastAsia="宋体"/>
                      <w:color w:val="auto"/>
                      <w:szCs w:val="21"/>
                      <w:highlight w:val="none"/>
                    </w:rPr>
                  </w:pPr>
                  <w:r>
                    <w:rPr>
                      <w:rFonts w:eastAsia="宋体"/>
                      <w:color w:val="auto"/>
                      <w:szCs w:val="21"/>
                      <w:highlight w:val="none"/>
                    </w:rPr>
                    <w:t>6</w:t>
                  </w:r>
                </w:p>
              </w:tc>
              <w:tc>
                <w:tcPr>
                  <w:tcW w:w="1530" w:type="dxa"/>
                  <w:vMerge w:val="continue"/>
                  <w:vAlign w:val="center"/>
                </w:tcPr>
                <w:p>
                  <w:pPr>
                    <w:pStyle w:val="54"/>
                    <w:rPr>
                      <w:rFonts w:eastAsia="宋体"/>
                      <w:color w:val="auto"/>
                      <w:szCs w:val="21"/>
                      <w:highlight w:val="none"/>
                    </w:rPr>
                  </w:pPr>
                </w:p>
              </w:tc>
              <w:tc>
                <w:tcPr>
                  <w:tcW w:w="1988" w:type="dxa"/>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highlight w:val="none"/>
                    </w:rPr>
                    <w:t>废UV光管</w:t>
                  </w:r>
                </w:p>
              </w:tc>
              <w:tc>
                <w:tcPr>
                  <w:tcW w:w="1492" w:type="dxa"/>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0.01</w:t>
                  </w:r>
                </w:p>
              </w:tc>
              <w:tc>
                <w:tcPr>
                  <w:tcW w:w="2333" w:type="dxa"/>
                  <w:vMerge w:val="continue"/>
                  <w:vAlign w:val="center"/>
                </w:tcPr>
                <w:p>
                  <w:pPr>
                    <w:pStyle w:val="54"/>
                    <w:rPr>
                      <w:rFonts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953" w:type="dxa"/>
                  <w:vAlign w:val="center"/>
                </w:tcPr>
                <w:p>
                  <w:pPr>
                    <w:pStyle w:val="54"/>
                    <w:rPr>
                      <w:rFonts w:eastAsia="宋体"/>
                      <w:color w:val="auto"/>
                      <w:szCs w:val="21"/>
                      <w:highlight w:val="none"/>
                    </w:rPr>
                  </w:pPr>
                  <w:r>
                    <w:rPr>
                      <w:rFonts w:eastAsia="宋体"/>
                      <w:color w:val="auto"/>
                      <w:szCs w:val="21"/>
                      <w:highlight w:val="none"/>
                    </w:rPr>
                    <w:t>7</w:t>
                  </w:r>
                </w:p>
              </w:tc>
              <w:tc>
                <w:tcPr>
                  <w:tcW w:w="1530" w:type="dxa"/>
                  <w:vMerge w:val="continue"/>
                  <w:vAlign w:val="center"/>
                </w:tcPr>
                <w:p>
                  <w:pPr>
                    <w:pStyle w:val="54"/>
                    <w:rPr>
                      <w:rFonts w:eastAsia="宋体"/>
                      <w:color w:val="auto"/>
                      <w:szCs w:val="21"/>
                      <w:highlight w:val="none"/>
                    </w:rPr>
                  </w:pPr>
                </w:p>
              </w:tc>
              <w:tc>
                <w:tcPr>
                  <w:tcW w:w="1988" w:type="dxa"/>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highlight w:val="none"/>
                    </w:rPr>
                    <w:t>废活性炭</w:t>
                  </w:r>
                </w:p>
              </w:tc>
              <w:tc>
                <w:tcPr>
                  <w:tcW w:w="1492" w:type="dxa"/>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2.14</w:t>
                  </w:r>
                </w:p>
              </w:tc>
              <w:tc>
                <w:tcPr>
                  <w:tcW w:w="2333" w:type="dxa"/>
                  <w:vMerge w:val="continue"/>
                  <w:vAlign w:val="center"/>
                </w:tcPr>
                <w:p>
                  <w:pPr>
                    <w:pStyle w:val="54"/>
                    <w:rPr>
                      <w:rFonts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4471" w:type="dxa"/>
                  <w:gridSpan w:val="3"/>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合计</w:t>
                  </w:r>
                </w:p>
              </w:tc>
              <w:tc>
                <w:tcPr>
                  <w:tcW w:w="1492" w:type="dxa"/>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2</w:t>
                  </w:r>
                  <w:r>
                    <w:rPr>
                      <w:rFonts w:ascii="Times New Roman" w:hAnsi="Times New Roman" w:cs="Times New Roman"/>
                      <w:color w:val="auto"/>
                      <w:szCs w:val="21"/>
                      <w:highlight w:val="none"/>
                    </w:rPr>
                    <w:t>5.351</w:t>
                  </w:r>
                </w:p>
              </w:tc>
              <w:tc>
                <w:tcPr>
                  <w:tcW w:w="2333" w:type="dxa"/>
                  <w:vAlign w:val="center"/>
                </w:tcPr>
                <w:p>
                  <w:pPr>
                    <w:pStyle w:val="54"/>
                    <w:rPr>
                      <w:rFonts w:eastAsia="宋体"/>
                      <w:color w:val="auto"/>
                      <w:szCs w:val="21"/>
                      <w:highlight w:val="none"/>
                    </w:rPr>
                  </w:pPr>
                  <w:r>
                    <w:rPr>
                      <w:rFonts w:eastAsia="宋体"/>
                      <w:color w:val="auto"/>
                      <w:szCs w:val="21"/>
                      <w:highlight w:val="none"/>
                    </w:rPr>
                    <w:t>/</w:t>
                  </w:r>
                </w:p>
              </w:tc>
            </w:tr>
          </w:tbl>
          <w:p>
            <w:pPr>
              <w:pStyle w:val="18"/>
              <w:widowControl w:val="0"/>
              <w:spacing w:before="0" w:beforeAutospacing="0" w:after="0" w:afterAutospacing="0"/>
              <w:jc w:val="center"/>
              <w:rPr>
                <w:rFonts w:ascii="Times New Roman" w:hAnsi="Times New Roman"/>
                <w:b/>
                <w:color w:val="auto"/>
                <w:kern w:val="2"/>
                <w:szCs w:val="21"/>
                <w:highlight w:val="none"/>
                <w:lang w:bidi="ar"/>
              </w:rPr>
            </w:pPr>
            <w:r>
              <w:rPr>
                <w:rFonts w:ascii="Times New Roman" w:hAnsi="Times New Roman"/>
                <w:b/>
                <w:color w:val="auto"/>
                <w:kern w:val="2"/>
                <w:szCs w:val="21"/>
                <w:highlight w:val="none"/>
                <w:lang w:bidi="ar"/>
              </w:rPr>
              <w:t>表5-9 工程分析中危险废物汇总表</w:t>
            </w:r>
          </w:p>
          <w:tbl>
            <w:tblPr>
              <w:tblStyle w:val="22"/>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564"/>
              <w:gridCol w:w="955"/>
              <w:gridCol w:w="1196"/>
              <w:gridCol w:w="689"/>
              <w:gridCol w:w="889"/>
              <w:gridCol w:w="427"/>
              <w:gridCol w:w="572"/>
              <w:gridCol w:w="572"/>
              <w:gridCol w:w="645"/>
              <w:gridCol w:w="427"/>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27" w:type="dxa"/>
                  <w:shd w:val="clear" w:color="auto" w:fill="auto"/>
                  <w:vAlign w:val="center"/>
                </w:tcPr>
                <w:p>
                  <w:pP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序</w:t>
                  </w:r>
                </w:p>
                <w:p>
                  <w:pP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号</w:t>
                  </w:r>
                </w:p>
              </w:tc>
              <w:tc>
                <w:tcPr>
                  <w:tcW w:w="564" w:type="dxa"/>
                  <w:shd w:val="clear" w:color="auto" w:fill="auto"/>
                  <w:vAlign w:val="center"/>
                </w:tcPr>
                <w:p>
                  <w:pP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危险废物名称</w:t>
                  </w:r>
                </w:p>
              </w:tc>
              <w:tc>
                <w:tcPr>
                  <w:tcW w:w="955" w:type="dxa"/>
                  <w:shd w:val="clear" w:color="auto" w:fill="auto"/>
                  <w:vAlign w:val="center"/>
                </w:tcPr>
                <w:p>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危险废物类别</w:t>
                  </w:r>
                </w:p>
              </w:tc>
              <w:tc>
                <w:tcPr>
                  <w:tcW w:w="1196" w:type="dxa"/>
                  <w:shd w:val="clear" w:color="auto" w:fill="auto"/>
                  <w:vAlign w:val="center"/>
                </w:tcPr>
                <w:p>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危险废</w:t>
                  </w:r>
                </w:p>
                <w:p>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物代码</w:t>
                  </w:r>
                </w:p>
              </w:tc>
              <w:tc>
                <w:tcPr>
                  <w:tcW w:w="689" w:type="dxa"/>
                  <w:shd w:val="clear" w:color="auto" w:fill="auto"/>
                  <w:vAlign w:val="center"/>
                </w:tcPr>
                <w:p>
                  <w:pP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产生量t/a</w:t>
                  </w:r>
                </w:p>
              </w:tc>
              <w:tc>
                <w:tcPr>
                  <w:tcW w:w="889" w:type="dxa"/>
                  <w:shd w:val="clear" w:color="auto" w:fill="auto"/>
                  <w:vAlign w:val="center"/>
                </w:tcPr>
                <w:p>
                  <w:pP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产生工序及装置</w:t>
                  </w:r>
                </w:p>
              </w:tc>
              <w:tc>
                <w:tcPr>
                  <w:tcW w:w="427" w:type="dxa"/>
                  <w:shd w:val="clear" w:color="auto" w:fill="auto"/>
                  <w:vAlign w:val="center"/>
                </w:tcPr>
                <w:p>
                  <w:pP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形态</w:t>
                  </w:r>
                </w:p>
              </w:tc>
              <w:tc>
                <w:tcPr>
                  <w:tcW w:w="572" w:type="dxa"/>
                  <w:shd w:val="clear" w:color="auto" w:fill="auto"/>
                  <w:vAlign w:val="center"/>
                </w:tcPr>
                <w:p>
                  <w:pP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主要成分</w:t>
                  </w:r>
                </w:p>
              </w:tc>
              <w:tc>
                <w:tcPr>
                  <w:tcW w:w="572" w:type="dxa"/>
                  <w:shd w:val="clear" w:color="auto" w:fill="auto"/>
                  <w:vAlign w:val="center"/>
                </w:tcPr>
                <w:p>
                  <w:pP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有害成分</w:t>
                  </w:r>
                </w:p>
              </w:tc>
              <w:tc>
                <w:tcPr>
                  <w:tcW w:w="645" w:type="dxa"/>
                  <w:shd w:val="clear" w:color="auto" w:fill="auto"/>
                  <w:vAlign w:val="center"/>
                </w:tcPr>
                <w:p>
                  <w:pP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产废周期</w:t>
                  </w:r>
                </w:p>
              </w:tc>
              <w:tc>
                <w:tcPr>
                  <w:tcW w:w="427" w:type="dxa"/>
                  <w:shd w:val="clear" w:color="auto" w:fill="auto"/>
                  <w:vAlign w:val="center"/>
                </w:tcPr>
                <w:p>
                  <w:pP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危险特性</w:t>
                  </w:r>
                </w:p>
              </w:tc>
              <w:tc>
                <w:tcPr>
                  <w:tcW w:w="933" w:type="dxa"/>
                  <w:shd w:val="clear" w:color="auto" w:fill="auto"/>
                  <w:vAlign w:val="center"/>
                </w:tcPr>
                <w:p>
                  <w:pP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8" w:hRule="atLeast"/>
                <w:jc w:val="center"/>
              </w:trPr>
              <w:tc>
                <w:tcPr>
                  <w:tcW w:w="427" w:type="dxa"/>
                  <w:shd w:val="clear" w:color="auto" w:fill="auto"/>
                  <w:vAlign w:val="center"/>
                </w:tcPr>
                <w:p>
                  <w:pPr>
                    <w:rPr>
                      <w:rFonts w:ascii="Times New Roman" w:hAnsi="Times New Roman" w:cs="Times New Roman"/>
                      <w:color w:val="auto"/>
                      <w:szCs w:val="21"/>
                      <w:highlight w:val="none"/>
                    </w:rPr>
                  </w:pPr>
                  <w:r>
                    <w:rPr>
                      <w:rFonts w:ascii="Times New Roman" w:hAnsi="Times New Roman" w:cs="Times New Roman"/>
                      <w:color w:val="auto"/>
                      <w:szCs w:val="21"/>
                      <w:highlight w:val="none"/>
                    </w:rPr>
                    <w:t>1</w:t>
                  </w:r>
                </w:p>
              </w:tc>
              <w:tc>
                <w:tcPr>
                  <w:tcW w:w="564" w:type="dxa"/>
                  <w:shd w:val="clear" w:color="auto" w:fill="auto"/>
                  <w:vAlign w:val="center"/>
                </w:tcPr>
                <w:p>
                  <w:pPr>
                    <w:rPr>
                      <w:rFonts w:ascii="Times New Roman" w:hAnsi="Times New Roman" w:cs="Times New Roman"/>
                      <w:color w:val="auto"/>
                      <w:szCs w:val="21"/>
                      <w:highlight w:val="none"/>
                    </w:rPr>
                  </w:pPr>
                  <w:r>
                    <w:rPr>
                      <w:rFonts w:ascii="Times New Roman" w:hAnsi="Times New Roman" w:cs="Times New Roman"/>
                      <w:color w:val="auto"/>
                      <w:szCs w:val="21"/>
                      <w:highlight w:val="none"/>
                    </w:rPr>
                    <w:t>废活性炭</w:t>
                  </w:r>
                </w:p>
              </w:tc>
              <w:tc>
                <w:tcPr>
                  <w:tcW w:w="955" w:type="dxa"/>
                  <w:shd w:val="clear" w:color="auto" w:fill="auto"/>
                  <w:vAlign w:val="center"/>
                </w:tcPr>
                <w:p>
                  <w:pPr>
                    <w:rPr>
                      <w:rFonts w:ascii="Times New Roman" w:hAnsi="Times New Roman" w:cs="Times New Roman"/>
                      <w:color w:val="auto"/>
                      <w:szCs w:val="21"/>
                      <w:highlight w:val="none"/>
                    </w:rPr>
                  </w:pPr>
                  <w:r>
                    <w:rPr>
                      <w:rFonts w:ascii="Times New Roman" w:hAnsi="Times New Roman" w:cs="Times New Roman"/>
                      <w:color w:val="auto"/>
                      <w:szCs w:val="21"/>
                      <w:highlight w:val="none"/>
                    </w:rPr>
                    <w:t>HW49其他废物</w:t>
                  </w:r>
                </w:p>
              </w:tc>
              <w:tc>
                <w:tcPr>
                  <w:tcW w:w="1196" w:type="dxa"/>
                  <w:shd w:val="clear" w:color="auto" w:fill="auto"/>
                  <w:vAlign w:val="center"/>
                </w:tcPr>
                <w:p>
                  <w:pPr>
                    <w:rPr>
                      <w:rFonts w:ascii="Times New Roman" w:hAnsi="Times New Roman" w:cs="Times New Roman"/>
                      <w:color w:val="auto"/>
                      <w:szCs w:val="21"/>
                      <w:highlight w:val="none"/>
                    </w:rPr>
                  </w:pPr>
                  <w:r>
                    <w:rPr>
                      <w:rFonts w:ascii="Times New Roman" w:hAnsi="Times New Roman" w:cs="Times New Roman"/>
                      <w:color w:val="auto"/>
                      <w:szCs w:val="21"/>
                      <w:highlight w:val="none"/>
                    </w:rPr>
                    <w:t>900-041-49</w:t>
                  </w:r>
                </w:p>
              </w:tc>
              <w:tc>
                <w:tcPr>
                  <w:tcW w:w="689" w:type="dxa"/>
                  <w:shd w:val="clear" w:color="auto" w:fill="auto"/>
                  <w:vAlign w:val="center"/>
                </w:tcPr>
                <w:p>
                  <w:pPr>
                    <w:rPr>
                      <w:rFonts w:ascii="Times New Roman" w:hAnsi="Times New Roman" w:cs="Times New Roman"/>
                      <w:color w:val="auto"/>
                      <w:szCs w:val="21"/>
                      <w:highlight w:val="none"/>
                    </w:rPr>
                  </w:pPr>
                  <w:r>
                    <w:rPr>
                      <w:rFonts w:ascii="Times New Roman" w:hAnsi="Times New Roman" w:cs="Times New Roman"/>
                      <w:color w:val="auto"/>
                      <w:szCs w:val="21"/>
                      <w:highlight w:val="none"/>
                    </w:rPr>
                    <w:t>2.14</w:t>
                  </w:r>
                </w:p>
              </w:tc>
              <w:tc>
                <w:tcPr>
                  <w:tcW w:w="889" w:type="dxa"/>
                  <w:shd w:val="clear" w:color="auto" w:fill="auto"/>
                  <w:vAlign w:val="center"/>
                </w:tcPr>
                <w:p>
                  <w:pPr>
                    <w:rPr>
                      <w:rFonts w:ascii="Times New Roman" w:hAnsi="Times New Roman" w:cs="Times New Roman"/>
                      <w:color w:val="auto"/>
                      <w:szCs w:val="21"/>
                      <w:highlight w:val="none"/>
                    </w:rPr>
                  </w:pPr>
                  <w:r>
                    <w:rPr>
                      <w:rFonts w:ascii="Times New Roman" w:hAnsi="Times New Roman" w:cs="Times New Roman"/>
                      <w:color w:val="auto"/>
                      <w:szCs w:val="21"/>
                      <w:highlight w:val="none"/>
                    </w:rPr>
                    <w:t>废气处理装置</w:t>
                  </w:r>
                </w:p>
              </w:tc>
              <w:tc>
                <w:tcPr>
                  <w:tcW w:w="427" w:type="dxa"/>
                  <w:shd w:val="clear" w:color="auto" w:fill="auto"/>
                  <w:vAlign w:val="center"/>
                </w:tcPr>
                <w:p>
                  <w:pPr>
                    <w:rPr>
                      <w:rFonts w:ascii="Times New Roman" w:hAnsi="Times New Roman" w:cs="Times New Roman"/>
                      <w:color w:val="auto"/>
                      <w:szCs w:val="21"/>
                      <w:highlight w:val="none"/>
                    </w:rPr>
                  </w:pPr>
                  <w:r>
                    <w:rPr>
                      <w:rFonts w:ascii="Times New Roman" w:hAnsi="Times New Roman" w:cs="Times New Roman"/>
                      <w:color w:val="auto"/>
                      <w:szCs w:val="21"/>
                      <w:highlight w:val="none"/>
                    </w:rPr>
                    <w:t>固态</w:t>
                  </w:r>
                </w:p>
              </w:tc>
              <w:tc>
                <w:tcPr>
                  <w:tcW w:w="572" w:type="dxa"/>
                  <w:shd w:val="clear" w:color="auto" w:fill="auto"/>
                  <w:vAlign w:val="center"/>
                </w:tcPr>
                <w:p>
                  <w:pPr>
                    <w:rPr>
                      <w:rFonts w:ascii="Times New Roman" w:hAnsi="Times New Roman" w:cs="Times New Roman"/>
                      <w:color w:val="auto"/>
                      <w:szCs w:val="21"/>
                      <w:highlight w:val="none"/>
                    </w:rPr>
                  </w:pPr>
                  <w:r>
                    <w:rPr>
                      <w:rFonts w:ascii="Times New Roman" w:hAnsi="Times New Roman" w:cs="Times New Roman"/>
                      <w:color w:val="auto"/>
                      <w:szCs w:val="21"/>
                      <w:highlight w:val="none"/>
                    </w:rPr>
                    <w:t>活性炭</w:t>
                  </w:r>
                </w:p>
              </w:tc>
              <w:tc>
                <w:tcPr>
                  <w:tcW w:w="572" w:type="dxa"/>
                  <w:shd w:val="clear" w:color="auto" w:fill="auto"/>
                  <w:vAlign w:val="center"/>
                </w:tcPr>
                <w:p>
                  <w:pPr>
                    <w:rPr>
                      <w:rFonts w:ascii="Times New Roman" w:hAnsi="Times New Roman" w:cs="Times New Roman"/>
                      <w:color w:val="auto"/>
                      <w:szCs w:val="21"/>
                      <w:highlight w:val="none"/>
                    </w:rPr>
                  </w:pPr>
                  <w:r>
                    <w:rPr>
                      <w:rFonts w:ascii="Times New Roman" w:hAnsi="Times New Roman" w:cs="Times New Roman"/>
                      <w:color w:val="auto"/>
                      <w:szCs w:val="21"/>
                      <w:highlight w:val="none"/>
                    </w:rPr>
                    <w:t>有机废物</w:t>
                  </w:r>
                </w:p>
              </w:tc>
              <w:tc>
                <w:tcPr>
                  <w:tcW w:w="645" w:type="dxa"/>
                  <w:shd w:val="clear" w:color="auto" w:fill="auto"/>
                  <w:vAlign w:val="center"/>
                </w:tcPr>
                <w:p>
                  <w:pPr>
                    <w:rPr>
                      <w:rFonts w:ascii="Times New Roman" w:hAnsi="Times New Roman" w:cs="Times New Roman"/>
                      <w:color w:val="auto"/>
                      <w:szCs w:val="21"/>
                      <w:highlight w:val="none"/>
                    </w:rPr>
                  </w:pPr>
                  <w:r>
                    <w:rPr>
                      <w:rFonts w:ascii="Times New Roman" w:hAnsi="Times New Roman" w:cs="Times New Roman"/>
                      <w:color w:val="auto"/>
                      <w:szCs w:val="21"/>
                      <w:highlight w:val="none"/>
                    </w:rPr>
                    <w:t>4个月</w:t>
                  </w:r>
                </w:p>
              </w:tc>
              <w:tc>
                <w:tcPr>
                  <w:tcW w:w="427" w:type="dxa"/>
                  <w:shd w:val="clear" w:color="auto" w:fill="auto"/>
                  <w:vAlign w:val="center"/>
                </w:tcPr>
                <w:p>
                  <w:pPr>
                    <w:rPr>
                      <w:rFonts w:ascii="Times New Roman" w:hAnsi="Times New Roman" w:cs="Times New Roman"/>
                      <w:color w:val="auto"/>
                      <w:szCs w:val="21"/>
                      <w:highlight w:val="none"/>
                    </w:rPr>
                  </w:pPr>
                  <w:r>
                    <w:rPr>
                      <w:rFonts w:ascii="Times New Roman" w:hAnsi="Times New Roman" w:cs="Times New Roman"/>
                      <w:color w:val="auto"/>
                      <w:szCs w:val="21"/>
                      <w:highlight w:val="none"/>
                    </w:rPr>
                    <w:t>T</w:t>
                  </w:r>
                </w:p>
              </w:tc>
              <w:tc>
                <w:tcPr>
                  <w:tcW w:w="933" w:type="dxa"/>
                  <w:vMerge w:val="restart"/>
                  <w:shd w:val="clear" w:color="auto" w:fill="auto"/>
                  <w:vAlign w:val="center"/>
                </w:tcPr>
                <w:p>
                  <w:pPr>
                    <w:rPr>
                      <w:rFonts w:ascii="Times New Roman" w:hAnsi="Times New Roman" w:cs="Times New Roman"/>
                      <w:color w:val="auto"/>
                      <w:szCs w:val="21"/>
                      <w:highlight w:val="none"/>
                    </w:rPr>
                  </w:pPr>
                  <w:r>
                    <w:rPr>
                      <w:rFonts w:ascii="Times New Roman" w:hAnsi="Times New Roman" w:cs="Times New Roman"/>
                      <w:color w:val="auto"/>
                      <w:szCs w:val="21"/>
                      <w:highlight w:val="none"/>
                    </w:rPr>
                    <w:t>使用胶桶暂存后定期交由有危险废物资质单位进行处理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27" w:type="dxa"/>
                  <w:shd w:val="clear" w:color="auto" w:fill="auto"/>
                  <w:vAlign w:val="center"/>
                </w:tcPr>
                <w:p>
                  <w:pPr>
                    <w:rPr>
                      <w:rFonts w:ascii="Times New Roman" w:hAnsi="Times New Roman" w:cs="Times New Roman"/>
                      <w:color w:val="auto"/>
                      <w:szCs w:val="21"/>
                      <w:highlight w:val="none"/>
                    </w:rPr>
                  </w:pPr>
                  <w:r>
                    <w:rPr>
                      <w:rFonts w:ascii="Times New Roman" w:hAnsi="Times New Roman" w:cs="Times New Roman"/>
                      <w:color w:val="auto"/>
                      <w:szCs w:val="21"/>
                      <w:highlight w:val="none"/>
                    </w:rPr>
                    <w:t>2</w:t>
                  </w:r>
                </w:p>
              </w:tc>
              <w:tc>
                <w:tcPr>
                  <w:tcW w:w="564" w:type="dxa"/>
                  <w:shd w:val="clear" w:color="auto" w:fill="auto"/>
                  <w:vAlign w:val="center"/>
                </w:tcPr>
                <w:p>
                  <w:pPr>
                    <w:rPr>
                      <w:rFonts w:ascii="Times New Roman" w:hAnsi="Times New Roman" w:cs="Times New Roman"/>
                      <w:color w:val="auto"/>
                      <w:szCs w:val="21"/>
                      <w:highlight w:val="none"/>
                    </w:rPr>
                  </w:pPr>
                  <w:r>
                    <w:rPr>
                      <w:rFonts w:ascii="Times New Roman" w:hAnsi="Times New Roman" w:cs="Times New Roman"/>
                      <w:color w:val="auto"/>
                      <w:szCs w:val="21"/>
                      <w:highlight w:val="none"/>
                    </w:rPr>
                    <w:t>含油废抹布</w:t>
                  </w:r>
                </w:p>
              </w:tc>
              <w:tc>
                <w:tcPr>
                  <w:tcW w:w="955" w:type="dxa"/>
                  <w:shd w:val="clear" w:color="auto" w:fill="auto"/>
                  <w:vAlign w:val="center"/>
                </w:tcPr>
                <w:p>
                  <w:pPr>
                    <w:rPr>
                      <w:rFonts w:ascii="Times New Roman" w:hAnsi="Times New Roman" w:cs="Times New Roman"/>
                      <w:color w:val="auto"/>
                      <w:szCs w:val="21"/>
                      <w:highlight w:val="none"/>
                    </w:rPr>
                  </w:pPr>
                  <w:r>
                    <w:rPr>
                      <w:rFonts w:ascii="Times New Roman" w:hAnsi="Times New Roman" w:cs="Times New Roman"/>
                      <w:color w:val="auto"/>
                      <w:szCs w:val="21"/>
                      <w:highlight w:val="none"/>
                    </w:rPr>
                    <w:t>HW49其他废物</w:t>
                  </w:r>
                </w:p>
              </w:tc>
              <w:tc>
                <w:tcPr>
                  <w:tcW w:w="1196" w:type="dxa"/>
                  <w:shd w:val="clear" w:color="auto" w:fill="auto"/>
                  <w:vAlign w:val="center"/>
                </w:tcPr>
                <w:p>
                  <w:pPr>
                    <w:rPr>
                      <w:rFonts w:ascii="Times New Roman" w:hAnsi="Times New Roman" w:cs="Times New Roman"/>
                      <w:color w:val="auto"/>
                      <w:szCs w:val="21"/>
                      <w:highlight w:val="none"/>
                    </w:rPr>
                  </w:pPr>
                  <w:r>
                    <w:rPr>
                      <w:rFonts w:ascii="Times New Roman" w:hAnsi="Times New Roman" w:cs="Times New Roman"/>
                      <w:color w:val="auto"/>
                      <w:szCs w:val="21"/>
                      <w:highlight w:val="none"/>
                    </w:rPr>
                    <w:t>900-041-49</w:t>
                  </w:r>
                </w:p>
              </w:tc>
              <w:tc>
                <w:tcPr>
                  <w:tcW w:w="689" w:type="dxa"/>
                  <w:shd w:val="clear" w:color="auto" w:fill="auto"/>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0</w:t>
                  </w:r>
                  <w:r>
                    <w:rPr>
                      <w:rFonts w:ascii="Times New Roman" w:hAnsi="Times New Roman" w:cs="Times New Roman"/>
                      <w:color w:val="auto"/>
                      <w:szCs w:val="21"/>
                      <w:highlight w:val="none"/>
                    </w:rPr>
                    <w:t>.1</w:t>
                  </w:r>
                </w:p>
              </w:tc>
              <w:tc>
                <w:tcPr>
                  <w:tcW w:w="889" w:type="dxa"/>
                  <w:shd w:val="clear" w:color="auto" w:fill="auto"/>
                  <w:vAlign w:val="center"/>
                </w:tcPr>
                <w:p>
                  <w:pPr>
                    <w:rPr>
                      <w:rFonts w:ascii="Times New Roman" w:hAnsi="Times New Roman" w:cs="Times New Roman"/>
                      <w:color w:val="auto"/>
                      <w:szCs w:val="21"/>
                      <w:highlight w:val="none"/>
                    </w:rPr>
                  </w:pPr>
                  <w:r>
                    <w:rPr>
                      <w:rFonts w:ascii="Times New Roman" w:hAnsi="Times New Roman" w:cs="Times New Roman"/>
                      <w:color w:val="auto"/>
                      <w:szCs w:val="21"/>
                      <w:highlight w:val="none"/>
                    </w:rPr>
                    <w:t>设备维修保养</w:t>
                  </w:r>
                </w:p>
              </w:tc>
              <w:tc>
                <w:tcPr>
                  <w:tcW w:w="427" w:type="dxa"/>
                  <w:shd w:val="clear" w:color="auto" w:fill="auto"/>
                  <w:vAlign w:val="center"/>
                </w:tcPr>
                <w:p>
                  <w:pPr>
                    <w:rPr>
                      <w:rFonts w:ascii="Times New Roman" w:hAnsi="Times New Roman" w:cs="Times New Roman"/>
                      <w:color w:val="auto"/>
                      <w:szCs w:val="21"/>
                      <w:highlight w:val="none"/>
                    </w:rPr>
                  </w:pPr>
                  <w:r>
                    <w:rPr>
                      <w:rFonts w:ascii="Times New Roman" w:hAnsi="Times New Roman" w:cs="Times New Roman"/>
                      <w:color w:val="auto"/>
                      <w:szCs w:val="21"/>
                      <w:highlight w:val="none"/>
                    </w:rPr>
                    <w:t>固态</w:t>
                  </w:r>
                </w:p>
              </w:tc>
              <w:tc>
                <w:tcPr>
                  <w:tcW w:w="572" w:type="dxa"/>
                  <w:shd w:val="clear" w:color="auto" w:fill="auto"/>
                  <w:vAlign w:val="center"/>
                </w:tcPr>
                <w:p>
                  <w:pPr>
                    <w:rPr>
                      <w:rFonts w:ascii="Times New Roman" w:hAnsi="Times New Roman" w:cs="Times New Roman"/>
                      <w:color w:val="auto"/>
                      <w:szCs w:val="21"/>
                      <w:highlight w:val="none"/>
                    </w:rPr>
                  </w:pPr>
                  <w:r>
                    <w:rPr>
                      <w:rFonts w:ascii="Times New Roman" w:hAnsi="Times New Roman" w:cs="Times New Roman"/>
                      <w:color w:val="auto"/>
                      <w:szCs w:val="21"/>
                      <w:highlight w:val="none"/>
                    </w:rPr>
                    <w:t>抹布及手套</w:t>
                  </w:r>
                </w:p>
              </w:tc>
              <w:tc>
                <w:tcPr>
                  <w:tcW w:w="572" w:type="dxa"/>
                  <w:shd w:val="clear" w:color="auto" w:fill="auto"/>
                  <w:vAlign w:val="center"/>
                </w:tcPr>
                <w:p>
                  <w:pPr>
                    <w:rPr>
                      <w:rFonts w:ascii="Times New Roman" w:hAnsi="Times New Roman" w:cs="Times New Roman"/>
                      <w:color w:val="auto"/>
                      <w:szCs w:val="21"/>
                      <w:highlight w:val="none"/>
                    </w:rPr>
                  </w:pPr>
                  <w:r>
                    <w:rPr>
                      <w:rFonts w:ascii="Times New Roman" w:hAnsi="Times New Roman" w:cs="Times New Roman"/>
                      <w:color w:val="auto"/>
                      <w:szCs w:val="21"/>
                      <w:highlight w:val="none"/>
                    </w:rPr>
                    <w:t>机油</w:t>
                  </w:r>
                </w:p>
              </w:tc>
              <w:tc>
                <w:tcPr>
                  <w:tcW w:w="645" w:type="dxa"/>
                  <w:shd w:val="clear" w:color="auto" w:fill="auto"/>
                  <w:vAlign w:val="center"/>
                </w:tcPr>
                <w:p>
                  <w:pPr>
                    <w:rPr>
                      <w:rFonts w:ascii="Times New Roman" w:hAnsi="Times New Roman" w:cs="Times New Roman"/>
                      <w:color w:val="auto"/>
                      <w:szCs w:val="21"/>
                      <w:highlight w:val="none"/>
                    </w:rPr>
                  </w:pPr>
                  <w:r>
                    <w:rPr>
                      <w:rFonts w:ascii="Times New Roman" w:hAnsi="Times New Roman" w:cs="Times New Roman"/>
                      <w:color w:val="auto"/>
                      <w:szCs w:val="21"/>
                      <w:highlight w:val="none"/>
                    </w:rPr>
                    <w:t>4个月</w:t>
                  </w:r>
                </w:p>
              </w:tc>
              <w:tc>
                <w:tcPr>
                  <w:tcW w:w="427" w:type="dxa"/>
                  <w:shd w:val="clear" w:color="auto" w:fill="auto"/>
                  <w:vAlign w:val="center"/>
                </w:tcPr>
                <w:p>
                  <w:pPr>
                    <w:rPr>
                      <w:rFonts w:ascii="Times New Roman" w:hAnsi="Times New Roman" w:cs="Times New Roman"/>
                      <w:color w:val="auto"/>
                      <w:szCs w:val="21"/>
                      <w:highlight w:val="none"/>
                    </w:rPr>
                  </w:pPr>
                  <w:r>
                    <w:rPr>
                      <w:rFonts w:ascii="Times New Roman" w:hAnsi="Times New Roman" w:cs="Times New Roman"/>
                      <w:color w:val="auto"/>
                      <w:szCs w:val="21"/>
                      <w:highlight w:val="none"/>
                    </w:rPr>
                    <w:t>T</w:t>
                  </w:r>
                </w:p>
              </w:tc>
              <w:tc>
                <w:tcPr>
                  <w:tcW w:w="933" w:type="dxa"/>
                  <w:vMerge w:val="continue"/>
                  <w:shd w:val="clear" w:color="auto" w:fill="auto"/>
                  <w:vAlign w:val="center"/>
                </w:tcPr>
                <w:p>
                  <w:pPr>
                    <w:rPr>
                      <w:rFonts w:ascii="Times New Roman" w:hAnsi="Times New Roman"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14" w:hRule="atLeast"/>
                <w:jc w:val="center"/>
              </w:trPr>
              <w:tc>
                <w:tcPr>
                  <w:tcW w:w="427" w:type="dxa"/>
                  <w:shd w:val="clear" w:color="auto" w:fill="auto"/>
                  <w:vAlign w:val="center"/>
                </w:tcPr>
                <w:p>
                  <w:pPr>
                    <w:rPr>
                      <w:rFonts w:ascii="Times New Roman" w:hAnsi="Times New Roman" w:cs="Times New Roman"/>
                      <w:color w:val="auto"/>
                      <w:szCs w:val="21"/>
                      <w:highlight w:val="none"/>
                    </w:rPr>
                  </w:pPr>
                  <w:r>
                    <w:rPr>
                      <w:rFonts w:ascii="Times New Roman" w:hAnsi="Times New Roman" w:cs="Times New Roman"/>
                      <w:color w:val="auto"/>
                      <w:szCs w:val="21"/>
                      <w:highlight w:val="none"/>
                    </w:rPr>
                    <w:t>3</w:t>
                  </w:r>
                </w:p>
              </w:tc>
              <w:tc>
                <w:tcPr>
                  <w:tcW w:w="564" w:type="dxa"/>
                  <w:shd w:val="clear" w:color="auto" w:fill="auto"/>
                  <w:vAlign w:val="center"/>
                </w:tcPr>
                <w:p>
                  <w:pP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废润滑油</w:t>
                  </w:r>
                </w:p>
              </w:tc>
              <w:tc>
                <w:tcPr>
                  <w:tcW w:w="955" w:type="dxa"/>
                  <w:shd w:val="clear" w:color="auto" w:fill="auto"/>
                  <w:vAlign w:val="center"/>
                </w:tcPr>
                <w:p>
                  <w:pPr>
                    <w:rPr>
                      <w:rFonts w:ascii="Times New Roman" w:hAnsi="Times New Roman" w:cs="Times New Roman"/>
                      <w:color w:val="auto"/>
                      <w:szCs w:val="21"/>
                      <w:highlight w:val="none"/>
                    </w:rPr>
                  </w:pPr>
                  <w:r>
                    <w:rPr>
                      <w:rFonts w:ascii="Times New Roman" w:hAnsi="Times New Roman" w:cs="Times New Roman"/>
                      <w:color w:val="auto"/>
                      <w:szCs w:val="21"/>
                      <w:highlight w:val="none"/>
                    </w:rPr>
                    <w:t>HW09</w:t>
                  </w:r>
                  <w:r>
                    <w:rPr>
                      <w:rFonts w:hint="eastAsia" w:ascii="Times New Roman" w:hAnsi="Times New Roman" w:cs="Times New Roman"/>
                      <w:color w:val="auto"/>
                      <w:szCs w:val="21"/>
                      <w:highlight w:val="none"/>
                    </w:rPr>
                    <w:t>油/水、烃/水混合物或乳化液</w:t>
                  </w:r>
                </w:p>
              </w:tc>
              <w:tc>
                <w:tcPr>
                  <w:tcW w:w="1196" w:type="dxa"/>
                  <w:shd w:val="clear" w:color="auto" w:fill="auto"/>
                  <w:vAlign w:val="center"/>
                </w:tcPr>
                <w:p>
                  <w:pPr>
                    <w:rPr>
                      <w:rFonts w:ascii="Times New Roman" w:hAnsi="Times New Roman" w:cs="Times New Roman"/>
                      <w:color w:val="auto"/>
                      <w:szCs w:val="21"/>
                      <w:highlight w:val="none"/>
                    </w:rPr>
                  </w:pPr>
                  <w:r>
                    <w:rPr>
                      <w:rFonts w:ascii="Times New Roman" w:hAnsi="Times New Roman" w:cs="Times New Roman"/>
                      <w:color w:val="auto"/>
                      <w:szCs w:val="21"/>
                      <w:highlight w:val="none"/>
                    </w:rPr>
                    <w:t>900-006-09</w:t>
                  </w:r>
                </w:p>
              </w:tc>
              <w:tc>
                <w:tcPr>
                  <w:tcW w:w="689" w:type="dxa"/>
                  <w:shd w:val="clear" w:color="auto" w:fill="auto"/>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0</w:t>
                  </w:r>
                  <w:r>
                    <w:rPr>
                      <w:rFonts w:ascii="Times New Roman" w:hAnsi="Times New Roman" w:cs="Times New Roman"/>
                      <w:color w:val="auto"/>
                      <w:szCs w:val="21"/>
                      <w:highlight w:val="none"/>
                    </w:rPr>
                    <w:t>.001</w:t>
                  </w:r>
                </w:p>
              </w:tc>
              <w:tc>
                <w:tcPr>
                  <w:tcW w:w="889" w:type="dxa"/>
                  <w:shd w:val="clear" w:color="auto" w:fill="auto"/>
                  <w:vAlign w:val="center"/>
                </w:tcPr>
                <w:p>
                  <w:pPr>
                    <w:rPr>
                      <w:rFonts w:ascii="Times New Roman" w:hAnsi="Times New Roman" w:cs="Times New Roman"/>
                      <w:color w:val="auto"/>
                      <w:szCs w:val="21"/>
                      <w:highlight w:val="none"/>
                    </w:rPr>
                  </w:pPr>
                  <w:r>
                    <w:rPr>
                      <w:rFonts w:ascii="Times New Roman" w:hAnsi="Times New Roman" w:cs="Times New Roman"/>
                      <w:color w:val="auto"/>
                      <w:szCs w:val="21"/>
                      <w:highlight w:val="none"/>
                    </w:rPr>
                    <w:t>设备维修保养</w:t>
                  </w:r>
                </w:p>
              </w:tc>
              <w:tc>
                <w:tcPr>
                  <w:tcW w:w="427" w:type="dxa"/>
                  <w:shd w:val="clear" w:color="auto" w:fill="auto"/>
                  <w:vAlign w:val="center"/>
                </w:tcPr>
                <w:p>
                  <w:pP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液态</w:t>
                  </w:r>
                </w:p>
              </w:tc>
              <w:tc>
                <w:tcPr>
                  <w:tcW w:w="572" w:type="dxa"/>
                  <w:shd w:val="clear" w:color="auto" w:fill="auto"/>
                  <w:vAlign w:val="center"/>
                </w:tcPr>
                <w:p>
                  <w:pP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机油</w:t>
                  </w:r>
                </w:p>
              </w:tc>
              <w:tc>
                <w:tcPr>
                  <w:tcW w:w="572" w:type="dxa"/>
                  <w:shd w:val="clear" w:color="auto" w:fill="auto"/>
                  <w:vAlign w:val="center"/>
                </w:tcPr>
                <w:p>
                  <w:pPr>
                    <w:rPr>
                      <w:rFonts w:ascii="Times New Roman" w:hAnsi="Times New Roman" w:cs="Times New Roman"/>
                      <w:color w:val="auto"/>
                      <w:szCs w:val="21"/>
                      <w:highlight w:val="none"/>
                    </w:rPr>
                  </w:pPr>
                  <w:r>
                    <w:rPr>
                      <w:rFonts w:ascii="Times New Roman" w:hAnsi="Times New Roman" w:cs="Times New Roman"/>
                      <w:color w:val="auto"/>
                      <w:szCs w:val="21"/>
                      <w:highlight w:val="none"/>
                    </w:rPr>
                    <w:t>机油</w:t>
                  </w:r>
                </w:p>
              </w:tc>
              <w:tc>
                <w:tcPr>
                  <w:tcW w:w="645" w:type="dxa"/>
                  <w:shd w:val="clear" w:color="auto" w:fill="auto"/>
                  <w:vAlign w:val="center"/>
                </w:tcPr>
                <w:p>
                  <w:pPr>
                    <w:rPr>
                      <w:rFonts w:ascii="Times New Roman" w:hAnsi="Times New Roman" w:cs="Times New Roman"/>
                      <w:color w:val="auto"/>
                      <w:szCs w:val="21"/>
                      <w:highlight w:val="none"/>
                    </w:rPr>
                  </w:pPr>
                  <w:r>
                    <w:rPr>
                      <w:rFonts w:ascii="Times New Roman" w:hAnsi="Times New Roman" w:cs="Times New Roman"/>
                      <w:color w:val="auto"/>
                      <w:szCs w:val="21"/>
                      <w:highlight w:val="none"/>
                    </w:rPr>
                    <w:t>4个月</w:t>
                  </w:r>
                </w:p>
              </w:tc>
              <w:tc>
                <w:tcPr>
                  <w:tcW w:w="427" w:type="dxa"/>
                  <w:shd w:val="clear" w:color="auto" w:fill="auto"/>
                  <w:vAlign w:val="center"/>
                </w:tcPr>
                <w:p>
                  <w:pPr>
                    <w:rPr>
                      <w:rFonts w:ascii="Times New Roman" w:hAnsi="Times New Roman" w:cs="Times New Roman"/>
                      <w:color w:val="auto"/>
                      <w:szCs w:val="21"/>
                      <w:highlight w:val="none"/>
                    </w:rPr>
                  </w:pPr>
                  <w:r>
                    <w:rPr>
                      <w:rFonts w:ascii="Times New Roman" w:hAnsi="Times New Roman" w:cs="Times New Roman"/>
                      <w:color w:val="auto"/>
                      <w:szCs w:val="21"/>
                      <w:highlight w:val="none"/>
                    </w:rPr>
                    <w:t>T</w:t>
                  </w:r>
                </w:p>
              </w:tc>
              <w:tc>
                <w:tcPr>
                  <w:tcW w:w="933" w:type="dxa"/>
                  <w:vMerge w:val="continue"/>
                  <w:shd w:val="clear" w:color="auto" w:fill="auto"/>
                  <w:vAlign w:val="center"/>
                </w:tcPr>
                <w:p>
                  <w:pPr>
                    <w:rPr>
                      <w:rFonts w:ascii="Times New Roman" w:hAnsi="Times New Roman"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27" w:type="dxa"/>
                  <w:shd w:val="clear" w:color="auto" w:fill="auto"/>
                  <w:vAlign w:val="center"/>
                </w:tcPr>
                <w:p>
                  <w:pPr>
                    <w:rPr>
                      <w:rFonts w:ascii="Times New Roman" w:hAnsi="Times New Roman" w:cs="Times New Roman"/>
                      <w:color w:val="auto"/>
                      <w:szCs w:val="21"/>
                      <w:highlight w:val="none"/>
                    </w:rPr>
                  </w:pPr>
                  <w:r>
                    <w:rPr>
                      <w:rFonts w:ascii="Times New Roman" w:hAnsi="Times New Roman" w:cs="Times New Roman"/>
                      <w:color w:val="auto"/>
                      <w:szCs w:val="21"/>
                      <w:highlight w:val="none"/>
                    </w:rPr>
                    <w:t>4</w:t>
                  </w:r>
                </w:p>
              </w:tc>
              <w:tc>
                <w:tcPr>
                  <w:tcW w:w="564" w:type="dxa"/>
                  <w:shd w:val="clear" w:color="auto" w:fill="auto"/>
                  <w:vAlign w:val="center"/>
                </w:tcPr>
                <w:p>
                  <w:pP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废UV光管</w:t>
                  </w:r>
                </w:p>
              </w:tc>
              <w:tc>
                <w:tcPr>
                  <w:tcW w:w="955" w:type="dxa"/>
                  <w:shd w:val="clear" w:color="auto" w:fill="auto"/>
                  <w:vAlign w:val="center"/>
                </w:tcPr>
                <w:p>
                  <w:pP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HW29含汞废物</w:t>
                  </w:r>
                </w:p>
              </w:tc>
              <w:tc>
                <w:tcPr>
                  <w:tcW w:w="1196" w:type="dxa"/>
                  <w:shd w:val="clear" w:color="auto" w:fill="auto"/>
                  <w:vAlign w:val="center"/>
                </w:tcPr>
                <w:p>
                  <w:pPr>
                    <w:rPr>
                      <w:rFonts w:ascii="Times New Roman" w:hAnsi="Times New Roman" w:cs="Times New Roman"/>
                      <w:color w:val="auto"/>
                      <w:szCs w:val="21"/>
                      <w:highlight w:val="none"/>
                    </w:rPr>
                  </w:pPr>
                  <w:r>
                    <w:rPr>
                      <w:rFonts w:ascii="Times New Roman" w:hAnsi="Times New Roman" w:cs="Times New Roman"/>
                      <w:color w:val="auto"/>
                      <w:szCs w:val="21"/>
                      <w:highlight w:val="none"/>
                    </w:rPr>
                    <w:t>900-023-29</w:t>
                  </w:r>
                </w:p>
              </w:tc>
              <w:tc>
                <w:tcPr>
                  <w:tcW w:w="689" w:type="dxa"/>
                  <w:shd w:val="clear" w:color="auto" w:fill="auto"/>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0</w:t>
                  </w:r>
                  <w:r>
                    <w:rPr>
                      <w:rFonts w:ascii="Times New Roman" w:hAnsi="Times New Roman" w:cs="Times New Roman"/>
                      <w:color w:val="auto"/>
                      <w:szCs w:val="21"/>
                      <w:highlight w:val="none"/>
                    </w:rPr>
                    <w:t>.01</w:t>
                  </w:r>
                </w:p>
              </w:tc>
              <w:tc>
                <w:tcPr>
                  <w:tcW w:w="889" w:type="dxa"/>
                  <w:shd w:val="clear" w:color="auto" w:fill="auto"/>
                  <w:vAlign w:val="center"/>
                </w:tcPr>
                <w:p>
                  <w:pPr>
                    <w:rPr>
                      <w:rFonts w:ascii="Times New Roman" w:hAnsi="Times New Roman" w:cs="Times New Roman"/>
                      <w:color w:val="auto"/>
                      <w:szCs w:val="21"/>
                      <w:highlight w:val="none"/>
                    </w:rPr>
                  </w:pPr>
                  <w:r>
                    <w:rPr>
                      <w:rFonts w:ascii="Times New Roman" w:hAnsi="Times New Roman" w:cs="Times New Roman"/>
                      <w:color w:val="auto"/>
                      <w:szCs w:val="21"/>
                      <w:highlight w:val="none"/>
                    </w:rPr>
                    <w:t>废气处理装置</w:t>
                  </w:r>
                </w:p>
              </w:tc>
              <w:tc>
                <w:tcPr>
                  <w:tcW w:w="427" w:type="dxa"/>
                  <w:shd w:val="clear" w:color="auto" w:fill="auto"/>
                  <w:vAlign w:val="center"/>
                </w:tcPr>
                <w:p>
                  <w:pPr>
                    <w:rPr>
                      <w:rFonts w:ascii="Times New Roman" w:hAnsi="Times New Roman" w:cs="Times New Roman"/>
                      <w:color w:val="auto"/>
                      <w:szCs w:val="21"/>
                      <w:highlight w:val="none"/>
                    </w:rPr>
                  </w:pPr>
                  <w:r>
                    <w:rPr>
                      <w:rFonts w:ascii="Times New Roman" w:hAnsi="Times New Roman" w:cs="Times New Roman"/>
                      <w:color w:val="auto"/>
                      <w:szCs w:val="21"/>
                      <w:highlight w:val="none"/>
                    </w:rPr>
                    <w:t>固态</w:t>
                  </w:r>
                </w:p>
              </w:tc>
              <w:tc>
                <w:tcPr>
                  <w:tcW w:w="572" w:type="dxa"/>
                  <w:shd w:val="clear" w:color="auto" w:fill="auto"/>
                  <w:vAlign w:val="center"/>
                </w:tcPr>
                <w:p>
                  <w:pP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灯管</w:t>
                  </w:r>
                </w:p>
              </w:tc>
              <w:tc>
                <w:tcPr>
                  <w:tcW w:w="572" w:type="dxa"/>
                  <w:shd w:val="clear" w:color="auto" w:fill="auto"/>
                  <w:vAlign w:val="center"/>
                </w:tcPr>
                <w:p>
                  <w:pP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含汞废物</w:t>
                  </w:r>
                </w:p>
              </w:tc>
              <w:tc>
                <w:tcPr>
                  <w:tcW w:w="645" w:type="dxa"/>
                  <w:shd w:val="clear" w:color="auto" w:fill="auto"/>
                  <w:vAlign w:val="center"/>
                </w:tcPr>
                <w:p>
                  <w:pPr>
                    <w:rPr>
                      <w:rFonts w:ascii="Times New Roman" w:hAnsi="Times New Roman" w:cs="Times New Roman"/>
                      <w:color w:val="auto"/>
                      <w:szCs w:val="21"/>
                      <w:highlight w:val="none"/>
                    </w:rPr>
                  </w:pPr>
                  <w:r>
                    <w:rPr>
                      <w:rFonts w:ascii="Times New Roman" w:hAnsi="Times New Roman" w:cs="Times New Roman"/>
                      <w:color w:val="auto"/>
                      <w:szCs w:val="21"/>
                      <w:highlight w:val="none"/>
                    </w:rPr>
                    <w:t>4个月</w:t>
                  </w:r>
                </w:p>
              </w:tc>
              <w:tc>
                <w:tcPr>
                  <w:tcW w:w="427" w:type="dxa"/>
                  <w:shd w:val="clear" w:color="auto" w:fill="auto"/>
                  <w:vAlign w:val="center"/>
                </w:tcPr>
                <w:p>
                  <w:pPr>
                    <w:rPr>
                      <w:rFonts w:ascii="Times New Roman" w:hAnsi="Times New Roman" w:cs="Times New Roman"/>
                      <w:color w:val="auto"/>
                      <w:szCs w:val="21"/>
                      <w:highlight w:val="none"/>
                    </w:rPr>
                  </w:pPr>
                  <w:r>
                    <w:rPr>
                      <w:rFonts w:ascii="Times New Roman" w:hAnsi="Times New Roman" w:cs="Times New Roman"/>
                      <w:color w:val="auto"/>
                      <w:szCs w:val="21"/>
                      <w:highlight w:val="none"/>
                    </w:rPr>
                    <w:t>T</w:t>
                  </w:r>
                </w:p>
              </w:tc>
              <w:tc>
                <w:tcPr>
                  <w:tcW w:w="933" w:type="dxa"/>
                  <w:vMerge w:val="continue"/>
                  <w:shd w:val="clear" w:color="auto" w:fill="auto"/>
                  <w:vAlign w:val="center"/>
                </w:tcPr>
                <w:p>
                  <w:pPr>
                    <w:rPr>
                      <w:rFonts w:ascii="Times New Roman" w:hAnsi="Times New Roman" w:cs="Times New Roman"/>
                      <w:color w:val="auto"/>
                      <w:szCs w:val="21"/>
                      <w:highlight w:val="none"/>
                    </w:rPr>
                  </w:pPr>
                </w:p>
              </w:tc>
            </w:tr>
          </w:tbl>
          <w:p>
            <w:pPr>
              <w:spacing w:line="360" w:lineRule="auto"/>
              <w:ind w:firstLine="480" w:firstLineChars="200"/>
              <w:rPr>
                <w:rFonts w:ascii="Times New Roman" w:hAnsi="Times New Roman" w:eastAsia="宋体" w:cs="Times New Roman"/>
                <w:bCs/>
                <w:color w:val="auto"/>
                <w:sz w:val="24"/>
                <w:highlight w:val="none"/>
              </w:rPr>
            </w:pPr>
          </w:p>
        </w:tc>
      </w:tr>
    </w:tbl>
    <w:p>
      <w:pPr>
        <w:pStyle w:val="3"/>
        <w:spacing w:before="0" w:after="0" w:line="240" w:lineRule="auto"/>
        <w:jc w:val="left"/>
        <w:rPr>
          <w:rFonts w:ascii="Times New Roman" w:hAnsi="Times New Roman" w:eastAsia="宋体" w:cs="Times New Roman"/>
          <w:color w:val="auto"/>
          <w:highlight w:val="none"/>
        </w:rPr>
      </w:pPr>
      <w:bookmarkStart w:id="20" w:name="_Toc6523"/>
      <w:bookmarkStart w:id="21" w:name="_Toc19818"/>
      <w:r>
        <w:rPr>
          <w:rFonts w:ascii="Times New Roman" w:hAnsi="Times New Roman" w:eastAsia="宋体" w:cs="Times New Roman"/>
          <w:color w:val="auto"/>
          <w:sz w:val="32"/>
          <w:szCs w:val="32"/>
          <w:highlight w:val="none"/>
        </w:rPr>
        <w:br w:type="page"/>
      </w:r>
      <w:r>
        <w:rPr>
          <w:rFonts w:ascii="Times New Roman" w:hAnsi="Times New Roman" w:eastAsia="宋体" w:cs="Times New Roman"/>
          <w:color w:val="auto"/>
          <w:sz w:val="32"/>
          <w:szCs w:val="32"/>
          <w:highlight w:val="none"/>
        </w:rPr>
        <mc:AlternateContent>
          <mc:Choice Requires="wps">
            <w:drawing>
              <wp:anchor distT="0" distB="0" distL="114300" distR="114300" simplePos="0" relativeHeight="251262976" behindDoc="0" locked="0" layoutInCell="1" allowOverlap="1">
                <wp:simplePos x="0" y="0"/>
                <wp:positionH relativeFrom="column">
                  <wp:posOffset>-164465</wp:posOffset>
                </wp:positionH>
                <wp:positionV relativeFrom="paragraph">
                  <wp:posOffset>353060</wp:posOffset>
                </wp:positionV>
                <wp:extent cx="510540" cy="269875"/>
                <wp:effectExtent l="0" t="0" r="0" b="0"/>
                <wp:wrapNone/>
                <wp:docPr id="56" name="文本框 116"/>
                <wp:cNvGraphicFramePr/>
                <a:graphic xmlns:a="http://schemas.openxmlformats.org/drawingml/2006/main">
                  <a:graphicData uri="http://schemas.microsoft.com/office/word/2010/wordprocessingShape">
                    <wps:wsp>
                      <wps:cNvSpPr txBox="1"/>
                      <wps:spPr>
                        <a:xfrm>
                          <a:off x="0" y="0"/>
                          <a:ext cx="510540" cy="269875"/>
                        </a:xfrm>
                        <a:prstGeom prst="rect">
                          <a:avLst/>
                        </a:prstGeom>
                        <a:noFill/>
                        <a:ln>
                          <a:noFill/>
                        </a:ln>
                      </wps:spPr>
                      <wps:txbx>
                        <w:txbxContent>
                          <w:p>
                            <w:pPr>
                              <w:rPr>
                                <w:rFonts w:ascii="宋体" w:hAnsi="宋体" w:eastAsia="宋体" w:cs="宋体"/>
                                <w:b/>
                                <w:bCs/>
                              </w:rPr>
                            </w:pPr>
                            <w:r>
                              <w:rPr>
                                <w:rFonts w:hint="eastAsia" w:ascii="宋体" w:hAnsi="宋体" w:eastAsia="宋体" w:cs="宋体"/>
                                <w:b/>
                                <w:bCs/>
                              </w:rPr>
                              <w:t>类型</w:t>
                            </w:r>
                          </w:p>
                        </w:txbxContent>
                      </wps:txbx>
                      <wps:bodyPr upright="1"/>
                    </wps:wsp>
                  </a:graphicData>
                </a:graphic>
              </wp:anchor>
            </w:drawing>
          </mc:Choice>
          <mc:Fallback>
            <w:pict>
              <v:shape id="文本框 116" o:spid="_x0000_s1026" o:spt="202" type="#_x0000_t202" style="position:absolute;left:0pt;margin-left:-12.95pt;margin-top:27.8pt;height:21.25pt;width:40.2pt;z-index:251262976;mso-width-relative:page;mso-height-relative:page;" filled="f" stroked="f" coordsize="21600,21600" o:gfxdata="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W4zdJ1gAAAAgBAAAPAAAAAAAAAAEAIAAAACIAAABkcnMv&#10;ZG93bnJldi54bWxQSwECFAAUAAAACACHTuJAex6/GZMBAAACAwAADgAAAAAAAAABACAAAAAlAQAA&#10;ZHJzL2Uyb0RvYy54bWxQSwUGAAAAAAYABgBZAQAAKgUAAAAA&#10;">
                <v:fill on="f" focussize="0,0"/>
                <v:stroke on="f"/>
                <v:imagedata o:title=""/>
                <o:lock v:ext="edit" aspectratio="f"/>
                <v:textbox>
                  <w:txbxContent>
                    <w:p>
                      <w:pPr>
                        <w:rPr>
                          <w:rFonts w:ascii="宋体" w:hAnsi="宋体" w:eastAsia="宋体" w:cs="宋体"/>
                          <w:b/>
                          <w:bCs/>
                        </w:rPr>
                      </w:pPr>
                      <w:r>
                        <w:rPr>
                          <w:rFonts w:hint="eastAsia" w:ascii="宋体" w:hAnsi="宋体" w:eastAsia="宋体" w:cs="宋体"/>
                          <w:b/>
                          <w:bCs/>
                        </w:rPr>
                        <w:t>类型</w:t>
                      </w:r>
                    </w:p>
                  </w:txbxContent>
                </v:textbox>
              </v:shape>
            </w:pict>
          </mc:Fallback>
        </mc:AlternateContent>
      </w:r>
      <w:r>
        <w:rPr>
          <w:rFonts w:ascii="Times New Roman" w:hAnsi="Times New Roman" w:eastAsia="宋体" w:cs="Times New Roman"/>
          <w:color w:val="auto"/>
          <w:sz w:val="32"/>
          <w:szCs w:val="32"/>
          <w:highlight w:val="none"/>
        </w:rPr>
        <w:t>六、项目营运期主要污染物产生及预计排放情况</w:t>
      </w:r>
      <w:bookmarkEnd w:id="20"/>
      <w:bookmarkEnd w:id="21"/>
    </w:p>
    <w:tbl>
      <w:tblPr>
        <w:tblStyle w:val="23"/>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Layout w:type="fixed"/>
        <w:tblCellMar>
          <w:top w:w="0" w:type="dxa"/>
          <w:left w:w="108" w:type="dxa"/>
          <w:bottom w:w="0" w:type="dxa"/>
          <w:right w:w="108" w:type="dxa"/>
        </w:tblCellMar>
      </w:tblPr>
      <w:tblGrid>
        <w:gridCol w:w="655"/>
        <w:gridCol w:w="1325"/>
        <w:gridCol w:w="425"/>
        <w:gridCol w:w="851"/>
        <w:gridCol w:w="1559"/>
        <w:gridCol w:w="1134"/>
        <w:gridCol w:w="1559"/>
        <w:gridCol w:w="1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Layout w:type="fixed"/>
          <w:tblCellMar>
            <w:top w:w="0" w:type="dxa"/>
            <w:left w:w="108" w:type="dxa"/>
            <w:bottom w:w="0" w:type="dxa"/>
            <w:right w:w="108" w:type="dxa"/>
          </w:tblCellMar>
        </w:tblPrEx>
        <w:trPr>
          <w:trHeight w:val="454" w:hRule="atLeast"/>
          <w:jc w:val="center"/>
        </w:trPr>
        <w:tc>
          <w:tcPr>
            <w:tcW w:w="655" w:type="dxa"/>
            <w:tcBorders>
              <w:tl2br w:val="nil"/>
              <w:tr2bl w:val="nil"/>
            </w:tcBorders>
            <w:vAlign w:val="center"/>
          </w:tcPr>
          <w:p>
            <w:pPr>
              <w:jc w:val="center"/>
              <w:rPr>
                <w:rFonts w:ascii="Times New Roman" w:hAnsi="Times New Roman" w:eastAsia="宋体" w:cs="Times New Roman"/>
                <w:b/>
                <w:color w:val="auto"/>
                <w:szCs w:val="21"/>
                <w:highlight w:val="none"/>
              </w:rPr>
            </w:pPr>
            <w:r>
              <w:rPr>
                <w:rFonts w:ascii="Times New Roman" w:hAnsi="Times New Roman" w:cs="Times New Roman"/>
                <w:color w:val="auto"/>
                <w:szCs w:val="21"/>
                <w:highlight w:val="none"/>
              </w:rPr>
              <mc:AlternateContent>
                <mc:Choice Requires="wps">
                  <w:drawing>
                    <wp:anchor distT="0" distB="0" distL="114300" distR="114300" simplePos="0" relativeHeight="251567104" behindDoc="0" locked="0" layoutInCell="1" allowOverlap="1">
                      <wp:simplePos x="0" y="0"/>
                      <wp:positionH relativeFrom="column">
                        <wp:posOffset>-141605</wp:posOffset>
                      </wp:positionH>
                      <wp:positionV relativeFrom="paragraph">
                        <wp:posOffset>180340</wp:posOffset>
                      </wp:positionV>
                      <wp:extent cx="510540" cy="269875"/>
                      <wp:effectExtent l="0" t="0" r="0" b="0"/>
                      <wp:wrapNone/>
                      <wp:docPr id="111" name="文本框 117"/>
                      <wp:cNvGraphicFramePr/>
                      <a:graphic xmlns:a="http://schemas.openxmlformats.org/drawingml/2006/main">
                        <a:graphicData uri="http://schemas.microsoft.com/office/word/2010/wordprocessingShape">
                          <wps:wsp>
                            <wps:cNvSpPr txBox="1"/>
                            <wps:spPr>
                              <a:xfrm>
                                <a:off x="0" y="0"/>
                                <a:ext cx="510540" cy="269875"/>
                              </a:xfrm>
                              <a:prstGeom prst="rect">
                                <a:avLst/>
                              </a:prstGeom>
                              <a:noFill/>
                              <a:ln>
                                <a:noFill/>
                              </a:ln>
                            </wps:spPr>
                            <wps:txbx>
                              <w:txbxContent>
                                <w:p>
                                  <w:pPr>
                                    <w:rPr>
                                      <w:rFonts w:ascii="宋体" w:hAnsi="宋体" w:eastAsia="宋体" w:cs="宋体"/>
                                      <w:b/>
                                      <w:bCs/>
                                    </w:rPr>
                                  </w:pPr>
                                  <w:r>
                                    <w:rPr>
                                      <w:rFonts w:hint="eastAsia" w:ascii="宋体" w:hAnsi="宋体" w:eastAsia="宋体" w:cs="宋体"/>
                                      <w:b/>
                                      <w:bCs/>
                                    </w:rPr>
                                    <w:t>内容</w:t>
                                  </w:r>
                                </w:p>
                              </w:txbxContent>
                            </wps:txbx>
                            <wps:bodyPr upright="1"/>
                          </wps:wsp>
                        </a:graphicData>
                      </a:graphic>
                    </wp:anchor>
                  </w:drawing>
                </mc:Choice>
                <mc:Fallback>
                  <w:pict>
                    <v:shape id="文本框 117" o:spid="_x0000_s1026" o:spt="202" type="#_x0000_t202" style="position:absolute;left:0pt;margin-left:-11.15pt;margin-top:14.2pt;height:21.25pt;width:40.2pt;z-index:251567104;mso-width-relative:page;mso-height-relative:page;" filled="f" stroked="f" coordsize="21600,21600" o:gfxdata="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Kde3xNcAAAAIAQAADwAAAAAAAAABACAAAAAiAAAAZHJz&#10;L2Rvd25yZXYueG1sUEsBAhQAFAAAAAgAh07iQLsWYJCTAQAAAwMAAA4AAAAAAAAAAQAgAAAAJgEA&#10;AGRycy9lMm9Eb2MueG1sUEsFBgAAAAAGAAYAWQEAACsFAAAAAA==&#10;">
                      <v:fill on="f" focussize="0,0"/>
                      <v:stroke on="f"/>
                      <v:imagedata o:title=""/>
                      <o:lock v:ext="edit" aspectratio="f"/>
                      <v:textbox>
                        <w:txbxContent>
                          <w:p>
                            <w:pPr>
                              <w:rPr>
                                <w:rFonts w:ascii="宋体" w:hAnsi="宋体" w:eastAsia="宋体" w:cs="宋体"/>
                                <w:b/>
                                <w:bCs/>
                              </w:rPr>
                            </w:pPr>
                            <w:r>
                              <w:rPr>
                                <w:rFonts w:hint="eastAsia" w:ascii="宋体" w:hAnsi="宋体" w:eastAsia="宋体" w:cs="宋体"/>
                                <w:b/>
                                <w:bCs/>
                              </w:rPr>
                              <w:t>内容</w:t>
                            </w:r>
                          </w:p>
                        </w:txbxContent>
                      </v:textbox>
                    </v:shape>
                  </w:pict>
                </mc:Fallback>
              </mc:AlternateContent>
            </w:r>
            <w:r>
              <w:rPr>
                <w:rFonts w:ascii="Times New Roman" w:hAnsi="Times New Roman" w:cs="Times New Roman"/>
                <w:color w:val="auto"/>
                <w:szCs w:val="21"/>
                <w:highlight w:val="none"/>
              </w:rPr>
              <mc:AlternateContent>
                <mc:Choice Requires="wps">
                  <w:drawing>
                    <wp:anchor distT="0" distB="0" distL="114300" distR="114300" simplePos="0" relativeHeight="251230208" behindDoc="0" locked="0" layoutInCell="1" allowOverlap="1">
                      <wp:simplePos x="0" y="0"/>
                      <wp:positionH relativeFrom="column">
                        <wp:posOffset>-58420</wp:posOffset>
                      </wp:positionH>
                      <wp:positionV relativeFrom="paragraph">
                        <wp:posOffset>6985</wp:posOffset>
                      </wp:positionV>
                      <wp:extent cx="433070" cy="399415"/>
                      <wp:effectExtent l="3175" t="3810" r="20955" b="15875"/>
                      <wp:wrapNone/>
                      <wp:docPr id="55" name="直线 115"/>
                      <wp:cNvGraphicFramePr/>
                      <a:graphic xmlns:a="http://schemas.openxmlformats.org/drawingml/2006/main">
                        <a:graphicData uri="http://schemas.microsoft.com/office/word/2010/wordprocessingShape">
                          <wps:wsp>
                            <wps:cNvCnPr/>
                            <wps:spPr>
                              <a:xfrm>
                                <a:off x="0" y="0"/>
                                <a:ext cx="433070" cy="399415"/>
                              </a:xfrm>
                              <a:prstGeom prst="line">
                                <a:avLst/>
                              </a:prstGeom>
                              <a:ln w="6350" cap="flat" cmpd="sng">
                                <a:solidFill>
                                  <a:srgbClr val="000000"/>
                                </a:solidFill>
                                <a:prstDash val="solid"/>
                                <a:headEnd type="none" w="med" len="med"/>
                                <a:tailEnd type="none" w="med" len="med"/>
                              </a:ln>
                            </wps:spPr>
                            <wps:bodyPr/>
                          </wps:wsp>
                        </a:graphicData>
                      </a:graphic>
                    </wp:anchor>
                  </w:drawing>
                </mc:Choice>
                <mc:Fallback>
                  <w:pict>
                    <v:line id="直线 115" o:spid="_x0000_s1026" o:spt="20" style="position:absolute;left:0pt;margin-left:-4.6pt;margin-top:0.55pt;height:31.45pt;width:34.1pt;z-index:251230208;mso-width-relative:page;mso-height-relative:page;" filled="f" stroked="t" coordsize="21600,21600" o:gfxdata="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MXjjQtQAAAAGAQAADwAAAAAAAAABACAAAAAiAAAAZHJzL2Rv&#10;d25yZXYueG1sUEsBAhQAFAAAAAgAh07iQMD5pXTMAQAAiAMAAA4AAAAAAAAAAQAgAAAAIwEAAGRy&#10;cy9lMm9Eb2MueG1sUEsFBgAAAAAGAAYAWQEAAGEFAAAAAA==&#10;">
                      <v:fill on="f" focussize="0,0"/>
                      <v:stroke weight="0.5pt" color="#000000" joinstyle="round"/>
                      <v:imagedata o:title=""/>
                      <o:lock v:ext="edit" aspectratio="f"/>
                    </v:line>
                  </w:pict>
                </mc:Fallback>
              </mc:AlternateContent>
            </w:r>
          </w:p>
        </w:tc>
        <w:tc>
          <w:tcPr>
            <w:tcW w:w="1325" w:type="dxa"/>
            <w:tcBorders>
              <w:tl2br w:val="nil"/>
              <w:tr2bl w:val="nil"/>
            </w:tcBorders>
            <w:vAlign w:val="center"/>
          </w:tcPr>
          <w:p>
            <w:pPr>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排放源</w:t>
            </w:r>
          </w:p>
          <w:p>
            <w:pPr>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（编号）</w:t>
            </w:r>
          </w:p>
        </w:tc>
        <w:tc>
          <w:tcPr>
            <w:tcW w:w="1276" w:type="dxa"/>
            <w:gridSpan w:val="2"/>
            <w:tcBorders>
              <w:tl2br w:val="nil"/>
              <w:tr2bl w:val="nil"/>
            </w:tcBorders>
            <w:vAlign w:val="center"/>
          </w:tcPr>
          <w:p>
            <w:pPr>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污染物名称</w:t>
            </w:r>
          </w:p>
        </w:tc>
        <w:tc>
          <w:tcPr>
            <w:tcW w:w="2693" w:type="dxa"/>
            <w:gridSpan w:val="2"/>
            <w:tcBorders>
              <w:tl2br w:val="nil"/>
              <w:tr2bl w:val="nil"/>
            </w:tcBorders>
            <w:vAlign w:val="center"/>
          </w:tcPr>
          <w:p>
            <w:pPr>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产生浓度及产生量</w:t>
            </w:r>
          </w:p>
        </w:tc>
        <w:tc>
          <w:tcPr>
            <w:tcW w:w="2573" w:type="dxa"/>
            <w:gridSpan w:val="2"/>
            <w:tcBorders>
              <w:tl2br w:val="nil"/>
              <w:tr2bl w:val="nil"/>
            </w:tcBorders>
            <w:vAlign w:val="center"/>
          </w:tcPr>
          <w:p>
            <w:pPr>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排放浓度及排放量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Layout w:type="fixed"/>
          <w:tblCellMar>
            <w:top w:w="0" w:type="dxa"/>
            <w:left w:w="108" w:type="dxa"/>
            <w:bottom w:w="0" w:type="dxa"/>
            <w:right w:w="108" w:type="dxa"/>
          </w:tblCellMar>
        </w:tblPrEx>
        <w:trPr>
          <w:trHeight w:val="454" w:hRule="atLeast"/>
          <w:jc w:val="center"/>
        </w:trPr>
        <w:tc>
          <w:tcPr>
            <w:tcW w:w="655" w:type="dxa"/>
            <w:vMerge w:val="restart"/>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大</w:t>
            </w:r>
          </w:p>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气</w:t>
            </w:r>
          </w:p>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污</w:t>
            </w:r>
          </w:p>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染</w:t>
            </w:r>
          </w:p>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物</w:t>
            </w:r>
          </w:p>
        </w:tc>
        <w:tc>
          <w:tcPr>
            <w:tcW w:w="1325" w:type="dxa"/>
            <w:vMerge w:val="restart"/>
            <w:tcBorders>
              <w:tl2br w:val="nil"/>
              <w:tr2bl w:val="nil"/>
            </w:tcBorders>
            <w:vAlign w:val="center"/>
          </w:tcPr>
          <w:p>
            <w:pPr>
              <w:jc w:val="center"/>
              <w:rPr>
                <w:rFonts w:ascii="Times New Roman" w:hAnsi="Times New Roman" w:eastAsia="宋体" w:cs="Times New Roman"/>
                <w:bCs/>
                <w:color w:val="auto"/>
                <w:szCs w:val="21"/>
                <w:highlight w:val="none"/>
              </w:rPr>
            </w:pPr>
            <w:r>
              <w:rPr>
                <w:rFonts w:hint="eastAsia" w:ascii="Times New Roman" w:hAnsi="Times New Roman" w:eastAsia="宋体" w:cs="Times New Roman"/>
                <w:bCs/>
                <w:color w:val="auto"/>
                <w:szCs w:val="21"/>
                <w:highlight w:val="none"/>
              </w:rPr>
              <w:t>发泡废气</w:t>
            </w:r>
          </w:p>
        </w:tc>
        <w:tc>
          <w:tcPr>
            <w:tcW w:w="425" w:type="dxa"/>
            <w:vMerge w:val="restart"/>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非甲烷总烃</w:t>
            </w:r>
          </w:p>
        </w:tc>
        <w:tc>
          <w:tcPr>
            <w:tcW w:w="851"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有组织</w:t>
            </w:r>
          </w:p>
        </w:tc>
        <w:tc>
          <w:tcPr>
            <w:tcW w:w="1559"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cs="Times New Roman"/>
                <w:color w:val="auto"/>
                <w:szCs w:val="21"/>
                <w:highlight w:val="none"/>
              </w:rPr>
              <w:t>22.8846</w:t>
            </w:r>
            <w:r>
              <w:rPr>
                <w:rFonts w:ascii="Times New Roman" w:hAnsi="Times New Roman" w:eastAsia="宋体" w:cs="Times New Roman"/>
                <w:bCs/>
                <w:color w:val="auto"/>
                <w:szCs w:val="21"/>
                <w:highlight w:val="none"/>
              </w:rPr>
              <w:t>mg/m</w:t>
            </w:r>
            <w:r>
              <w:rPr>
                <w:rFonts w:ascii="Times New Roman" w:hAnsi="Times New Roman" w:eastAsia="宋体" w:cs="Times New Roman"/>
                <w:bCs/>
                <w:color w:val="auto"/>
                <w:szCs w:val="21"/>
                <w:highlight w:val="none"/>
                <w:vertAlign w:val="superscript"/>
              </w:rPr>
              <w:t>3</w:t>
            </w:r>
          </w:p>
        </w:tc>
        <w:tc>
          <w:tcPr>
            <w:tcW w:w="1134"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cs="Times New Roman"/>
                <w:color w:val="auto"/>
                <w:szCs w:val="21"/>
                <w:highlight w:val="none"/>
              </w:rPr>
              <w:t>0.3570</w:t>
            </w:r>
            <w:r>
              <w:rPr>
                <w:rFonts w:ascii="Times New Roman" w:hAnsi="Times New Roman" w:eastAsia="宋体" w:cs="Times New Roman"/>
                <w:bCs/>
                <w:color w:val="auto"/>
                <w:szCs w:val="21"/>
                <w:highlight w:val="none"/>
              </w:rPr>
              <w:t>t/a</w:t>
            </w:r>
          </w:p>
        </w:tc>
        <w:tc>
          <w:tcPr>
            <w:tcW w:w="1559"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cs="Times New Roman"/>
                <w:color w:val="auto"/>
                <w:szCs w:val="21"/>
                <w:highlight w:val="none"/>
              </w:rPr>
              <w:t>4.5769</w:t>
            </w:r>
            <w:r>
              <w:rPr>
                <w:rFonts w:ascii="Times New Roman" w:hAnsi="Times New Roman" w:eastAsia="宋体" w:cs="Times New Roman"/>
                <w:bCs/>
                <w:color w:val="auto"/>
                <w:szCs w:val="21"/>
                <w:highlight w:val="none"/>
              </w:rPr>
              <w:t>mg/m</w:t>
            </w:r>
            <w:r>
              <w:rPr>
                <w:rFonts w:ascii="Times New Roman" w:hAnsi="Times New Roman" w:eastAsia="宋体" w:cs="Times New Roman"/>
                <w:bCs/>
                <w:color w:val="auto"/>
                <w:szCs w:val="21"/>
                <w:highlight w:val="none"/>
                <w:vertAlign w:val="superscript"/>
              </w:rPr>
              <w:t>3</w:t>
            </w:r>
          </w:p>
        </w:tc>
        <w:tc>
          <w:tcPr>
            <w:tcW w:w="1014"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cs="Times New Roman"/>
                <w:color w:val="auto"/>
                <w:szCs w:val="21"/>
                <w:highlight w:val="none"/>
              </w:rPr>
              <w:t>0.0714</w:t>
            </w:r>
            <w:r>
              <w:rPr>
                <w:rFonts w:ascii="Times New Roman" w:hAnsi="Times New Roman" w:eastAsia="宋体" w:cs="Times New Roman"/>
                <w:bCs/>
                <w:color w:val="auto"/>
                <w:szCs w:val="21"/>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Layout w:type="fixed"/>
          <w:tblCellMar>
            <w:top w:w="0" w:type="dxa"/>
            <w:left w:w="108" w:type="dxa"/>
            <w:bottom w:w="0" w:type="dxa"/>
            <w:right w:w="108" w:type="dxa"/>
          </w:tblCellMar>
        </w:tblPrEx>
        <w:trPr>
          <w:trHeight w:val="454" w:hRule="atLeast"/>
          <w:jc w:val="center"/>
        </w:trPr>
        <w:tc>
          <w:tcPr>
            <w:tcW w:w="655" w:type="dxa"/>
            <w:vMerge w:val="continue"/>
            <w:tcBorders>
              <w:tl2br w:val="nil"/>
              <w:tr2bl w:val="nil"/>
            </w:tcBorders>
            <w:vAlign w:val="center"/>
          </w:tcPr>
          <w:p>
            <w:pPr>
              <w:jc w:val="center"/>
              <w:rPr>
                <w:rFonts w:ascii="Times New Roman" w:hAnsi="Times New Roman" w:eastAsia="宋体" w:cs="Times New Roman"/>
                <w:bCs/>
                <w:color w:val="auto"/>
                <w:szCs w:val="21"/>
                <w:highlight w:val="none"/>
              </w:rPr>
            </w:pPr>
          </w:p>
        </w:tc>
        <w:tc>
          <w:tcPr>
            <w:tcW w:w="1325" w:type="dxa"/>
            <w:vMerge w:val="continue"/>
            <w:tcBorders>
              <w:tl2br w:val="nil"/>
              <w:tr2bl w:val="nil"/>
            </w:tcBorders>
            <w:vAlign w:val="center"/>
          </w:tcPr>
          <w:p>
            <w:pPr>
              <w:jc w:val="center"/>
              <w:rPr>
                <w:rFonts w:ascii="Times New Roman" w:hAnsi="Times New Roman" w:eastAsia="宋体" w:cs="Times New Roman"/>
                <w:bCs/>
                <w:color w:val="auto"/>
                <w:szCs w:val="21"/>
                <w:highlight w:val="none"/>
              </w:rPr>
            </w:pPr>
          </w:p>
        </w:tc>
        <w:tc>
          <w:tcPr>
            <w:tcW w:w="425" w:type="dxa"/>
            <w:vMerge w:val="continue"/>
            <w:tcBorders>
              <w:tl2br w:val="nil"/>
              <w:tr2bl w:val="nil"/>
            </w:tcBorders>
            <w:vAlign w:val="center"/>
          </w:tcPr>
          <w:p>
            <w:pPr>
              <w:jc w:val="center"/>
              <w:rPr>
                <w:rFonts w:ascii="Times New Roman" w:hAnsi="Times New Roman" w:eastAsia="宋体" w:cs="Times New Roman"/>
                <w:bCs/>
                <w:color w:val="auto"/>
                <w:szCs w:val="21"/>
                <w:highlight w:val="none"/>
              </w:rPr>
            </w:pPr>
          </w:p>
        </w:tc>
        <w:tc>
          <w:tcPr>
            <w:tcW w:w="851"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无组织</w:t>
            </w:r>
          </w:p>
        </w:tc>
        <w:tc>
          <w:tcPr>
            <w:tcW w:w="2693" w:type="dxa"/>
            <w:gridSpan w:val="2"/>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cs="Times New Roman"/>
                <w:color w:val="auto"/>
                <w:szCs w:val="21"/>
                <w:highlight w:val="none"/>
              </w:rPr>
              <w:t>0.0525</w:t>
            </w:r>
            <w:r>
              <w:rPr>
                <w:rFonts w:hint="eastAsia" w:ascii="Times New Roman" w:hAnsi="Times New Roman" w:cs="Times New Roman"/>
                <w:color w:val="auto"/>
                <w:szCs w:val="21"/>
                <w:highlight w:val="none"/>
              </w:rPr>
              <w:t>kg/h，</w:t>
            </w:r>
            <w:r>
              <w:rPr>
                <w:rFonts w:ascii="Times New Roman" w:hAnsi="Times New Roman" w:cs="Times New Roman"/>
                <w:color w:val="auto"/>
                <w:szCs w:val="21"/>
                <w:highlight w:val="none"/>
              </w:rPr>
              <w:t>0.0630</w:t>
            </w:r>
            <w:r>
              <w:rPr>
                <w:rFonts w:ascii="Times New Roman" w:hAnsi="Times New Roman" w:eastAsia="宋体" w:cs="Times New Roman"/>
                <w:bCs/>
                <w:color w:val="auto"/>
                <w:szCs w:val="21"/>
                <w:highlight w:val="none"/>
              </w:rPr>
              <w:t>t/a</w:t>
            </w:r>
          </w:p>
        </w:tc>
        <w:tc>
          <w:tcPr>
            <w:tcW w:w="2573" w:type="dxa"/>
            <w:gridSpan w:val="2"/>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cs="Times New Roman"/>
                <w:color w:val="auto"/>
                <w:szCs w:val="21"/>
                <w:highlight w:val="none"/>
              </w:rPr>
              <w:t>0.0525</w:t>
            </w:r>
            <w:r>
              <w:rPr>
                <w:rFonts w:hint="eastAsia" w:ascii="Times New Roman" w:hAnsi="Times New Roman" w:cs="Times New Roman"/>
                <w:color w:val="auto"/>
                <w:szCs w:val="21"/>
                <w:highlight w:val="none"/>
              </w:rPr>
              <w:t>kg/h，</w:t>
            </w:r>
            <w:r>
              <w:rPr>
                <w:rFonts w:ascii="Times New Roman" w:hAnsi="Times New Roman" w:cs="Times New Roman"/>
                <w:color w:val="auto"/>
                <w:szCs w:val="21"/>
                <w:highlight w:val="none"/>
              </w:rPr>
              <w:t>0.0630</w:t>
            </w:r>
            <w:r>
              <w:rPr>
                <w:rFonts w:ascii="Times New Roman" w:hAnsi="Times New Roman" w:eastAsia="宋体" w:cs="Times New Roman"/>
                <w:bCs/>
                <w:color w:val="auto"/>
                <w:szCs w:val="21"/>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Layout w:type="fixed"/>
          <w:tblCellMar>
            <w:top w:w="0" w:type="dxa"/>
            <w:left w:w="108" w:type="dxa"/>
            <w:bottom w:w="0" w:type="dxa"/>
            <w:right w:w="108" w:type="dxa"/>
          </w:tblCellMar>
        </w:tblPrEx>
        <w:trPr>
          <w:trHeight w:val="454" w:hRule="atLeast"/>
          <w:jc w:val="center"/>
        </w:trPr>
        <w:tc>
          <w:tcPr>
            <w:tcW w:w="655" w:type="dxa"/>
            <w:vMerge w:val="continue"/>
            <w:tcBorders>
              <w:tl2br w:val="nil"/>
              <w:tr2bl w:val="nil"/>
            </w:tcBorders>
            <w:vAlign w:val="center"/>
          </w:tcPr>
          <w:p>
            <w:pPr>
              <w:jc w:val="center"/>
              <w:rPr>
                <w:rFonts w:ascii="Times New Roman" w:hAnsi="Times New Roman" w:eastAsia="宋体" w:cs="Times New Roman"/>
                <w:bCs/>
                <w:color w:val="auto"/>
                <w:szCs w:val="21"/>
                <w:highlight w:val="none"/>
              </w:rPr>
            </w:pPr>
          </w:p>
        </w:tc>
        <w:tc>
          <w:tcPr>
            <w:tcW w:w="1325" w:type="dxa"/>
            <w:vMerge w:val="restart"/>
            <w:tcBorders>
              <w:tl2br w:val="nil"/>
              <w:tr2bl w:val="nil"/>
            </w:tcBorders>
            <w:vAlign w:val="center"/>
          </w:tcPr>
          <w:p>
            <w:pPr>
              <w:jc w:val="center"/>
              <w:rPr>
                <w:rFonts w:ascii="Times New Roman" w:hAnsi="Times New Roman" w:eastAsia="宋体" w:cs="Times New Roman"/>
                <w:bCs/>
                <w:color w:val="auto"/>
                <w:szCs w:val="21"/>
                <w:highlight w:val="none"/>
              </w:rPr>
            </w:pPr>
            <w:r>
              <w:rPr>
                <w:rFonts w:hint="eastAsia" w:ascii="Times New Roman" w:hAnsi="Times New Roman" w:eastAsia="宋体" w:cs="Times New Roman"/>
                <w:bCs/>
                <w:color w:val="auto"/>
                <w:szCs w:val="21"/>
                <w:highlight w:val="none"/>
              </w:rPr>
              <w:t>成型废气</w:t>
            </w:r>
          </w:p>
        </w:tc>
        <w:tc>
          <w:tcPr>
            <w:tcW w:w="425" w:type="dxa"/>
            <w:vMerge w:val="continue"/>
            <w:tcBorders>
              <w:tl2br w:val="nil"/>
              <w:tr2bl w:val="nil"/>
            </w:tcBorders>
            <w:vAlign w:val="center"/>
          </w:tcPr>
          <w:p>
            <w:pPr>
              <w:jc w:val="center"/>
              <w:rPr>
                <w:rFonts w:ascii="Times New Roman" w:hAnsi="Times New Roman" w:eastAsia="宋体" w:cs="Times New Roman"/>
                <w:bCs/>
                <w:color w:val="auto"/>
                <w:szCs w:val="21"/>
                <w:highlight w:val="none"/>
              </w:rPr>
            </w:pPr>
          </w:p>
        </w:tc>
        <w:tc>
          <w:tcPr>
            <w:tcW w:w="851"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有组织</w:t>
            </w:r>
          </w:p>
        </w:tc>
        <w:tc>
          <w:tcPr>
            <w:tcW w:w="1559" w:type="dxa"/>
            <w:tcBorders>
              <w:tl2br w:val="nil"/>
              <w:tr2bl w:val="nil"/>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61.7885</w:t>
            </w:r>
            <w:r>
              <w:rPr>
                <w:rFonts w:ascii="Times New Roman" w:hAnsi="Times New Roman" w:eastAsia="宋体" w:cs="Times New Roman"/>
                <w:bCs/>
                <w:color w:val="auto"/>
                <w:szCs w:val="21"/>
                <w:highlight w:val="none"/>
              </w:rPr>
              <w:t>mg/m</w:t>
            </w:r>
            <w:r>
              <w:rPr>
                <w:rFonts w:ascii="Times New Roman" w:hAnsi="Times New Roman" w:eastAsia="宋体" w:cs="Times New Roman"/>
                <w:bCs/>
                <w:color w:val="auto"/>
                <w:szCs w:val="21"/>
                <w:highlight w:val="none"/>
                <w:vertAlign w:val="superscript"/>
              </w:rPr>
              <w:t>3</w:t>
            </w:r>
          </w:p>
        </w:tc>
        <w:tc>
          <w:tcPr>
            <w:tcW w:w="1134" w:type="dxa"/>
            <w:tcBorders>
              <w:tl2br w:val="nil"/>
              <w:tr2bl w:val="nil"/>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1.9278</w:t>
            </w:r>
            <w:r>
              <w:rPr>
                <w:rFonts w:ascii="Times New Roman" w:hAnsi="Times New Roman" w:eastAsia="宋体" w:cs="Times New Roman"/>
                <w:bCs/>
                <w:color w:val="auto"/>
                <w:szCs w:val="21"/>
                <w:highlight w:val="none"/>
              </w:rPr>
              <w:t>t/a</w:t>
            </w:r>
          </w:p>
        </w:tc>
        <w:tc>
          <w:tcPr>
            <w:tcW w:w="1559" w:type="dxa"/>
            <w:tcBorders>
              <w:tl2br w:val="nil"/>
              <w:tr2bl w:val="nil"/>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12.3577</w:t>
            </w:r>
            <w:r>
              <w:rPr>
                <w:rFonts w:ascii="Times New Roman" w:hAnsi="Times New Roman" w:eastAsia="宋体" w:cs="Times New Roman"/>
                <w:bCs/>
                <w:color w:val="auto"/>
                <w:szCs w:val="21"/>
                <w:highlight w:val="none"/>
              </w:rPr>
              <w:t>mg/m</w:t>
            </w:r>
            <w:r>
              <w:rPr>
                <w:rFonts w:ascii="Times New Roman" w:hAnsi="Times New Roman" w:eastAsia="宋体" w:cs="Times New Roman"/>
                <w:bCs/>
                <w:color w:val="auto"/>
                <w:szCs w:val="21"/>
                <w:highlight w:val="none"/>
                <w:vertAlign w:val="superscript"/>
              </w:rPr>
              <w:t>3</w:t>
            </w:r>
          </w:p>
        </w:tc>
        <w:tc>
          <w:tcPr>
            <w:tcW w:w="1014" w:type="dxa"/>
            <w:tcBorders>
              <w:tl2br w:val="nil"/>
              <w:tr2bl w:val="nil"/>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0.3856</w:t>
            </w:r>
            <w:r>
              <w:rPr>
                <w:rFonts w:ascii="Times New Roman" w:hAnsi="Times New Roman" w:eastAsia="宋体" w:cs="Times New Roman"/>
                <w:bCs/>
                <w:color w:val="auto"/>
                <w:szCs w:val="21"/>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Layout w:type="fixed"/>
          <w:tblCellMar>
            <w:top w:w="0" w:type="dxa"/>
            <w:left w:w="108" w:type="dxa"/>
            <w:bottom w:w="0" w:type="dxa"/>
            <w:right w:w="108" w:type="dxa"/>
          </w:tblCellMar>
        </w:tblPrEx>
        <w:trPr>
          <w:trHeight w:val="454" w:hRule="atLeast"/>
          <w:jc w:val="center"/>
        </w:trPr>
        <w:tc>
          <w:tcPr>
            <w:tcW w:w="655" w:type="dxa"/>
            <w:vMerge w:val="continue"/>
            <w:tcBorders>
              <w:tl2br w:val="nil"/>
              <w:tr2bl w:val="nil"/>
            </w:tcBorders>
            <w:vAlign w:val="center"/>
          </w:tcPr>
          <w:p>
            <w:pPr>
              <w:jc w:val="center"/>
              <w:rPr>
                <w:rFonts w:ascii="Times New Roman" w:hAnsi="Times New Roman" w:eastAsia="宋体" w:cs="Times New Roman"/>
                <w:bCs/>
                <w:color w:val="auto"/>
                <w:szCs w:val="21"/>
                <w:highlight w:val="none"/>
              </w:rPr>
            </w:pPr>
          </w:p>
        </w:tc>
        <w:tc>
          <w:tcPr>
            <w:tcW w:w="1325" w:type="dxa"/>
            <w:vMerge w:val="continue"/>
            <w:tcBorders>
              <w:tl2br w:val="nil"/>
              <w:tr2bl w:val="nil"/>
            </w:tcBorders>
            <w:vAlign w:val="center"/>
          </w:tcPr>
          <w:p>
            <w:pPr>
              <w:jc w:val="center"/>
              <w:rPr>
                <w:rFonts w:ascii="Times New Roman" w:hAnsi="Times New Roman" w:eastAsia="宋体" w:cs="Times New Roman"/>
                <w:bCs/>
                <w:color w:val="auto"/>
                <w:szCs w:val="21"/>
                <w:highlight w:val="none"/>
              </w:rPr>
            </w:pPr>
          </w:p>
        </w:tc>
        <w:tc>
          <w:tcPr>
            <w:tcW w:w="425" w:type="dxa"/>
            <w:vMerge w:val="continue"/>
            <w:tcBorders>
              <w:tl2br w:val="nil"/>
              <w:tr2bl w:val="nil"/>
            </w:tcBorders>
            <w:vAlign w:val="center"/>
          </w:tcPr>
          <w:p>
            <w:pPr>
              <w:jc w:val="center"/>
              <w:rPr>
                <w:rFonts w:ascii="Times New Roman" w:hAnsi="Times New Roman" w:eastAsia="宋体" w:cs="Times New Roman"/>
                <w:bCs/>
                <w:color w:val="auto"/>
                <w:szCs w:val="21"/>
                <w:highlight w:val="none"/>
              </w:rPr>
            </w:pPr>
          </w:p>
        </w:tc>
        <w:tc>
          <w:tcPr>
            <w:tcW w:w="851"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无组织</w:t>
            </w:r>
          </w:p>
        </w:tc>
        <w:tc>
          <w:tcPr>
            <w:tcW w:w="2693" w:type="dxa"/>
            <w:gridSpan w:val="2"/>
            <w:tcBorders>
              <w:tl2br w:val="nil"/>
              <w:tr2bl w:val="nil"/>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0.1418</w:t>
            </w:r>
            <w:r>
              <w:rPr>
                <w:rFonts w:hint="eastAsia" w:ascii="Times New Roman" w:hAnsi="Times New Roman" w:cs="Times New Roman"/>
                <w:color w:val="auto"/>
                <w:szCs w:val="21"/>
                <w:highlight w:val="none"/>
              </w:rPr>
              <w:t>kg/h，</w:t>
            </w:r>
            <w:r>
              <w:rPr>
                <w:rFonts w:ascii="Times New Roman" w:hAnsi="Times New Roman" w:cs="Times New Roman"/>
                <w:color w:val="auto"/>
                <w:szCs w:val="21"/>
                <w:highlight w:val="none"/>
              </w:rPr>
              <w:t>0.3402</w:t>
            </w:r>
            <w:r>
              <w:rPr>
                <w:rFonts w:ascii="Times New Roman" w:hAnsi="Times New Roman" w:eastAsia="宋体" w:cs="Times New Roman"/>
                <w:bCs/>
                <w:color w:val="auto"/>
                <w:szCs w:val="21"/>
                <w:highlight w:val="none"/>
              </w:rPr>
              <w:t>t/a</w:t>
            </w:r>
          </w:p>
        </w:tc>
        <w:tc>
          <w:tcPr>
            <w:tcW w:w="2573" w:type="dxa"/>
            <w:gridSpan w:val="2"/>
            <w:tcBorders>
              <w:tl2br w:val="nil"/>
              <w:tr2bl w:val="nil"/>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0.1418</w:t>
            </w:r>
            <w:r>
              <w:rPr>
                <w:rFonts w:hint="eastAsia" w:ascii="Times New Roman" w:hAnsi="Times New Roman" w:cs="Times New Roman"/>
                <w:color w:val="auto"/>
                <w:szCs w:val="21"/>
                <w:highlight w:val="none"/>
              </w:rPr>
              <w:t>kg/h，</w:t>
            </w:r>
            <w:r>
              <w:rPr>
                <w:rFonts w:ascii="Times New Roman" w:hAnsi="Times New Roman" w:cs="Times New Roman"/>
                <w:color w:val="auto"/>
                <w:szCs w:val="21"/>
                <w:highlight w:val="none"/>
              </w:rPr>
              <w:t>0.3402</w:t>
            </w:r>
            <w:r>
              <w:rPr>
                <w:rFonts w:ascii="Times New Roman" w:hAnsi="Times New Roman" w:eastAsia="宋体" w:cs="Times New Roman"/>
                <w:bCs/>
                <w:color w:val="auto"/>
                <w:szCs w:val="21"/>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Layout w:type="fixed"/>
          <w:tblCellMar>
            <w:top w:w="0" w:type="dxa"/>
            <w:left w:w="108" w:type="dxa"/>
            <w:bottom w:w="0" w:type="dxa"/>
            <w:right w:w="108" w:type="dxa"/>
          </w:tblCellMar>
        </w:tblPrEx>
        <w:trPr>
          <w:trHeight w:val="454" w:hRule="atLeast"/>
          <w:jc w:val="center"/>
        </w:trPr>
        <w:tc>
          <w:tcPr>
            <w:tcW w:w="655" w:type="dxa"/>
            <w:vMerge w:val="continue"/>
            <w:tcBorders>
              <w:tl2br w:val="nil"/>
              <w:tr2bl w:val="nil"/>
            </w:tcBorders>
            <w:vAlign w:val="center"/>
          </w:tcPr>
          <w:p>
            <w:pPr>
              <w:jc w:val="center"/>
              <w:rPr>
                <w:rFonts w:ascii="Times New Roman" w:hAnsi="Times New Roman" w:eastAsia="宋体" w:cs="Times New Roman"/>
                <w:bCs/>
                <w:color w:val="auto"/>
                <w:szCs w:val="21"/>
                <w:highlight w:val="none"/>
              </w:rPr>
            </w:pPr>
          </w:p>
        </w:tc>
        <w:tc>
          <w:tcPr>
            <w:tcW w:w="1325"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cs="Times New Roman"/>
                <w:bCs/>
                <w:color w:val="auto"/>
                <w:szCs w:val="21"/>
                <w:highlight w:val="none"/>
              </w:rPr>
              <w:t>饭堂油烟</w:t>
            </w:r>
          </w:p>
        </w:tc>
        <w:tc>
          <w:tcPr>
            <w:tcW w:w="1276" w:type="dxa"/>
            <w:gridSpan w:val="2"/>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cs="Times New Roman"/>
                <w:bCs/>
                <w:color w:val="auto"/>
                <w:szCs w:val="21"/>
                <w:highlight w:val="none"/>
              </w:rPr>
              <w:t>油烟</w:t>
            </w:r>
          </w:p>
        </w:tc>
        <w:tc>
          <w:tcPr>
            <w:tcW w:w="2693" w:type="dxa"/>
            <w:gridSpan w:val="2"/>
            <w:tcBorders>
              <w:tl2br w:val="nil"/>
              <w:tr2bl w:val="nil"/>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0.0126t/a</w:t>
            </w:r>
          </w:p>
        </w:tc>
        <w:tc>
          <w:tcPr>
            <w:tcW w:w="2573" w:type="dxa"/>
            <w:gridSpan w:val="2"/>
            <w:tcBorders>
              <w:tl2br w:val="nil"/>
              <w:tr2bl w:val="nil"/>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0.00504t/a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Layout w:type="fixed"/>
          <w:tblCellMar>
            <w:top w:w="0" w:type="dxa"/>
            <w:left w:w="108" w:type="dxa"/>
            <w:bottom w:w="0" w:type="dxa"/>
            <w:right w:w="108" w:type="dxa"/>
          </w:tblCellMar>
        </w:tblPrEx>
        <w:trPr>
          <w:trHeight w:val="454" w:hRule="atLeast"/>
          <w:jc w:val="center"/>
        </w:trPr>
        <w:tc>
          <w:tcPr>
            <w:tcW w:w="655" w:type="dxa"/>
            <w:vMerge w:val="restart"/>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水</w:t>
            </w:r>
          </w:p>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污</w:t>
            </w:r>
          </w:p>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染</w:t>
            </w:r>
          </w:p>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物</w:t>
            </w:r>
          </w:p>
        </w:tc>
        <w:tc>
          <w:tcPr>
            <w:tcW w:w="1325" w:type="dxa"/>
            <w:vMerge w:val="restart"/>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生活污水</w:t>
            </w:r>
            <w:r>
              <w:rPr>
                <w:rFonts w:hint="eastAsia" w:ascii="Times New Roman" w:hAnsi="Times New Roman" w:eastAsia="宋体" w:cs="Times New Roman"/>
                <w:bCs/>
                <w:color w:val="auto"/>
                <w:szCs w:val="21"/>
                <w:highlight w:val="none"/>
              </w:rPr>
              <w:t>+冷却水</w:t>
            </w:r>
            <w:r>
              <w:rPr>
                <w:rFonts w:ascii="Times New Roman" w:hAnsi="Times New Roman" w:cs="Times New Roman"/>
                <w:color w:val="auto"/>
                <w:szCs w:val="21"/>
                <w:highlight w:val="none"/>
              </w:rPr>
              <w:t>（434m</w:t>
            </w:r>
            <w:r>
              <w:rPr>
                <w:rFonts w:ascii="Times New Roman" w:hAnsi="Times New Roman" w:cs="Times New Roman"/>
                <w:color w:val="auto"/>
                <w:szCs w:val="21"/>
                <w:highlight w:val="none"/>
                <w:vertAlign w:val="superscript"/>
              </w:rPr>
              <w:t>3</w:t>
            </w:r>
            <w:r>
              <w:rPr>
                <w:rFonts w:ascii="Times New Roman" w:hAnsi="Times New Roman" w:cs="Times New Roman"/>
                <w:color w:val="auto"/>
                <w:szCs w:val="21"/>
                <w:highlight w:val="none"/>
              </w:rPr>
              <w:t>/a）</w:t>
            </w:r>
          </w:p>
        </w:tc>
        <w:tc>
          <w:tcPr>
            <w:tcW w:w="1276" w:type="dxa"/>
            <w:gridSpan w:val="2"/>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COD</w:t>
            </w:r>
            <w:r>
              <w:rPr>
                <w:rFonts w:ascii="Times New Roman" w:hAnsi="Times New Roman" w:eastAsia="宋体" w:cs="Times New Roman"/>
                <w:bCs/>
                <w:color w:val="auto"/>
                <w:szCs w:val="21"/>
                <w:highlight w:val="none"/>
                <w:vertAlign w:val="subscript"/>
              </w:rPr>
              <w:t>cr</w:t>
            </w:r>
          </w:p>
        </w:tc>
        <w:tc>
          <w:tcPr>
            <w:tcW w:w="1559" w:type="dxa"/>
            <w:tcBorders>
              <w:right w:val="single" w:color="auto" w:sz="4" w:space="0"/>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300mg/L</w:t>
            </w:r>
          </w:p>
        </w:tc>
        <w:tc>
          <w:tcPr>
            <w:tcW w:w="1134" w:type="dxa"/>
            <w:tcBorders>
              <w:left w:val="single" w:color="auto" w:sz="4" w:space="0"/>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cs="Times New Roman"/>
                <w:color w:val="auto"/>
                <w:szCs w:val="21"/>
                <w:highlight w:val="none"/>
              </w:rPr>
              <w:t>0.13</w:t>
            </w:r>
            <w:r>
              <w:rPr>
                <w:rFonts w:ascii="Times New Roman" w:hAnsi="Times New Roman" w:eastAsia="宋体" w:cs="Times New Roman"/>
                <w:bCs/>
                <w:color w:val="auto"/>
                <w:szCs w:val="21"/>
                <w:highlight w:val="none"/>
              </w:rPr>
              <w:t>t/a</w:t>
            </w:r>
          </w:p>
        </w:tc>
        <w:tc>
          <w:tcPr>
            <w:tcW w:w="1559" w:type="dxa"/>
            <w:tcBorders>
              <w:right w:val="single" w:color="auto" w:sz="4" w:space="0"/>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cs="Times New Roman"/>
                <w:color w:val="auto"/>
                <w:kern w:val="0"/>
                <w:szCs w:val="21"/>
                <w:highlight w:val="none"/>
              </w:rPr>
              <w:t>80</w:t>
            </w:r>
            <w:r>
              <w:rPr>
                <w:rFonts w:ascii="Times New Roman" w:hAnsi="Times New Roman" w:eastAsia="宋体" w:cs="Times New Roman"/>
                <w:bCs/>
                <w:color w:val="auto"/>
                <w:szCs w:val="21"/>
                <w:highlight w:val="none"/>
              </w:rPr>
              <w:t>mg/L</w:t>
            </w:r>
          </w:p>
        </w:tc>
        <w:tc>
          <w:tcPr>
            <w:tcW w:w="1014" w:type="dxa"/>
            <w:tcBorders>
              <w:left w:val="single" w:color="auto" w:sz="4" w:space="0"/>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cs="Times New Roman"/>
                <w:color w:val="auto"/>
                <w:szCs w:val="21"/>
                <w:highlight w:val="none"/>
              </w:rPr>
              <w:t>0.035</w:t>
            </w:r>
            <w:r>
              <w:rPr>
                <w:rFonts w:ascii="Times New Roman" w:hAnsi="Times New Roman" w:eastAsia="宋体" w:cs="Times New Roman"/>
                <w:bCs/>
                <w:color w:val="auto"/>
                <w:szCs w:val="21"/>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Layout w:type="fixed"/>
          <w:tblCellMar>
            <w:top w:w="0" w:type="dxa"/>
            <w:left w:w="108" w:type="dxa"/>
            <w:bottom w:w="0" w:type="dxa"/>
            <w:right w:w="108" w:type="dxa"/>
          </w:tblCellMar>
        </w:tblPrEx>
        <w:trPr>
          <w:trHeight w:val="454" w:hRule="atLeast"/>
          <w:jc w:val="center"/>
        </w:trPr>
        <w:tc>
          <w:tcPr>
            <w:tcW w:w="655" w:type="dxa"/>
            <w:vMerge w:val="continue"/>
            <w:tcBorders>
              <w:tl2br w:val="nil"/>
              <w:tr2bl w:val="nil"/>
            </w:tcBorders>
            <w:vAlign w:val="center"/>
          </w:tcPr>
          <w:p>
            <w:pPr>
              <w:jc w:val="center"/>
              <w:rPr>
                <w:rFonts w:ascii="Times New Roman" w:hAnsi="Times New Roman" w:eastAsia="宋体" w:cs="Times New Roman"/>
                <w:bCs/>
                <w:color w:val="auto"/>
                <w:szCs w:val="21"/>
                <w:highlight w:val="none"/>
              </w:rPr>
            </w:pPr>
          </w:p>
        </w:tc>
        <w:tc>
          <w:tcPr>
            <w:tcW w:w="1325" w:type="dxa"/>
            <w:vMerge w:val="continue"/>
            <w:tcBorders>
              <w:tl2br w:val="nil"/>
              <w:tr2bl w:val="nil"/>
            </w:tcBorders>
            <w:vAlign w:val="center"/>
          </w:tcPr>
          <w:p>
            <w:pPr>
              <w:jc w:val="center"/>
              <w:rPr>
                <w:rFonts w:ascii="Times New Roman" w:hAnsi="Times New Roman" w:eastAsia="宋体" w:cs="Times New Roman"/>
                <w:bCs/>
                <w:color w:val="auto"/>
                <w:szCs w:val="21"/>
                <w:highlight w:val="none"/>
              </w:rPr>
            </w:pPr>
          </w:p>
        </w:tc>
        <w:tc>
          <w:tcPr>
            <w:tcW w:w="1276" w:type="dxa"/>
            <w:gridSpan w:val="2"/>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BOD</w:t>
            </w:r>
            <w:r>
              <w:rPr>
                <w:rFonts w:ascii="Times New Roman" w:hAnsi="Times New Roman" w:eastAsia="宋体" w:cs="Times New Roman"/>
                <w:bCs/>
                <w:color w:val="auto"/>
                <w:szCs w:val="21"/>
                <w:highlight w:val="none"/>
                <w:vertAlign w:val="subscript"/>
              </w:rPr>
              <w:t>5</w:t>
            </w:r>
          </w:p>
        </w:tc>
        <w:tc>
          <w:tcPr>
            <w:tcW w:w="1559"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cs="Times New Roman"/>
                <w:color w:val="auto"/>
                <w:szCs w:val="21"/>
                <w:highlight w:val="none"/>
              </w:rPr>
              <w:t>150</w:t>
            </w:r>
            <w:r>
              <w:rPr>
                <w:rFonts w:ascii="Times New Roman" w:hAnsi="Times New Roman" w:eastAsia="宋体" w:cs="Times New Roman"/>
                <w:bCs/>
                <w:color w:val="auto"/>
                <w:szCs w:val="21"/>
                <w:highlight w:val="none"/>
              </w:rPr>
              <w:t>mg/L</w:t>
            </w:r>
          </w:p>
        </w:tc>
        <w:tc>
          <w:tcPr>
            <w:tcW w:w="1134"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cs="Times New Roman"/>
                <w:color w:val="auto"/>
                <w:szCs w:val="21"/>
                <w:highlight w:val="none"/>
              </w:rPr>
              <w:t>0.065</w:t>
            </w:r>
            <w:r>
              <w:rPr>
                <w:rFonts w:ascii="Times New Roman" w:hAnsi="Times New Roman" w:eastAsia="宋体" w:cs="Times New Roman"/>
                <w:bCs/>
                <w:color w:val="auto"/>
                <w:szCs w:val="21"/>
                <w:highlight w:val="none"/>
              </w:rPr>
              <w:t xml:space="preserve"> t/a</w:t>
            </w:r>
          </w:p>
        </w:tc>
        <w:tc>
          <w:tcPr>
            <w:tcW w:w="1559"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cs="Times New Roman"/>
                <w:color w:val="auto"/>
                <w:kern w:val="0"/>
                <w:szCs w:val="21"/>
                <w:highlight w:val="none"/>
              </w:rPr>
              <w:t>20</w:t>
            </w:r>
            <w:r>
              <w:rPr>
                <w:rFonts w:ascii="Times New Roman" w:hAnsi="Times New Roman" w:eastAsia="宋体" w:cs="Times New Roman"/>
                <w:bCs/>
                <w:color w:val="auto"/>
                <w:szCs w:val="21"/>
                <w:highlight w:val="none"/>
              </w:rPr>
              <w:t>mg/L</w:t>
            </w:r>
          </w:p>
        </w:tc>
        <w:tc>
          <w:tcPr>
            <w:tcW w:w="1014"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cs="Times New Roman"/>
                <w:color w:val="auto"/>
                <w:szCs w:val="21"/>
                <w:highlight w:val="none"/>
              </w:rPr>
              <w:t>0.009</w:t>
            </w:r>
            <w:r>
              <w:rPr>
                <w:rFonts w:ascii="Times New Roman" w:hAnsi="Times New Roman" w:eastAsia="宋体" w:cs="Times New Roman"/>
                <w:bCs/>
                <w:color w:val="auto"/>
                <w:szCs w:val="21"/>
                <w:highlight w:val="none"/>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Layout w:type="fixed"/>
          <w:tblCellMar>
            <w:top w:w="0" w:type="dxa"/>
            <w:left w:w="108" w:type="dxa"/>
            <w:bottom w:w="0" w:type="dxa"/>
            <w:right w:w="108" w:type="dxa"/>
          </w:tblCellMar>
        </w:tblPrEx>
        <w:trPr>
          <w:trHeight w:val="454" w:hRule="atLeast"/>
          <w:jc w:val="center"/>
        </w:trPr>
        <w:tc>
          <w:tcPr>
            <w:tcW w:w="655" w:type="dxa"/>
            <w:vMerge w:val="continue"/>
            <w:tcBorders>
              <w:tl2br w:val="nil"/>
              <w:tr2bl w:val="nil"/>
            </w:tcBorders>
            <w:vAlign w:val="center"/>
          </w:tcPr>
          <w:p>
            <w:pPr>
              <w:jc w:val="center"/>
              <w:rPr>
                <w:rFonts w:ascii="Times New Roman" w:hAnsi="Times New Roman" w:eastAsia="宋体" w:cs="Times New Roman"/>
                <w:bCs/>
                <w:color w:val="auto"/>
                <w:szCs w:val="21"/>
                <w:highlight w:val="none"/>
              </w:rPr>
            </w:pPr>
          </w:p>
        </w:tc>
        <w:tc>
          <w:tcPr>
            <w:tcW w:w="1325" w:type="dxa"/>
            <w:vMerge w:val="continue"/>
            <w:tcBorders>
              <w:tl2br w:val="nil"/>
              <w:tr2bl w:val="nil"/>
            </w:tcBorders>
            <w:vAlign w:val="center"/>
          </w:tcPr>
          <w:p>
            <w:pPr>
              <w:jc w:val="center"/>
              <w:rPr>
                <w:rFonts w:ascii="Times New Roman" w:hAnsi="Times New Roman" w:eastAsia="宋体" w:cs="Times New Roman"/>
                <w:bCs/>
                <w:color w:val="auto"/>
                <w:szCs w:val="21"/>
                <w:highlight w:val="none"/>
              </w:rPr>
            </w:pPr>
          </w:p>
        </w:tc>
        <w:tc>
          <w:tcPr>
            <w:tcW w:w="1276" w:type="dxa"/>
            <w:gridSpan w:val="2"/>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SS</w:t>
            </w:r>
          </w:p>
        </w:tc>
        <w:tc>
          <w:tcPr>
            <w:tcW w:w="1559"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cs="Times New Roman"/>
                <w:color w:val="auto"/>
                <w:szCs w:val="21"/>
                <w:highlight w:val="none"/>
              </w:rPr>
              <w:t>150</w:t>
            </w:r>
            <w:r>
              <w:rPr>
                <w:rFonts w:ascii="Times New Roman" w:hAnsi="Times New Roman" w:eastAsia="宋体" w:cs="Times New Roman"/>
                <w:bCs/>
                <w:color w:val="auto"/>
                <w:szCs w:val="21"/>
                <w:highlight w:val="none"/>
              </w:rPr>
              <w:t>mg/L</w:t>
            </w:r>
          </w:p>
        </w:tc>
        <w:tc>
          <w:tcPr>
            <w:tcW w:w="1134"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cs="Times New Roman"/>
                <w:color w:val="auto"/>
                <w:szCs w:val="21"/>
                <w:highlight w:val="none"/>
              </w:rPr>
              <w:t>0.065</w:t>
            </w:r>
            <w:r>
              <w:rPr>
                <w:rFonts w:ascii="Times New Roman" w:hAnsi="Times New Roman" w:eastAsia="宋体" w:cs="Times New Roman"/>
                <w:bCs/>
                <w:color w:val="auto"/>
                <w:szCs w:val="21"/>
                <w:highlight w:val="none"/>
              </w:rPr>
              <w:t xml:space="preserve"> t/a</w:t>
            </w:r>
          </w:p>
        </w:tc>
        <w:tc>
          <w:tcPr>
            <w:tcW w:w="1559"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cs="Times New Roman"/>
                <w:color w:val="auto"/>
                <w:kern w:val="0"/>
                <w:szCs w:val="21"/>
                <w:highlight w:val="none"/>
              </w:rPr>
              <w:t>50</w:t>
            </w:r>
            <w:r>
              <w:rPr>
                <w:rFonts w:ascii="Times New Roman" w:hAnsi="Times New Roman" w:eastAsia="宋体" w:cs="Times New Roman"/>
                <w:bCs/>
                <w:color w:val="auto"/>
                <w:szCs w:val="21"/>
                <w:highlight w:val="none"/>
              </w:rPr>
              <w:t>mg/L</w:t>
            </w:r>
          </w:p>
        </w:tc>
        <w:tc>
          <w:tcPr>
            <w:tcW w:w="1014"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cs="Times New Roman"/>
                <w:color w:val="auto"/>
                <w:szCs w:val="21"/>
                <w:highlight w:val="none"/>
              </w:rPr>
              <w:t>0.022</w:t>
            </w:r>
            <w:r>
              <w:rPr>
                <w:rFonts w:ascii="Times New Roman" w:hAnsi="Times New Roman" w:eastAsia="宋体" w:cs="Times New Roman"/>
                <w:bCs/>
                <w:color w:val="auto"/>
                <w:szCs w:val="21"/>
                <w:highlight w:val="none"/>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Layout w:type="fixed"/>
          <w:tblCellMar>
            <w:top w:w="0" w:type="dxa"/>
            <w:left w:w="108" w:type="dxa"/>
            <w:bottom w:w="0" w:type="dxa"/>
            <w:right w:w="108" w:type="dxa"/>
          </w:tblCellMar>
        </w:tblPrEx>
        <w:trPr>
          <w:trHeight w:val="454" w:hRule="atLeast"/>
          <w:jc w:val="center"/>
        </w:trPr>
        <w:tc>
          <w:tcPr>
            <w:tcW w:w="655" w:type="dxa"/>
            <w:vMerge w:val="continue"/>
            <w:tcBorders>
              <w:tl2br w:val="nil"/>
              <w:tr2bl w:val="nil"/>
            </w:tcBorders>
            <w:vAlign w:val="center"/>
          </w:tcPr>
          <w:p>
            <w:pPr>
              <w:jc w:val="center"/>
              <w:rPr>
                <w:rFonts w:ascii="Times New Roman" w:hAnsi="Times New Roman" w:eastAsia="宋体" w:cs="Times New Roman"/>
                <w:bCs/>
                <w:color w:val="auto"/>
                <w:szCs w:val="21"/>
                <w:highlight w:val="none"/>
              </w:rPr>
            </w:pPr>
          </w:p>
        </w:tc>
        <w:tc>
          <w:tcPr>
            <w:tcW w:w="1325" w:type="dxa"/>
            <w:vMerge w:val="continue"/>
            <w:tcBorders>
              <w:tl2br w:val="nil"/>
              <w:tr2bl w:val="nil"/>
            </w:tcBorders>
            <w:vAlign w:val="center"/>
          </w:tcPr>
          <w:p>
            <w:pPr>
              <w:jc w:val="center"/>
              <w:rPr>
                <w:rFonts w:ascii="Times New Roman" w:hAnsi="Times New Roman" w:eastAsia="宋体" w:cs="Times New Roman"/>
                <w:bCs/>
                <w:color w:val="auto"/>
                <w:szCs w:val="21"/>
                <w:highlight w:val="none"/>
              </w:rPr>
            </w:pPr>
          </w:p>
        </w:tc>
        <w:tc>
          <w:tcPr>
            <w:tcW w:w="1276" w:type="dxa"/>
            <w:gridSpan w:val="2"/>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氨氮</w:t>
            </w:r>
          </w:p>
        </w:tc>
        <w:tc>
          <w:tcPr>
            <w:tcW w:w="1559"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cs="Times New Roman"/>
                <w:color w:val="auto"/>
                <w:szCs w:val="21"/>
                <w:highlight w:val="none"/>
              </w:rPr>
              <w:t>20</w:t>
            </w:r>
            <w:r>
              <w:rPr>
                <w:rFonts w:ascii="Times New Roman" w:hAnsi="Times New Roman" w:eastAsia="宋体" w:cs="Times New Roman"/>
                <w:bCs/>
                <w:color w:val="auto"/>
                <w:szCs w:val="21"/>
                <w:highlight w:val="none"/>
              </w:rPr>
              <w:t>mg/L</w:t>
            </w:r>
          </w:p>
        </w:tc>
        <w:tc>
          <w:tcPr>
            <w:tcW w:w="1134"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cs="Times New Roman"/>
                <w:color w:val="auto"/>
                <w:szCs w:val="21"/>
                <w:highlight w:val="none"/>
              </w:rPr>
              <w:t>0.009</w:t>
            </w:r>
            <w:r>
              <w:rPr>
                <w:rFonts w:ascii="Times New Roman" w:hAnsi="Times New Roman" w:eastAsia="宋体" w:cs="Times New Roman"/>
                <w:bCs/>
                <w:color w:val="auto"/>
                <w:szCs w:val="21"/>
                <w:highlight w:val="none"/>
              </w:rPr>
              <w:t xml:space="preserve"> t/a</w:t>
            </w:r>
          </w:p>
        </w:tc>
        <w:tc>
          <w:tcPr>
            <w:tcW w:w="1559"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cs="Times New Roman"/>
                <w:color w:val="auto"/>
                <w:kern w:val="0"/>
                <w:szCs w:val="21"/>
                <w:highlight w:val="none"/>
              </w:rPr>
              <w:t>10</w:t>
            </w:r>
            <w:r>
              <w:rPr>
                <w:rFonts w:ascii="Times New Roman" w:hAnsi="Times New Roman" w:eastAsia="宋体" w:cs="Times New Roman"/>
                <w:bCs/>
                <w:color w:val="auto"/>
                <w:szCs w:val="21"/>
                <w:highlight w:val="none"/>
              </w:rPr>
              <w:t>mg/L</w:t>
            </w:r>
          </w:p>
        </w:tc>
        <w:tc>
          <w:tcPr>
            <w:tcW w:w="1014"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cs="Times New Roman"/>
                <w:color w:val="auto"/>
                <w:szCs w:val="21"/>
                <w:highlight w:val="none"/>
              </w:rPr>
              <w:t>0.004</w:t>
            </w:r>
            <w:r>
              <w:rPr>
                <w:rFonts w:ascii="Times New Roman" w:hAnsi="Times New Roman" w:eastAsia="宋体" w:cs="Times New Roman"/>
                <w:bCs/>
                <w:color w:val="auto"/>
                <w:szCs w:val="21"/>
                <w:highlight w:val="none"/>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Layout w:type="fixed"/>
          <w:tblCellMar>
            <w:top w:w="0" w:type="dxa"/>
            <w:left w:w="108" w:type="dxa"/>
            <w:bottom w:w="0" w:type="dxa"/>
            <w:right w:w="108" w:type="dxa"/>
          </w:tblCellMar>
        </w:tblPrEx>
        <w:trPr>
          <w:trHeight w:val="454" w:hRule="atLeast"/>
          <w:jc w:val="center"/>
        </w:trPr>
        <w:tc>
          <w:tcPr>
            <w:tcW w:w="655" w:type="dxa"/>
            <w:vMerge w:val="restart"/>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固</w:t>
            </w:r>
          </w:p>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体</w:t>
            </w:r>
          </w:p>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废</w:t>
            </w:r>
          </w:p>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物</w:t>
            </w:r>
          </w:p>
        </w:tc>
        <w:tc>
          <w:tcPr>
            <w:tcW w:w="1325" w:type="dxa"/>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生活垃圾</w:t>
            </w:r>
          </w:p>
        </w:tc>
        <w:tc>
          <w:tcPr>
            <w:tcW w:w="1276" w:type="dxa"/>
            <w:gridSpan w:val="2"/>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生活垃圾</w:t>
            </w:r>
          </w:p>
        </w:tc>
        <w:tc>
          <w:tcPr>
            <w:tcW w:w="2693" w:type="dxa"/>
            <w:gridSpan w:val="2"/>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3 t/a</w:t>
            </w:r>
          </w:p>
        </w:tc>
        <w:tc>
          <w:tcPr>
            <w:tcW w:w="2573" w:type="dxa"/>
            <w:gridSpan w:val="2"/>
            <w:vMerge w:val="restart"/>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Layout w:type="fixed"/>
          <w:tblCellMar>
            <w:top w:w="0" w:type="dxa"/>
            <w:left w:w="108" w:type="dxa"/>
            <w:bottom w:w="0" w:type="dxa"/>
            <w:right w:w="108" w:type="dxa"/>
          </w:tblCellMar>
        </w:tblPrEx>
        <w:trPr>
          <w:trHeight w:val="454" w:hRule="atLeast"/>
          <w:jc w:val="center"/>
        </w:trPr>
        <w:tc>
          <w:tcPr>
            <w:tcW w:w="655" w:type="dxa"/>
            <w:vMerge w:val="continue"/>
            <w:tcBorders>
              <w:tl2br w:val="nil"/>
              <w:tr2bl w:val="nil"/>
            </w:tcBorders>
            <w:vAlign w:val="center"/>
          </w:tcPr>
          <w:p>
            <w:pPr>
              <w:jc w:val="center"/>
              <w:rPr>
                <w:rFonts w:ascii="Times New Roman" w:hAnsi="Times New Roman" w:eastAsia="宋体" w:cs="Times New Roman"/>
                <w:bCs/>
                <w:color w:val="auto"/>
                <w:szCs w:val="21"/>
                <w:highlight w:val="none"/>
              </w:rPr>
            </w:pPr>
          </w:p>
        </w:tc>
        <w:tc>
          <w:tcPr>
            <w:tcW w:w="1325" w:type="dxa"/>
            <w:vMerge w:val="restart"/>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一般固体废品</w:t>
            </w:r>
          </w:p>
        </w:tc>
        <w:tc>
          <w:tcPr>
            <w:tcW w:w="1276" w:type="dxa"/>
            <w:gridSpan w:val="2"/>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边角料</w:t>
            </w:r>
          </w:p>
        </w:tc>
        <w:tc>
          <w:tcPr>
            <w:tcW w:w="2693" w:type="dxa"/>
            <w:gridSpan w:val="2"/>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0.1 t/a</w:t>
            </w:r>
          </w:p>
        </w:tc>
        <w:tc>
          <w:tcPr>
            <w:tcW w:w="2573" w:type="dxa"/>
            <w:gridSpan w:val="2"/>
            <w:vMerge w:val="continue"/>
            <w:tcBorders>
              <w:tl2br w:val="nil"/>
              <w:tr2bl w:val="nil"/>
            </w:tcBorders>
            <w:vAlign w:val="center"/>
          </w:tcPr>
          <w:p>
            <w:pPr>
              <w:jc w:val="center"/>
              <w:rPr>
                <w:rFonts w:ascii="Times New Roman" w:hAnsi="Times New Roman" w:eastAsia="宋体" w:cs="Times New Roman"/>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Layout w:type="fixed"/>
          <w:tblCellMar>
            <w:top w:w="0" w:type="dxa"/>
            <w:left w:w="108" w:type="dxa"/>
            <w:bottom w:w="0" w:type="dxa"/>
            <w:right w:w="108" w:type="dxa"/>
          </w:tblCellMar>
        </w:tblPrEx>
        <w:trPr>
          <w:trHeight w:val="454" w:hRule="atLeast"/>
          <w:jc w:val="center"/>
        </w:trPr>
        <w:tc>
          <w:tcPr>
            <w:tcW w:w="655" w:type="dxa"/>
            <w:vMerge w:val="continue"/>
            <w:tcBorders>
              <w:tl2br w:val="nil"/>
              <w:tr2bl w:val="nil"/>
            </w:tcBorders>
            <w:vAlign w:val="center"/>
          </w:tcPr>
          <w:p>
            <w:pPr>
              <w:jc w:val="center"/>
              <w:rPr>
                <w:rFonts w:ascii="Times New Roman" w:hAnsi="Times New Roman" w:eastAsia="宋体" w:cs="Times New Roman"/>
                <w:bCs/>
                <w:color w:val="auto"/>
                <w:szCs w:val="21"/>
                <w:highlight w:val="none"/>
              </w:rPr>
            </w:pPr>
          </w:p>
        </w:tc>
        <w:tc>
          <w:tcPr>
            <w:tcW w:w="1325" w:type="dxa"/>
            <w:vMerge w:val="continue"/>
            <w:tcBorders>
              <w:tl2br w:val="nil"/>
              <w:tr2bl w:val="nil"/>
            </w:tcBorders>
            <w:vAlign w:val="center"/>
          </w:tcPr>
          <w:p>
            <w:pPr>
              <w:jc w:val="center"/>
              <w:rPr>
                <w:rFonts w:ascii="Times New Roman" w:hAnsi="Times New Roman" w:eastAsia="宋体" w:cs="Times New Roman"/>
                <w:bCs/>
                <w:color w:val="auto"/>
                <w:szCs w:val="21"/>
                <w:highlight w:val="none"/>
              </w:rPr>
            </w:pPr>
          </w:p>
        </w:tc>
        <w:tc>
          <w:tcPr>
            <w:tcW w:w="1276" w:type="dxa"/>
            <w:gridSpan w:val="2"/>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废包装材料</w:t>
            </w:r>
          </w:p>
        </w:tc>
        <w:tc>
          <w:tcPr>
            <w:tcW w:w="2693" w:type="dxa"/>
            <w:gridSpan w:val="2"/>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20 t/a</w:t>
            </w:r>
          </w:p>
        </w:tc>
        <w:tc>
          <w:tcPr>
            <w:tcW w:w="2573" w:type="dxa"/>
            <w:gridSpan w:val="2"/>
            <w:vMerge w:val="continue"/>
            <w:tcBorders>
              <w:tl2br w:val="nil"/>
              <w:tr2bl w:val="nil"/>
            </w:tcBorders>
            <w:vAlign w:val="center"/>
          </w:tcPr>
          <w:p>
            <w:pPr>
              <w:jc w:val="center"/>
              <w:rPr>
                <w:rFonts w:ascii="Times New Roman" w:hAnsi="Times New Roman" w:eastAsia="宋体" w:cs="Times New Roman"/>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Layout w:type="fixed"/>
          <w:tblCellMar>
            <w:top w:w="0" w:type="dxa"/>
            <w:left w:w="108" w:type="dxa"/>
            <w:bottom w:w="0" w:type="dxa"/>
            <w:right w:w="108" w:type="dxa"/>
          </w:tblCellMar>
        </w:tblPrEx>
        <w:trPr>
          <w:trHeight w:val="454" w:hRule="atLeast"/>
          <w:jc w:val="center"/>
        </w:trPr>
        <w:tc>
          <w:tcPr>
            <w:tcW w:w="655" w:type="dxa"/>
            <w:vMerge w:val="continue"/>
            <w:tcBorders>
              <w:tl2br w:val="nil"/>
              <w:tr2bl w:val="nil"/>
            </w:tcBorders>
            <w:vAlign w:val="center"/>
          </w:tcPr>
          <w:p>
            <w:pPr>
              <w:jc w:val="center"/>
              <w:rPr>
                <w:rFonts w:ascii="Times New Roman" w:hAnsi="Times New Roman" w:eastAsia="宋体" w:cs="Times New Roman"/>
                <w:bCs/>
                <w:color w:val="auto"/>
                <w:szCs w:val="21"/>
                <w:highlight w:val="none"/>
              </w:rPr>
            </w:pPr>
          </w:p>
        </w:tc>
        <w:tc>
          <w:tcPr>
            <w:tcW w:w="1325" w:type="dxa"/>
            <w:vMerge w:val="restart"/>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危险废物</w:t>
            </w:r>
          </w:p>
        </w:tc>
        <w:tc>
          <w:tcPr>
            <w:tcW w:w="1276" w:type="dxa"/>
            <w:gridSpan w:val="2"/>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废润滑油</w:t>
            </w:r>
          </w:p>
        </w:tc>
        <w:tc>
          <w:tcPr>
            <w:tcW w:w="2693" w:type="dxa"/>
            <w:gridSpan w:val="2"/>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0.001t/a</w:t>
            </w:r>
          </w:p>
        </w:tc>
        <w:tc>
          <w:tcPr>
            <w:tcW w:w="2573" w:type="dxa"/>
            <w:gridSpan w:val="2"/>
            <w:vMerge w:val="continue"/>
            <w:tcBorders>
              <w:tl2br w:val="nil"/>
              <w:tr2bl w:val="nil"/>
            </w:tcBorders>
            <w:vAlign w:val="center"/>
          </w:tcPr>
          <w:p>
            <w:pPr>
              <w:jc w:val="center"/>
              <w:rPr>
                <w:rFonts w:ascii="Times New Roman" w:hAnsi="Times New Roman" w:eastAsia="宋体" w:cs="Times New Roman"/>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Layout w:type="fixed"/>
          <w:tblCellMar>
            <w:top w:w="0" w:type="dxa"/>
            <w:left w:w="108" w:type="dxa"/>
            <w:bottom w:w="0" w:type="dxa"/>
            <w:right w:w="108" w:type="dxa"/>
          </w:tblCellMar>
        </w:tblPrEx>
        <w:trPr>
          <w:trHeight w:val="454" w:hRule="atLeast"/>
          <w:jc w:val="center"/>
        </w:trPr>
        <w:tc>
          <w:tcPr>
            <w:tcW w:w="655" w:type="dxa"/>
            <w:vMerge w:val="continue"/>
            <w:tcBorders>
              <w:tl2br w:val="nil"/>
              <w:tr2bl w:val="nil"/>
            </w:tcBorders>
            <w:vAlign w:val="center"/>
          </w:tcPr>
          <w:p>
            <w:pPr>
              <w:jc w:val="center"/>
              <w:rPr>
                <w:rFonts w:ascii="Times New Roman" w:hAnsi="Times New Roman" w:eastAsia="宋体" w:cs="Times New Roman"/>
                <w:bCs/>
                <w:color w:val="auto"/>
                <w:szCs w:val="21"/>
                <w:highlight w:val="none"/>
              </w:rPr>
            </w:pPr>
          </w:p>
        </w:tc>
        <w:tc>
          <w:tcPr>
            <w:tcW w:w="1325" w:type="dxa"/>
            <w:vMerge w:val="continue"/>
            <w:tcBorders>
              <w:tl2br w:val="nil"/>
              <w:tr2bl w:val="nil"/>
            </w:tcBorders>
            <w:vAlign w:val="center"/>
          </w:tcPr>
          <w:p>
            <w:pPr>
              <w:jc w:val="center"/>
              <w:rPr>
                <w:rFonts w:ascii="Times New Roman" w:hAnsi="Times New Roman" w:eastAsia="宋体" w:cs="Times New Roman"/>
                <w:bCs/>
                <w:color w:val="auto"/>
                <w:szCs w:val="21"/>
                <w:highlight w:val="none"/>
              </w:rPr>
            </w:pPr>
          </w:p>
        </w:tc>
        <w:tc>
          <w:tcPr>
            <w:tcW w:w="1276" w:type="dxa"/>
            <w:gridSpan w:val="2"/>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含油废抹布</w:t>
            </w:r>
          </w:p>
        </w:tc>
        <w:tc>
          <w:tcPr>
            <w:tcW w:w="2693" w:type="dxa"/>
            <w:gridSpan w:val="2"/>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0.1t/a</w:t>
            </w:r>
          </w:p>
        </w:tc>
        <w:tc>
          <w:tcPr>
            <w:tcW w:w="2573" w:type="dxa"/>
            <w:gridSpan w:val="2"/>
            <w:vMerge w:val="continue"/>
            <w:tcBorders>
              <w:tl2br w:val="nil"/>
              <w:tr2bl w:val="nil"/>
            </w:tcBorders>
            <w:vAlign w:val="center"/>
          </w:tcPr>
          <w:p>
            <w:pPr>
              <w:jc w:val="center"/>
              <w:rPr>
                <w:rFonts w:ascii="Times New Roman" w:hAnsi="Times New Roman" w:eastAsia="宋体" w:cs="Times New Roman"/>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Layout w:type="fixed"/>
          <w:tblCellMar>
            <w:top w:w="0" w:type="dxa"/>
            <w:left w:w="108" w:type="dxa"/>
            <w:bottom w:w="0" w:type="dxa"/>
            <w:right w:w="108" w:type="dxa"/>
          </w:tblCellMar>
        </w:tblPrEx>
        <w:trPr>
          <w:trHeight w:val="70" w:hRule="atLeast"/>
          <w:jc w:val="center"/>
        </w:trPr>
        <w:tc>
          <w:tcPr>
            <w:tcW w:w="655" w:type="dxa"/>
            <w:vMerge w:val="continue"/>
            <w:tcBorders>
              <w:tl2br w:val="nil"/>
              <w:tr2bl w:val="nil"/>
            </w:tcBorders>
            <w:vAlign w:val="center"/>
          </w:tcPr>
          <w:p>
            <w:pPr>
              <w:jc w:val="center"/>
              <w:rPr>
                <w:rFonts w:ascii="Times New Roman" w:hAnsi="Times New Roman" w:eastAsia="宋体" w:cs="Times New Roman"/>
                <w:bCs/>
                <w:color w:val="auto"/>
                <w:szCs w:val="21"/>
                <w:highlight w:val="none"/>
              </w:rPr>
            </w:pPr>
          </w:p>
        </w:tc>
        <w:tc>
          <w:tcPr>
            <w:tcW w:w="1325" w:type="dxa"/>
            <w:vMerge w:val="continue"/>
            <w:tcBorders>
              <w:tl2br w:val="nil"/>
              <w:tr2bl w:val="nil"/>
            </w:tcBorders>
            <w:vAlign w:val="center"/>
          </w:tcPr>
          <w:p>
            <w:pPr>
              <w:jc w:val="center"/>
              <w:rPr>
                <w:rFonts w:ascii="Times New Roman" w:hAnsi="Times New Roman" w:eastAsia="宋体" w:cs="Times New Roman"/>
                <w:bCs/>
                <w:color w:val="auto"/>
                <w:szCs w:val="21"/>
                <w:highlight w:val="none"/>
              </w:rPr>
            </w:pPr>
          </w:p>
        </w:tc>
        <w:tc>
          <w:tcPr>
            <w:tcW w:w="1276" w:type="dxa"/>
            <w:gridSpan w:val="2"/>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废UV光管</w:t>
            </w:r>
          </w:p>
        </w:tc>
        <w:tc>
          <w:tcPr>
            <w:tcW w:w="2693" w:type="dxa"/>
            <w:gridSpan w:val="2"/>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0.01t/a</w:t>
            </w:r>
          </w:p>
        </w:tc>
        <w:tc>
          <w:tcPr>
            <w:tcW w:w="2573" w:type="dxa"/>
            <w:gridSpan w:val="2"/>
            <w:vMerge w:val="continue"/>
            <w:tcBorders>
              <w:tl2br w:val="nil"/>
              <w:tr2bl w:val="nil"/>
            </w:tcBorders>
            <w:vAlign w:val="center"/>
          </w:tcPr>
          <w:p>
            <w:pPr>
              <w:jc w:val="center"/>
              <w:rPr>
                <w:rFonts w:ascii="Times New Roman" w:hAnsi="Times New Roman" w:eastAsia="宋体" w:cs="Times New Roman"/>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Layout w:type="fixed"/>
          <w:tblCellMar>
            <w:top w:w="0" w:type="dxa"/>
            <w:left w:w="108" w:type="dxa"/>
            <w:bottom w:w="0" w:type="dxa"/>
            <w:right w:w="108" w:type="dxa"/>
          </w:tblCellMar>
        </w:tblPrEx>
        <w:trPr>
          <w:trHeight w:val="454" w:hRule="atLeast"/>
          <w:jc w:val="center"/>
        </w:trPr>
        <w:tc>
          <w:tcPr>
            <w:tcW w:w="655" w:type="dxa"/>
            <w:vMerge w:val="continue"/>
            <w:tcBorders>
              <w:tl2br w:val="nil"/>
              <w:tr2bl w:val="nil"/>
            </w:tcBorders>
            <w:vAlign w:val="center"/>
          </w:tcPr>
          <w:p>
            <w:pPr>
              <w:jc w:val="center"/>
              <w:rPr>
                <w:rFonts w:ascii="Times New Roman" w:hAnsi="Times New Roman" w:eastAsia="宋体" w:cs="Times New Roman"/>
                <w:bCs/>
                <w:color w:val="auto"/>
                <w:szCs w:val="21"/>
                <w:highlight w:val="none"/>
              </w:rPr>
            </w:pPr>
          </w:p>
        </w:tc>
        <w:tc>
          <w:tcPr>
            <w:tcW w:w="1325" w:type="dxa"/>
            <w:vMerge w:val="continue"/>
            <w:tcBorders>
              <w:tl2br w:val="nil"/>
              <w:tr2bl w:val="nil"/>
            </w:tcBorders>
            <w:vAlign w:val="center"/>
          </w:tcPr>
          <w:p>
            <w:pPr>
              <w:jc w:val="center"/>
              <w:rPr>
                <w:rFonts w:ascii="Times New Roman" w:hAnsi="Times New Roman" w:eastAsia="宋体" w:cs="Times New Roman"/>
                <w:bCs/>
                <w:color w:val="auto"/>
                <w:szCs w:val="21"/>
                <w:highlight w:val="none"/>
              </w:rPr>
            </w:pPr>
          </w:p>
        </w:tc>
        <w:tc>
          <w:tcPr>
            <w:tcW w:w="1276" w:type="dxa"/>
            <w:gridSpan w:val="2"/>
            <w:tcBorders>
              <w:tl2br w:val="nil"/>
              <w:tr2bl w:val="nil"/>
            </w:tcBorders>
            <w:vAlign w:val="center"/>
          </w:tcPr>
          <w:p>
            <w:pPr>
              <w:jc w:val="center"/>
              <w:rPr>
                <w:rFonts w:ascii="Times New Roman" w:hAnsi="Times New Roman" w:eastAsia="宋体" w:cs="Times New Roman"/>
                <w:bCs/>
                <w:color w:val="auto"/>
                <w:szCs w:val="21"/>
                <w:highlight w:val="none"/>
              </w:rPr>
            </w:pPr>
            <w:r>
              <w:rPr>
                <w:rFonts w:hint="eastAsia" w:ascii="Times New Roman" w:hAnsi="Times New Roman" w:eastAsia="宋体" w:cs="Times New Roman"/>
                <w:bCs/>
                <w:color w:val="auto"/>
                <w:szCs w:val="21"/>
                <w:highlight w:val="none"/>
              </w:rPr>
              <w:t>废活性炭</w:t>
            </w:r>
          </w:p>
        </w:tc>
        <w:tc>
          <w:tcPr>
            <w:tcW w:w="2693" w:type="dxa"/>
            <w:gridSpan w:val="2"/>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2.14</w:t>
            </w:r>
            <w:r>
              <w:rPr>
                <w:rFonts w:hint="eastAsia" w:ascii="Times New Roman" w:hAnsi="Times New Roman" w:eastAsia="宋体" w:cs="Times New Roman"/>
                <w:bCs/>
                <w:color w:val="auto"/>
                <w:szCs w:val="21"/>
                <w:highlight w:val="none"/>
              </w:rPr>
              <w:t>/a</w:t>
            </w:r>
          </w:p>
        </w:tc>
        <w:tc>
          <w:tcPr>
            <w:tcW w:w="2573" w:type="dxa"/>
            <w:gridSpan w:val="2"/>
            <w:vMerge w:val="continue"/>
            <w:tcBorders>
              <w:tl2br w:val="nil"/>
              <w:tr2bl w:val="nil"/>
            </w:tcBorders>
            <w:vAlign w:val="center"/>
          </w:tcPr>
          <w:p>
            <w:pPr>
              <w:jc w:val="center"/>
              <w:rPr>
                <w:rFonts w:ascii="Times New Roman" w:hAnsi="Times New Roman" w:eastAsia="宋体" w:cs="Times New Roman"/>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Layout w:type="fixed"/>
          <w:tblCellMar>
            <w:top w:w="0" w:type="dxa"/>
            <w:left w:w="108" w:type="dxa"/>
            <w:bottom w:w="0" w:type="dxa"/>
            <w:right w:w="108" w:type="dxa"/>
          </w:tblCellMar>
        </w:tblPrEx>
        <w:trPr>
          <w:trHeight w:val="454" w:hRule="atLeast"/>
          <w:jc w:val="center"/>
        </w:trPr>
        <w:tc>
          <w:tcPr>
            <w:tcW w:w="655" w:type="dxa"/>
            <w:vMerge w:val="restart"/>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噪</w:t>
            </w:r>
          </w:p>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声</w:t>
            </w:r>
          </w:p>
        </w:tc>
        <w:tc>
          <w:tcPr>
            <w:tcW w:w="1325" w:type="dxa"/>
            <w:vMerge w:val="restart"/>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生产车间</w:t>
            </w:r>
          </w:p>
        </w:tc>
        <w:tc>
          <w:tcPr>
            <w:tcW w:w="1276" w:type="dxa"/>
            <w:gridSpan w:val="2"/>
            <w:vMerge w:val="restart"/>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生产设备噪声</w:t>
            </w:r>
          </w:p>
        </w:tc>
        <w:tc>
          <w:tcPr>
            <w:tcW w:w="2693" w:type="dxa"/>
            <w:gridSpan w:val="2"/>
            <w:vMerge w:val="restart"/>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75~90dB(A)</w:t>
            </w:r>
          </w:p>
        </w:tc>
        <w:tc>
          <w:tcPr>
            <w:tcW w:w="2573" w:type="dxa"/>
            <w:gridSpan w:val="2"/>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昼间≤65dB(A)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Layout w:type="fixed"/>
          <w:tblCellMar>
            <w:top w:w="0" w:type="dxa"/>
            <w:left w:w="108" w:type="dxa"/>
            <w:bottom w:w="0" w:type="dxa"/>
            <w:right w:w="108" w:type="dxa"/>
          </w:tblCellMar>
        </w:tblPrEx>
        <w:trPr>
          <w:trHeight w:val="454" w:hRule="atLeast"/>
          <w:jc w:val="center"/>
        </w:trPr>
        <w:tc>
          <w:tcPr>
            <w:tcW w:w="655" w:type="dxa"/>
            <w:vMerge w:val="continue"/>
            <w:tcBorders>
              <w:tl2br w:val="nil"/>
              <w:tr2bl w:val="nil"/>
            </w:tcBorders>
            <w:vAlign w:val="center"/>
          </w:tcPr>
          <w:p>
            <w:pPr>
              <w:jc w:val="center"/>
              <w:rPr>
                <w:rFonts w:ascii="Times New Roman" w:hAnsi="Times New Roman" w:eastAsia="宋体" w:cs="Times New Roman"/>
                <w:color w:val="auto"/>
                <w:szCs w:val="21"/>
                <w:highlight w:val="none"/>
              </w:rPr>
            </w:pPr>
          </w:p>
        </w:tc>
        <w:tc>
          <w:tcPr>
            <w:tcW w:w="1325" w:type="dxa"/>
            <w:vMerge w:val="continue"/>
            <w:tcBorders>
              <w:tl2br w:val="nil"/>
              <w:tr2bl w:val="nil"/>
            </w:tcBorders>
            <w:vAlign w:val="center"/>
          </w:tcPr>
          <w:p>
            <w:pPr>
              <w:jc w:val="center"/>
              <w:rPr>
                <w:rFonts w:ascii="Times New Roman" w:hAnsi="Times New Roman" w:eastAsia="宋体" w:cs="Times New Roman"/>
                <w:color w:val="auto"/>
                <w:szCs w:val="21"/>
                <w:highlight w:val="none"/>
              </w:rPr>
            </w:pPr>
          </w:p>
        </w:tc>
        <w:tc>
          <w:tcPr>
            <w:tcW w:w="1276" w:type="dxa"/>
            <w:gridSpan w:val="2"/>
            <w:vMerge w:val="continue"/>
            <w:tcBorders>
              <w:tl2br w:val="nil"/>
              <w:tr2bl w:val="nil"/>
            </w:tcBorders>
            <w:vAlign w:val="center"/>
          </w:tcPr>
          <w:p>
            <w:pPr>
              <w:jc w:val="center"/>
              <w:rPr>
                <w:rFonts w:ascii="Times New Roman" w:hAnsi="Times New Roman" w:eastAsia="宋体" w:cs="Times New Roman"/>
                <w:color w:val="auto"/>
                <w:szCs w:val="21"/>
                <w:highlight w:val="none"/>
              </w:rPr>
            </w:pPr>
          </w:p>
        </w:tc>
        <w:tc>
          <w:tcPr>
            <w:tcW w:w="2693" w:type="dxa"/>
            <w:gridSpan w:val="2"/>
            <w:vMerge w:val="continue"/>
            <w:tcBorders>
              <w:tl2br w:val="nil"/>
              <w:tr2bl w:val="nil"/>
            </w:tcBorders>
            <w:vAlign w:val="center"/>
          </w:tcPr>
          <w:p>
            <w:pPr>
              <w:jc w:val="center"/>
              <w:rPr>
                <w:rFonts w:ascii="Times New Roman" w:hAnsi="Times New Roman" w:eastAsia="宋体" w:cs="Times New Roman"/>
                <w:color w:val="auto"/>
                <w:szCs w:val="21"/>
                <w:highlight w:val="none"/>
              </w:rPr>
            </w:pPr>
          </w:p>
        </w:tc>
        <w:tc>
          <w:tcPr>
            <w:tcW w:w="2573" w:type="dxa"/>
            <w:gridSpan w:val="2"/>
            <w:tcBorders>
              <w:tl2br w:val="nil"/>
              <w:tr2bl w:val="nil"/>
            </w:tcBorders>
            <w:vAlign w:val="center"/>
          </w:tcPr>
          <w:p>
            <w:pPr>
              <w:jc w:val="center"/>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夜间≤55dB(A)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Layout w:type="fixed"/>
          <w:tblCellMar>
            <w:top w:w="0" w:type="dxa"/>
            <w:left w:w="108" w:type="dxa"/>
            <w:bottom w:w="0" w:type="dxa"/>
            <w:right w:w="108" w:type="dxa"/>
          </w:tblCellMar>
        </w:tblPrEx>
        <w:trPr>
          <w:trHeight w:val="454" w:hRule="atLeast"/>
          <w:jc w:val="center"/>
        </w:trPr>
        <w:tc>
          <w:tcPr>
            <w:tcW w:w="8522" w:type="dxa"/>
            <w:gridSpan w:val="8"/>
            <w:tcBorders>
              <w:tl2br w:val="nil"/>
              <w:tr2bl w:val="nil"/>
            </w:tcBorders>
            <w:vAlign w:val="center"/>
          </w:tcPr>
          <w:p>
            <w:pPr>
              <w:spacing w:line="360" w:lineRule="auto"/>
              <w:rPr>
                <w:rFonts w:ascii="Times New Roman" w:hAnsi="Times New Roman" w:cs="Times New Roman"/>
                <w:b/>
                <w:color w:val="auto"/>
                <w:szCs w:val="21"/>
                <w:highlight w:val="none"/>
              </w:rPr>
            </w:pPr>
            <w:r>
              <w:rPr>
                <w:rFonts w:ascii="Times New Roman" w:hAnsi="Times New Roman" w:cs="Times New Roman"/>
                <w:b/>
                <w:color w:val="auto"/>
                <w:szCs w:val="21"/>
                <w:highlight w:val="none"/>
              </w:rPr>
              <w:t>主要生态影响</w:t>
            </w:r>
          </w:p>
          <w:p>
            <w:pPr>
              <w:spacing w:line="360" w:lineRule="auto"/>
              <w:ind w:firstLine="420" w:firstLineChars="200"/>
              <w:rPr>
                <w:rFonts w:ascii="Times New Roman" w:hAnsi="Times New Roman" w:cs="Times New Roman"/>
                <w:bCs/>
                <w:color w:val="auto"/>
                <w:szCs w:val="21"/>
                <w:highlight w:val="none"/>
              </w:rPr>
            </w:pPr>
            <w:r>
              <w:rPr>
                <w:rFonts w:ascii="Times New Roman" w:hAnsi="Times New Roman" w:cs="Times New Roman"/>
                <w:bCs/>
                <w:color w:val="auto"/>
                <w:szCs w:val="21"/>
                <w:highlight w:val="none"/>
              </w:rPr>
              <w:t>项目所在地没有需要特殊保护的植被和重要生态环境保护目标，项目的建设对周围生态环境的影响不明显。</w:t>
            </w:r>
          </w:p>
          <w:p>
            <w:pPr>
              <w:spacing w:line="360" w:lineRule="auto"/>
              <w:rPr>
                <w:rFonts w:ascii="Times New Roman" w:hAnsi="Times New Roman" w:cs="Times New Roman"/>
                <w:bCs/>
                <w:color w:val="auto"/>
                <w:szCs w:val="21"/>
                <w:highlight w:val="none"/>
              </w:rPr>
            </w:pPr>
          </w:p>
        </w:tc>
      </w:tr>
    </w:tbl>
    <w:p>
      <w:pPr>
        <w:rPr>
          <w:rFonts w:ascii="Times New Roman" w:hAnsi="Times New Roman" w:cs="Times New Roman"/>
          <w:color w:val="auto"/>
          <w:highlight w:val="none"/>
        </w:rPr>
      </w:pPr>
    </w:p>
    <w:p>
      <w:pPr>
        <w:rPr>
          <w:rFonts w:ascii="Times New Roman" w:hAnsi="Times New Roman" w:cs="Times New Roman"/>
          <w:color w:val="auto"/>
          <w:highlight w:val="none"/>
        </w:rPr>
      </w:pPr>
    </w:p>
    <w:p>
      <w:pPr>
        <w:rPr>
          <w:rFonts w:ascii="Times New Roman" w:hAnsi="Times New Roman" w:cs="Times New Roman"/>
          <w:color w:val="auto"/>
          <w:highlight w:val="none"/>
        </w:rPr>
      </w:pPr>
    </w:p>
    <w:p>
      <w:pPr>
        <w:rPr>
          <w:rFonts w:ascii="Times New Roman" w:hAnsi="Times New Roman" w:cs="Times New Roman"/>
          <w:color w:val="auto"/>
          <w:highlight w:val="none"/>
        </w:rPr>
      </w:pPr>
    </w:p>
    <w:p>
      <w:pPr>
        <w:rPr>
          <w:rFonts w:ascii="Times New Roman" w:hAnsi="Times New Roman" w:cs="Times New Roman"/>
          <w:color w:val="auto"/>
          <w:highlight w:val="none"/>
        </w:rPr>
      </w:pPr>
    </w:p>
    <w:p>
      <w:pPr>
        <w:rPr>
          <w:rFonts w:ascii="Times New Roman" w:hAnsi="Times New Roman" w:cs="Times New Roman"/>
          <w:color w:val="auto"/>
          <w:highlight w:val="none"/>
        </w:rPr>
      </w:pPr>
    </w:p>
    <w:p>
      <w:pPr>
        <w:rPr>
          <w:rFonts w:ascii="Times New Roman" w:hAnsi="Times New Roman" w:cs="Times New Roman"/>
          <w:color w:val="auto"/>
          <w:highlight w:val="none"/>
        </w:rPr>
      </w:pPr>
    </w:p>
    <w:p>
      <w:pPr>
        <w:pStyle w:val="3"/>
        <w:spacing w:before="0" w:after="0" w:line="240" w:lineRule="auto"/>
        <w:rPr>
          <w:rFonts w:ascii="Times New Roman" w:hAnsi="Times New Roman" w:cs="Times New Roman"/>
          <w:color w:val="auto"/>
          <w:sz w:val="32"/>
          <w:szCs w:val="32"/>
          <w:highlight w:val="none"/>
        </w:rPr>
      </w:pPr>
      <w:bookmarkStart w:id="22" w:name="_Toc18974_WPSOffice_Level1"/>
      <w:bookmarkStart w:id="23" w:name="_Toc26431"/>
      <w:bookmarkStart w:id="24" w:name="_Toc17732"/>
      <w:bookmarkStart w:id="25" w:name="_Toc17638_WPSOffice_Level1"/>
      <w:r>
        <w:rPr>
          <w:rFonts w:ascii="Times New Roman" w:hAnsi="Times New Roman" w:cs="Times New Roman"/>
          <w:color w:val="auto"/>
          <w:sz w:val="32"/>
          <w:szCs w:val="32"/>
          <w:highlight w:val="none"/>
        </w:rPr>
        <w:t>七、环境影响分析</w:t>
      </w:r>
      <w:bookmarkEnd w:id="22"/>
      <w:bookmarkEnd w:id="23"/>
      <w:bookmarkEnd w:id="24"/>
      <w:bookmarkEnd w:id="25"/>
    </w:p>
    <w:tbl>
      <w:tblPr>
        <w:tblStyle w:val="23"/>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91" w:hRule="atLeast"/>
          <w:jc w:val="center"/>
        </w:trPr>
        <w:tc>
          <w:tcPr>
            <w:tcW w:w="8522" w:type="dxa"/>
          </w:tcPr>
          <w:p>
            <w:pPr>
              <w:spacing w:line="360" w:lineRule="auto"/>
              <w:ind w:firstLine="482" w:firstLineChars="200"/>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一、施工期环境影响分析</w:t>
            </w:r>
          </w:p>
          <w:p>
            <w:pPr>
              <w:spacing w:before="120"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施工期污染物主要为设备安装及室内布置时期施工人员产生的少量生活污水和生活垃圾等，故本次评价不对施工期环境影响进行分析。</w:t>
            </w:r>
          </w:p>
          <w:p>
            <w:pPr>
              <w:spacing w:line="360" w:lineRule="auto"/>
              <w:ind w:firstLine="482" w:firstLineChars="200"/>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二 、营运期环境影响分析</w:t>
            </w:r>
          </w:p>
          <w:p>
            <w:pPr>
              <w:spacing w:line="360" w:lineRule="auto"/>
              <w:ind w:firstLine="482" w:firstLineChars="200"/>
              <w:rPr>
                <w:rFonts w:ascii="Times New Roman" w:hAnsi="Times New Roman" w:eastAsia="宋体" w:cs="Times New Roman"/>
                <w:bCs/>
                <w:color w:val="auto"/>
                <w:sz w:val="24"/>
                <w:highlight w:val="none"/>
              </w:rPr>
            </w:pPr>
            <w:r>
              <w:rPr>
                <w:rFonts w:ascii="Times New Roman" w:hAnsi="Times New Roman" w:eastAsia="宋体" w:cs="Times New Roman"/>
                <w:b/>
                <w:color w:val="auto"/>
                <w:sz w:val="24"/>
                <w:highlight w:val="none"/>
              </w:rPr>
              <w:t>1 、 水环境影响分析</w:t>
            </w:r>
          </w:p>
          <w:p>
            <w:pPr>
              <w:spacing w:line="360" w:lineRule="auto"/>
              <w:ind w:firstLine="482" w:firstLineChars="200"/>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（1）成型机冷却水</w:t>
            </w:r>
          </w:p>
          <w:p>
            <w:pPr>
              <w:pStyle w:val="24"/>
              <w:adjustRightInd/>
              <w:spacing w:line="360" w:lineRule="auto"/>
              <w:ind w:firstLine="480" w:firstLineChars="200"/>
              <w:jc w:val="both"/>
              <w:rPr>
                <w:rFonts w:ascii="Times New Roman" w:hAnsi="Times New Roman" w:cs="Times New Roman"/>
                <w:color w:val="auto"/>
                <w:kern w:val="2"/>
                <w:highlight w:val="none"/>
              </w:rPr>
            </w:pPr>
            <w:r>
              <w:rPr>
                <w:rFonts w:ascii="Times New Roman" w:hAnsi="Times New Roman" w:cs="Times New Roman"/>
                <w:color w:val="auto"/>
                <w:kern w:val="2"/>
                <w:highlight w:val="none"/>
              </w:rPr>
              <w:t>项目发泡生产过程中温度较高，需要对成型工件进行冷却，项目使用冷却塔进行冷却，冷却水循环使用不外排，仅需定期补充冷却水的损耗量。本项目冷却塔蓄水池规格为1m×1m×1m，循环水量为1m³/h，冷却塔作业时间与注塑工序相同，折合2400h/a，则项目总循环水量为2400m³/a。根据《工业循环水冷却设计规范》（GB/T50102-2014），该类冷却系统冷却水损耗主要为风吹损失及蒸发损失，参考《工业循环水冷却设计规范》（GB/T50102-2014）并结合项目实际情况，本项目冷却塔蒸发损失水率约为2.1%，风吹损失水率约为0.8%，则本项目冷却塔补水率为2.9%，本项目冷却水总循环水量为2400m³/a，则本项目新鲜水补充量为69.6m³/a。</w:t>
            </w:r>
          </w:p>
          <w:p>
            <w:pPr>
              <w:pStyle w:val="24"/>
              <w:adjustRightInd/>
              <w:spacing w:line="360" w:lineRule="auto"/>
              <w:ind w:firstLine="480" w:firstLineChars="200"/>
              <w:jc w:val="both"/>
              <w:rPr>
                <w:rFonts w:ascii="Times New Roman" w:hAnsi="Times New Roman" w:cs="Times New Roman"/>
                <w:color w:val="auto"/>
                <w:kern w:val="2"/>
                <w:highlight w:val="none"/>
              </w:rPr>
            </w:pPr>
            <w:r>
              <w:rPr>
                <w:rFonts w:ascii="Times New Roman" w:hAnsi="Times New Roman" w:cs="Times New Roman"/>
                <w:color w:val="auto"/>
                <w:highlight w:val="none"/>
              </w:rPr>
              <w:t>项目冷却塔需要定期进行排污处理，一年两次，每次对蓄水池进行清空排放，年产废水约2吨，该部分排污废水只是含盐度高，可作清净下水和生活污水一同处理，不会对周边地表水环境产生不利影响。</w:t>
            </w:r>
          </w:p>
          <w:p>
            <w:pPr>
              <w:spacing w:line="360" w:lineRule="auto"/>
              <w:ind w:firstLine="482" w:firstLineChars="200"/>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（2）生活污水</w:t>
            </w:r>
          </w:p>
          <w:p>
            <w:pPr>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由上述工艺流程分析及建设方提供的资料可知，该项目在生产过程中产生的冷却废水均循环使用，不外排，因此项目外排的废水主要是员工生活污水。</w:t>
            </w:r>
          </w:p>
          <w:p>
            <w:pPr>
              <w:spacing w:line="360" w:lineRule="auto"/>
              <w:ind w:firstLine="480" w:firstLineChars="200"/>
              <w:rPr>
                <w:rFonts w:ascii="Times New Roman" w:hAnsi="Times New Roman" w:cs="Times New Roman"/>
                <w:color w:val="auto"/>
                <w:sz w:val="24"/>
                <w:highlight w:val="none"/>
              </w:rPr>
            </w:pPr>
            <w:r>
              <w:rPr>
                <w:rFonts w:ascii="Times New Roman" w:hAnsi="Times New Roman" w:eastAsia="宋体" w:cs="Times New Roman"/>
                <w:color w:val="auto"/>
                <w:sz w:val="24"/>
                <w:highlight w:val="none"/>
              </w:rPr>
              <w:t>项目外排污水为员工生活污水。</w:t>
            </w:r>
            <w:r>
              <w:rPr>
                <w:rFonts w:ascii="Times New Roman" w:hAnsi="Times New Roman" w:cs="Times New Roman"/>
                <w:color w:val="auto"/>
                <w:sz w:val="24"/>
                <w:highlight w:val="none"/>
                <w:lang w:val="en-GB"/>
              </w:rPr>
              <w:t>项目设有员工</w:t>
            </w:r>
            <w:r>
              <w:rPr>
                <w:rFonts w:ascii="Times New Roman" w:hAnsi="Times New Roman" w:cs="Times New Roman"/>
                <w:color w:val="auto"/>
                <w:sz w:val="24"/>
                <w:highlight w:val="none"/>
              </w:rPr>
              <w:t>20</w:t>
            </w:r>
            <w:r>
              <w:rPr>
                <w:rFonts w:ascii="Times New Roman" w:hAnsi="Times New Roman" w:cs="Times New Roman"/>
                <w:color w:val="auto"/>
                <w:sz w:val="24"/>
                <w:highlight w:val="none"/>
                <w:lang w:val="en-GB"/>
              </w:rPr>
              <w:t>人，</w:t>
            </w:r>
            <w:r>
              <w:rPr>
                <w:rFonts w:ascii="Times New Roman" w:hAnsi="Times New Roman" w:cs="Times New Roman"/>
                <w:color w:val="auto"/>
                <w:sz w:val="24"/>
                <w:highlight w:val="none"/>
              </w:rPr>
              <w:t>20</w:t>
            </w:r>
            <w:r>
              <w:rPr>
                <w:rFonts w:ascii="Times New Roman" w:hAnsi="Times New Roman" w:cs="Times New Roman"/>
                <w:color w:val="auto"/>
                <w:sz w:val="24"/>
                <w:highlight w:val="none"/>
                <w:lang w:val="en-GB"/>
              </w:rPr>
              <w:t>个人在厂内住宿年工作300天，每天</w:t>
            </w:r>
            <w:r>
              <w:rPr>
                <w:rFonts w:ascii="Times New Roman" w:hAnsi="Times New Roman" w:cs="Times New Roman"/>
                <w:color w:val="auto"/>
                <w:sz w:val="24"/>
                <w:highlight w:val="none"/>
              </w:rPr>
              <w:t>2</w:t>
            </w:r>
            <w:r>
              <w:rPr>
                <w:rFonts w:ascii="Times New Roman" w:hAnsi="Times New Roman" w:cs="Times New Roman"/>
                <w:color w:val="auto"/>
                <w:sz w:val="24"/>
                <w:highlight w:val="none"/>
                <w:lang w:val="en-GB"/>
              </w:rPr>
              <w:t>班，每班8小时</w:t>
            </w:r>
            <w:r>
              <w:rPr>
                <w:rFonts w:ascii="Times New Roman" w:hAnsi="Times New Roman" w:cs="Times New Roman"/>
                <w:color w:val="auto"/>
                <w:sz w:val="24"/>
                <w:highlight w:val="none"/>
              </w:rPr>
              <w:t>，根据《广东省用水定额》（DB44/1461-2014），按人均用水0.08 m</w:t>
            </w:r>
            <w:r>
              <w:rPr>
                <w:rFonts w:ascii="Times New Roman" w:hAnsi="Times New Roman" w:cs="Times New Roman"/>
                <w:color w:val="auto"/>
                <w:sz w:val="24"/>
                <w:highlight w:val="none"/>
                <w:vertAlign w:val="superscript"/>
              </w:rPr>
              <w:t>3</w:t>
            </w:r>
            <w:r>
              <w:rPr>
                <w:rFonts w:ascii="Times New Roman" w:hAnsi="Times New Roman" w:cs="Times New Roman"/>
                <w:color w:val="auto"/>
                <w:sz w:val="24"/>
                <w:highlight w:val="none"/>
              </w:rPr>
              <w:t>/人·天，即每天用水约1.6m</w:t>
            </w:r>
            <w:r>
              <w:rPr>
                <w:rFonts w:ascii="Times New Roman" w:hAnsi="Times New Roman" w:cs="Times New Roman"/>
                <w:color w:val="auto"/>
                <w:sz w:val="24"/>
                <w:highlight w:val="none"/>
                <w:vertAlign w:val="superscript"/>
              </w:rPr>
              <w:t>3</w:t>
            </w:r>
            <w:r>
              <w:rPr>
                <w:rFonts w:ascii="Times New Roman" w:hAnsi="Times New Roman" w:cs="Times New Roman"/>
                <w:color w:val="auto"/>
                <w:sz w:val="24"/>
                <w:highlight w:val="none"/>
              </w:rPr>
              <w:t>，一年300天计算，生活用水约为480m</w:t>
            </w:r>
            <w:r>
              <w:rPr>
                <w:rFonts w:ascii="Times New Roman" w:hAnsi="Times New Roman" w:cs="Times New Roman"/>
                <w:color w:val="auto"/>
                <w:sz w:val="24"/>
                <w:highlight w:val="none"/>
                <w:vertAlign w:val="superscript"/>
              </w:rPr>
              <w:t>3</w:t>
            </w:r>
            <w:r>
              <w:rPr>
                <w:rFonts w:ascii="Times New Roman" w:hAnsi="Times New Roman" w:cs="Times New Roman"/>
                <w:color w:val="auto"/>
                <w:sz w:val="24"/>
                <w:highlight w:val="none"/>
              </w:rPr>
              <w:t>/a。项目生活污水排污系数按0.9计算，则生活污水排放量约为1.44m</w:t>
            </w:r>
            <w:r>
              <w:rPr>
                <w:rFonts w:ascii="Times New Roman" w:hAnsi="Times New Roman" w:cs="Times New Roman"/>
                <w:color w:val="auto"/>
                <w:sz w:val="24"/>
                <w:highlight w:val="none"/>
                <w:vertAlign w:val="superscript"/>
              </w:rPr>
              <w:t>3</w:t>
            </w:r>
            <w:r>
              <w:rPr>
                <w:rFonts w:ascii="Times New Roman" w:hAnsi="Times New Roman" w:cs="Times New Roman"/>
                <w:color w:val="auto"/>
                <w:sz w:val="24"/>
                <w:highlight w:val="none"/>
              </w:rPr>
              <w:t>/d （432m</w:t>
            </w:r>
            <w:r>
              <w:rPr>
                <w:rFonts w:ascii="Times New Roman" w:hAnsi="Times New Roman" w:cs="Times New Roman"/>
                <w:color w:val="auto"/>
                <w:sz w:val="24"/>
                <w:highlight w:val="none"/>
                <w:vertAlign w:val="superscript"/>
              </w:rPr>
              <w:t>3</w:t>
            </w:r>
            <w:r>
              <w:rPr>
                <w:rFonts w:ascii="Times New Roman" w:hAnsi="Times New Roman" w:cs="Times New Roman"/>
                <w:color w:val="auto"/>
                <w:sz w:val="24"/>
                <w:highlight w:val="none"/>
              </w:rPr>
              <w:t>/a）。</w:t>
            </w:r>
          </w:p>
          <w:p>
            <w:pPr>
              <w:spacing w:before="156" w:beforeLines="50" w:line="360" w:lineRule="auto"/>
              <w:ind w:firstLine="480" w:firstLineChars="200"/>
              <w:rPr>
                <w:rFonts w:ascii="Times New Roman" w:hAnsi="Times New Roman" w:cs="Times New Roman"/>
                <w:color w:val="auto"/>
                <w:sz w:val="24"/>
                <w:highlight w:val="none"/>
              </w:rPr>
            </w:pPr>
            <w:r>
              <w:rPr>
                <w:rFonts w:ascii="Times New Roman" w:hAnsi="Times New Roman" w:eastAsia="宋体" w:cs="Times New Roman"/>
                <w:bCs/>
                <w:color w:val="auto"/>
                <w:sz w:val="24"/>
                <w:highlight w:val="none"/>
              </w:rPr>
              <w:t>生活污水依托开平裕进纺织厂有限公司“混凝沉淀+水解酸化+接触氧化”废水处理系统，</w:t>
            </w:r>
            <w:r>
              <w:rPr>
                <w:rFonts w:ascii="Times New Roman" w:hAnsi="Times New Roman" w:cs="Times New Roman"/>
                <w:color w:val="auto"/>
                <w:sz w:val="24"/>
                <w:szCs w:val="10"/>
                <w:highlight w:val="none"/>
              </w:rPr>
              <w:t>排放标准执行《</w:t>
            </w:r>
            <w:r>
              <w:rPr>
                <w:color w:val="auto"/>
                <w:highlight w:val="none"/>
              </w:rPr>
              <w:fldChar w:fldCharType="begin"/>
            </w:r>
            <w:r>
              <w:rPr>
                <w:color w:val="auto"/>
                <w:highlight w:val="none"/>
              </w:rPr>
              <w:instrText xml:space="preserve"> HYPERLINK "http://kjs.mep.gov.cn/hjbhbz/bzwb/shjbh/swrwpfbz/201211/./W020121116662298626393.pdf" </w:instrText>
            </w:r>
            <w:r>
              <w:rPr>
                <w:color w:val="auto"/>
                <w:highlight w:val="none"/>
              </w:rPr>
              <w:fldChar w:fldCharType="separate"/>
            </w:r>
            <w:r>
              <w:rPr>
                <w:rFonts w:ascii="Times New Roman" w:hAnsi="Times New Roman" w:cs="Times New Roman"/>
                <w:color w:val="auto"/>
                <w:sz w:val="24"/>
                <w:szCs w:val="10"/>
                <w:highlight w:val="none"/>
              </w:rPr>
              <w:t>纺织染整工业水污染物排放标准（GB 4287-2012）</w:t>
            </w:r>
            <w:r>
              <w:rPr>
                <w:rFonts w:ascii="Times New Roman" w:hAnsi="Times New Roman" w:cs="Times New Roman"/>
                <w:color w:val="auto"/>
                <w:sz w:val="24"/>
                <w:szCs w:val="10"/>
                <w:highlight w:val="none"/>
              </w:rPr>
              <w:fldChar w:fldCharType="end"/>
            </w:r>
            <w:r>
              <w:rPr>
                <w:rFonts w:ascii="Times New Roman" w:hAnsi="Times New Roman" w:cs="Times New Roman"/>
                <w:color w:val="auto"/>
                <w:sz w:val="24"/>
                <w:szCs w:val="10"/>
                <w:highlight w:val="none"/>
              </w:rPr>
              <w:t>》中的表2，最后排入</w:t>
            </w:r>
            <w:r>
              <w:rPr>
                <w:rFonts w:ascii="Times New Roman" w:hAnsi="Times New Roman" w:cs="Times New Roman"/>
                <w:color w:val="auto"/>
                <w:sz w:val="24"/>
                <w:highlight w:val="none"/>
              </w:rPr>
              <w:t>镇海水。</w:t>
            </w:r>
          </w:p>
          <w:p>
            <w:pPr>
              <w:pStyle w:val="24"/>
              <w:spacing w:line="360" w:lineRule="auto"/>
              <w:ind w:firstLine="480" w:firstLineChars="200"/>
              <w:jc w:val="both"/>
              <w:rPr>
                <w:rFonts w:ascii="Times New Roman" w:hAnsi="Times New Roman" w:cs="Times New Roman"/>
                <w:b/>
                <w:bCs/>
                <w:color w:val="auto"/>
                <w:kern w:val="2"/>
                <w:highlight w:val="none"/>
              </w:rPr>
            </w:pPr>
            <w:r>
              <w:rPr>
                <w:rFonts w:ascii="Times New Roman" w:hAnsi="Times New Roman" w:cs="Times New Roman"/>
                <w:color w:val="auto"/>
                <w:kern w:val="2"/>
                <w:highlight w:val="none"/>
              </w:rPr>
              <w:t>冷却塔废水（2t/a）和生活污水（432t/a）一同处理，</w:t>
            </w:r>
            <w:r>
              <w:rPr>
                <w:rFonts w:ascii="Times New Roman" w:hAnsi="Times New Roman" w:cs="Times New Roman"/>
                <w:color w:val="auto"/>
                <w:highlight w:val="none"/>
              </w:rPr>
              <w:t>依托开平裕进纺织厂有限公司的厂区污水站（采用“混凝沉淀+水解酸化+接触氧化”工艺）处理达到</w:t>
            </w:r>
            <w:r>
              <w:rPr>
                <w:rFonts w:ascii="Times New Roman" w:hAnsi="Times New Roman" w:cs="Times New Roman"/>
                <w:color w:val="auto"/>
                <w:szCs w:val="10"/>
                <w:highlight w:val="none"/>
              </w:rPr>
              <w:t>《</w:t>
            </w:r>
            <w:r>
              <w:rPr>
                <w:color w:val="auto"/>
                <w:highlight w:val="none"/>
              </w:rPr>
              <w:fldChar w:fldCharType="begin"/>
            </w:r>
            <w:r>
              <w:rPr>
                <w:color w:val="auto"/>
                <w:highlight w:val="none"/>
              </w:rPr>
              <w:instrText xml:space="preserve"> HYPERLINK "http://kjs.mep.gov.cn/hjbhbz/bzwb/shjbh/swrwpfbz/201211/./W020121116662298626393.pdf" </w:instrText>
            </w:r>
            <w:r>
              <w:rPr>
                <w:color w:val="auto"/>
                <w:highlight w:val="none"/>
              </w:rPr>
              <w:fldChar w:fldCharType="separate"/>
            </w:r>
            <w:r>
              <w:rPr>
                <w:rFonts w:ascii="Times New Roman" w:hAnsi="Times New Roman" w:cs="Times New Roman"/>
                <w:color w:val="auto"/>
                <w:szCs w:val="10"/>
                <w:highlight w:val="none"/>
              </w:rPr>
              <w:t>纺织染整工业水污染物排放标准（GB 4287-2012）</w:t>
            </w:r>
            <w:r>
              <w:rPr>
                <w:rFonts w:ascii="Times New Roman" w:hAnsi="Times New Roman" w:cs="Times New Roman"/>
                <w:color w:val="auto"/>
                <w:szCs w:val="10"/>
                <w:highlight w:val="none"/>
              </w:rPr>
              <w:fldChar w:fldCharType="end"/>
            </w:r>
            <w:r>
              <w:rPr>
                <w:rFonts w:ascii="Times New Roman" w:hAnsi="Times New Roman" w:cs="Times New Roman"/>
                <w:color w:val="auto"/>
                <w:szCs w:val="10"/>
                <w:highlight w:val="none"/>
              </w:rPr>
              <w:t>》中的表2标准</w:t>
            </w:r>
            <w:r>
              <w:rPr>
                <w:rFonts w:ascii="Times New Roman" w:hAnsi="Times New Roman" w:cs="Times New Roman"/>
                <w:color w:val="auto"/>
                <w:highlight w:val="none"/>
              </w:rPr>
              <w:t>后，排入镇海水。</w:t>
            </w:r>
          </w:p>
          <w:p>
            <w:pPr>
              <w:numPr>
                <w:ilvl w:val="0"/>
                <w:numId w:val="3"/>
              </w:numPr>
              <w:snapToGrid w:val="0"/>
              <w:spacing w:line="480" w:lineRule="exact"/>
              <w:ind w:firstLine="482" w:firstLineChars="200"/>
              <w:rPr>
                <w:rFonts w:ascii="Times New Roman" w:hAnsi="Times New Roman" w:cs="Times New Roman"/>
                <w:b/>
                <w:bCs/>
                <w:color w:val="auto"/>
                <w:sz w:val="24"/>
                <w:highlight w:val="none"/>
              </w:rPr>
            </w:pPr>
            <w:r>
              <w:rPr>
                <w:rFonts w:ascii="Times New Roman" w:hAnsi="Times New Roman" w:cs="Times New Roman"/>
                <w:b/>
                <w:bCs/>
                <w:color w:val="auto"/>
                <w:sz w:val="24"/>
                <w:highlight w:val="none"/>
              </w:rPr>
              <w:t>项目废水依托处理可行性分析</w:t>
            </w:r>
          </w:p>
          <w:p>
            <w:pPr>
              <w:pStyle w:val="24"/>
              <w:spacing w:line="360" w:lineRule="auto"/>
              <w:ind w:firstLine="480" w:firstLineChars="200"/>
              <w:jc w:val="both"/>
              <w:rPr>
                <w:rFonts w:ascii="Times New Roman" w:hAnsi="Times New Roman" w:cs="Times New Roman" w:eastAsiaTheme="minorEastAsia"/>
                <w:color w:val="auto"/>
                <w:highlight w:val="none"/>
              </w:rPr>
            </w:pPr>
            <w:r>
              <w:rPr>
                <w:rFonts w:hint="eastAsia" w:hAnsi="宋体"/>
                <w:color w:val="auto"/>
                <w:highlight w:val="none"/>
              </w:rPr>
              <w:t>①</w:t>
            </w:r>
            <w:r>
              <w:rPr>
                <w:rFonts w:ascii="Times New Roman" w:hAnsi="Times New Roman" w:cs="Times New Roman" w:eastAsiaTheme="minorEastAsia"/>
                <w:color w:val="auto"/>
                <w:highlight w:val="none"/>
              </w:rPr>
              <w:t>污水</w:t>
            </w:r>
            <w:r>
              <w:rPr>
                <w:rFonts w:hint="eastAsia" w:ascii="Times New Roman" w:hAnsi="Times New Roman" w:cs="Times New Roman" w:eastAsiaTheme="minorEastAsia"/>
                <w:color w:val="auto"/>
                <w:highlight w:val="none"/>
              </w:rPr>
              <w:t>处理</w:t>
            </w:r>
            <w:r>
              <w:rPr>
                <w:rFonts w:ascii="Times New Roman" w:hAnsi="Times New Roman" w:cs="Times New Roman" w:eastAsiaTheme="minorEastAsia"/>
                <w:color w:val="auto"/>
                <w:highlight w:val="none"/>
              </w:rPr>
              <w:t>站工艺可行性分析</w:t>
            </w:r>
          </w:p>
          <w:p>
            <w:pPr>
              <w:snapToGrid w:val="0"/>
              <w:spacing w:line="360" w:lineRule="auto"/>
              <w:ind w:firstLine="480" w:firstLineChars="200"/>
              <w:rPr>
                <w:rFonts w:ascii="Times New Roman" w:hAnsi="Times New Roman" w:cs="Times New Roman"/>
                <w:color w:val="auto"/>
                <w:sz w:val="24"/>
                <w:highlight w:val="none"/>
              </w:rPr>
            </w:pPr>
            <w:r>
              <w:rPr>
                <w:rFonts w:hint="eastAsia" w:ascii="Times New Roman" w:hAnsi="Times New Roman" w:cs="Times New Roman"/>
                <w:color w:val="auto"/>
                <w:sz w:val="24"/>
                <w:highlight w:val="none"/>
              </w:rPr>
              <w:t>本项目</w:t>
            </w:r>
            <w:r>
              <w:rPr>
                <w:rFonts w:ascii="Times New Roman" w:hAnsi="Times New Roman" w:cs="Times New Roman"/>
                <w:color w:val="auto"/>
                <w:sz w:val="24"/>
                <w:highlight w:val="none"/>
              </w:rPr>
              <w:t>综合考虑技术可行性、经济指标、合理性及用地情况等因素，开平裕进纺织厂有限公司的污水站采用“混凝沉淀+水解酸化+接触氧化”工艺，设计处理能力为54t/h，工艺可行性论述如下：</w:t>
            </w:r>
          </w:p>
          <w:p>
            <w:pPr>
              <w:snapToGrid w:val="0"/>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根据废水水质特点及排水要求，若单独使用生化工艺一级处理，不能确保废水稳定达标排放，且经济投资和污水站占地面积均较大，因此污水站采用“混凝沉淀+水解酸化+接触氧化”处理工艺，具有以下特点：</w:t>
            </w:r>
          </w:p>
          <w:p>
            <w:pPr>
              <w:pStyle w:val="24"/>
              <w:spacing w:line="360" w:lineRule="auto"/>
              <w:ind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（1）填料比表面积大，池内充氧条件良好，池内单位容积的生物量较高，因此，生物接触氧化池具有较高的容积负荷；</w:t>
            </w:r>
          </w:p>
          <w:p>
            <w:pPr>
              <w:pStyle w:val="24"/>
              <w:spacing w:line="360" w:lineRule="auto"/>
              <w:ind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（2）生物接触氧化池内生物固体量多，水流完全混合，因此对水质水量的骤变有较强的适应能力；</w:t>
            </w:r>
          </w:p>
          <w:p>
            <w:pPr>
              <w:pStyle w:val="24"/>
              <w:spacing w:line="360" w:lineRule="auto"/>
              <w:ind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（3）水解酸化池可提高废水的可生化性，减少污泥生成量，剩余污泥量少，不存在污泥膨胀问题，运行管理简便。</w:t>
            </w:r>
          </w:p>
          <w:p>
            <w:pPr>
              <w:pStyle w:val="24"/>
              <w:jc w:val="center"/>
              <w:rPr>
                <w:rFonts w:ascii="Times New Roman" w:hAnsi="Times New Roman" w:cs="Times New Roman"/>
                <w:color w:val="auto"/>
                <w:highlight w:val="none"/>
              </w:rPr>
            </w:pPr>
            <w:r>
              <w:rPr>
                <w:color w:val="auto"/>
                <w:highlight w:val="none"/>
              </w:rPr>
              <w:drawing>
                <wp:inline distT="0" distB="0" distL="0" distR="0">
                  <wp:extent cx="3442335" cy="2720340"/>
                  <wp:effectExtent l="0" t="0" r="5715" b="381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pic:cNvPicPr>
                        </pic:nvPicPr>
                        <pic:blipFill>
                          <a:blip r:embed="rId16"/>
                          <a:srcRect l="13725"/>
                          <a:stretch>
                            <a:fillRect/>
                          </a:stretch>
                        </pic:blipFill>
                        <pic:spPr>
                          <a:xfrm>
                            <a:off x="0" y="0"/>
                            <a:ext cx="3462996" cy="2736182"/>
                          </a:xfrm>
                          <a:prstGeom prst="rect">
                            <a:avLst/>
                          </a:prstGeom>
                          <a:ln>
                            <a:noFill/>
                          </a:ln>
                        </pic:spPr>
                      </pic:pic>
                    </a:graphicData>
                  </a:graphic>
                </wp:inline>
              </w:drawing>
            </w:r>
          </w:p>
          <w:p>
            <w:pPr>
              <w:widowControl/>
              <w:jc w:val="center"/>
              <w:rPr>
                <w:rFonts w:ascii="Times New Roman" w:hAnsi="Times New Roman" w:cs="Times New Roman"/>
                <w:color w:val="auto"/>
                <w:highlight w:val="none"/>
              </w:rPr>
            </w:pPr>
            <w:r>
              <w:rPr>
                <w:rFonts w:ascii="Times New Roman" w:hAnsi="Times New Roman" w:eastAsia="宋体" w:cs="Times New Roman"/>
                <w:b/>
                <w:color w:val="auto"/>
                <w:kern w:val="0"/>
                <w:sz w:val="20"/>
                <w:szCs w:val="20"/>
                <w:highlight w:val="none"/>
              </w:rPr>
              <w:t>图</w:t>
            </w:r>
            <w:r>
              <w:rPr>
                <w:rFonts w:hint="eastAsia" w:ascii="Times New Roman" w:hAnsi="Times New Roman" w:eastAsia="宋体" w:cs="Times New Roman"/>
                <w:b/>
                <w:color w:val="auto"/>
                <w:kern w:val="0"/>
                <w:sz w:val="20"/>
                <w:szCs w:val="20"/>
                <w:highlight w:val="none"/>
              </w:rPr>
              <w:t>7-1</w:t>
            </w:r>
            <w:r>
              <w:rPr>
                <w:rFonts w:ascii="Times New Roman" w:hAnsi="Times New Roman" w:cs="Times New Roman"/>
                <w:color w:val="auto"/>
                <w:highlight w:val="none"/>
              </w:rPr>
              <w:t xml:space="preserve"> </w:t>
            </w:r>
            <w:r>
              <w:rPr>
                <w:rFonts w:ascii="Times New Roman" w:hAnsi="Times New Roman" w:eastAsia="宋体" w:cs="Times New Roman"/>
                <w:b/>
                <w:color w:val="auto"/>
                <w:kern w:val="0"/>
                <w:sz w:val="20"/>
                <w:szCs w:val="20"/>
                <w:highlight w:val="none"/>
              </w:rPr>
              <w:t>污水站废水处理工艺流程图</w:t>
            </w:r>
          </w:p>
          <w:p>
            <w:pPr>
              <w:pStyle w:val="24"/>
              <w:spacing w:line="360" w:lineRule="auto"/>
              <w:ind w:firstLine="482" w:firstLineChars="200"/>
              <w:jc w:val="both"/>
              <w:rPr>
                <w:rFonts w:ascii="Times New Roman" w:hAnsi="Times New Roman" w:cs="Times New Roman"/>
                <w:b/>
                <w:bCs/>
                <w:color w:val="auto"/>
                <w:highlight w:val="none"/>
              </w:rPr>
            </w:pPr>
            <w:r>
              <w:rPr>
                <w:rFonts w:ascii="Times New Roman" w:hAnsi="Times New Roman" w:cs="Times New Roman"/>
                <w:b/>
                <w:bCs/>
                <w:color w:val="auto"/>
                <w:highlight w:val="none"/>
              </w:rPr>
              <w:t>工艺流程简述：</w:t>
            </w:r>
          </w:p>
          <w:p>
            <w:pPr>
              <w:pStyle w:val="24"/>
              <w:spacing w:line="360" w:lineRule="auto"/>
              <w:ind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调节池：生活污水经三级化粪池预处理后进入调节池，废水在调节池内经过一定时间的混合，使水质、水量趋于均匀。</w:t>
            </w:r>
          </w:p>
          <w:p>
            <w:pPr>
              <w:pStyle w:val="24"/>
              <w:spacing w:line="360" w:lineRule="auto"/>
              <w:ind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混凝沉淀池：投加 PAC 及 PAM 药剂，使一部分悬浮物凝聚沉淀，降低 SS，提高生化性。沉淀污泥经过沉淀池沉淀后排入干化池，上层过滤废水自流进入下道工序。</w:t>
            </w:r>
          </w:p>
          <w:p>
            <w:pPr>
              <w:pStyle w:val="24"/>
              <w:spacing w:line="360" w:lineRule="auto"/>
              <w:ind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水解酸化池：废水在水解酸化池内，在厌氧菌的作用下，废水中部分有机物得到去除，同时难降解的大分子有机物被分解为易降解的小分子有机物，进一步提高了废水的可生化性。同时在水解酸化池出水端增加一台内循环泵，强化厌氧单元处理效果。经过自流进入生物接触氧化池。</w:t>
            </w:r>
          </w:p>
          <w:p>
            <w:pPr>
              <w:pStyle w:val="24"/>
              <w:spacing w:line="360" w:lineRule="auto"/>
              <w:ind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接触氧化池：生物接触氧化池内部悬挂高密度组合填料以便微生物挂膜，可有效提高微生物种类及数量，提高系统的处理能力，好氧生化部分主要是通过好氧细菌在大量充氧的情况下，起生化作用，消耗污水中的养分，达到降低水中的 CODcr和BOD</w:t>
            </w:r>
            <w:r>
              <w:rPr>
                <w:rFonts w:ascii="Times New Roman" w:hAnsi="Times New Roman" w:cs="Times New Roman"/>
                <w:color w:val="auto"/>
                <w:highlight w:val="none"/>
                <w:vertAlign w:val="subscript"/>
              </w:rPr>
              <w:t>5</w:t>
            </w:r>
            <w:r>
              <w:rPr>
                <w:rFonts w:ascii="Times New Roman" w:hAnsi="Times New Roman" w:cs="Times New Roman"/>
                <w:color w:val="auto"/>
                <w:highlight w:val="none"/>
              </w:rPr>
              <w:t>指标的目的。</w:t>
            </w:r>
          </w:p>
          <w:p>
            <w:pPr>
              <w:pStyle w:val="24"/>
              <w:spacing w:line="360" w:lineRule="auto"/>
              <w:ind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本项目废水水质简单，可生化性较强，项目废水依托开平裕进纺织厂有限公司的污水站（混凝沉淀+水解酸化+接触氧化）处理可达到《纺织染整工业水污染物排放标准（GB 4287-2012）》中的表2标准。</w:t>
            </w:r>
          </w:p>
          <w:p>
            <w:pPr>
              <w:pStyle w:val="24"/>
              <w:spacing w:line="360" w:lineRule="auto"/>
              <w:ind w:firstLine="480" w:firstLineChars="200"/>
              <w:jc w:val="both"/>
              <w:rPr>
                <w:rFonts w:hAnsi="宋体"/>
                <w:color w:val="auto"/>
                <w:highlight w:val="none"/>
              </w:rPr>
            </w:pPr>
            <w:r>
              <w:rPr>
                <w:rFonts w:hint="eastAsia" w:hAnsi="宋体"/>
                <w:color w:val="auto"/>
                <w:highlight w:val="none"/>
              </w:rPr>
              <w:t>②废水产排及污染物产排情况</w:t>
            </w:r>
          </w:p>
          <w:p>
            <w:pPr>
              <w:pStyle w:val="24"/>
              <w:spacing w:line="360" w:lineRule="auto"/>
              <w:ind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项目运营期间需处理</w:t>
            </w:r>
            <w:r>
              <w:rPr>
                <w:rFonts w:ascii="Times New Roman" w:hAnsi="Times New Roman" w:cs="Times New Roman"/>
                <w:color w:val="auto"/>
                <w:kern w:val="2"/>
                <w:highlight w:val="none"/>
              </w:rPr>
              <w:t>冷却废水和生活污水</w:t>
            </w:r>
            <w:r>
              <w:rPr>
                <w:rFonts w:ascii="Times New Roman" w:hAnsi="Times New Roman" w:cs="Times New Roman"/>
                <w:color w:val="auto"/>
                <w:highlight w:val="none"/>
              </w:rPr>
              <w:t>量较小，单独投资建设一座污水站的经济可行性不高。项目与开平裕进纺织厂有限公司位于同一园区，开平裕进纺织厂有限公司</w:t>
            </w:r>
            <w:r>
              <w:rPr>
                <w:rFonts w:ascii="Times New Roman" w:hAnsi="Times New Roman" w:cs="Times New Roman"/>
                <w:bCs/>
                <w:color w:val="auto"/>
                <w:highlight w:val="none"/>
              </w:rPr>
              <w:t>主要从事牛仔布及其服装产品的加工生产，</w:t>
            </w:r>
            <w:r>
              <w:rPr>
                <w:rFonts w:ascii="Times New Roman" w:hAnsi="Times New Roman" w:cs="Times New Roman"/>
                <w:color w:val="auto"/>
                <w:highlight w:val="none"/>
              </w:rPr>
              <w:t>运营期间产生的废水主要为生活污水和印花、染色过程中产生的浆染废水。</w:t>
            </w:r>
          </w:p>
          <w:p>
            <w:pPr>
              <w:pStyle w:val="24"/>
              <w:spacing w:line="360" w:lineRule="auto"/>
              <w:ind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开平裕进纺织厂有限公司污水处理站的设计规模为54t/h，</w:t>
            </w:r>
            <w:r>
              <w:rPr>
                <w:rFonts w:hint="eastAsia" w:ascii="Times New Roman" w:hAnsi="Times New Roman" w:cs="Times New Roman"/>
                <w:color w:val="auto"/>
                <w:highlight w:val="none"/>
              </w:rPr>
              <w:t>按2</w:t>
            </w:r>
            <w:r>
              <w:rPr>
                <w:rFonts w:ascii="Times New Roman" w:hAnsi="Times New Roman" w:cs="Times New Roman"/>
                <w:color w:val="auto"/>
                <w:highlight w:val="none"/>
              </w:rPr>
              <w:t>4</w:t>
            </w:r>
            <w:r>
              <w:rPr>
                <w:rFonts w:hint="eastAsia" w:ascii="Times New Roman" w:hAnsi="Times New Roman" w:cs="Times New Roman"/>
                <w:color w:val="auto"/>
                <w:highlight w:val="none"/>
              </w:rPr>
              <w:t>小时运行计算，年处理能力为4</w:t>
            </w:r>
            <w:r>
              <w:rPr>
                <w:rFonts w:ascii="Times New Roman" w:hAnsi="Times New Roman" w:cs="Times New Roman"/>
                <w:color w:val="auto"/>
                <w:highlight w:val="none"/>
              </w:rPr>
              <w:t>27680</w:t>
            </w:r>
            <w:r>
              <w:rPr>
                <w:rFonts w:hint="eastAsia" w:ascii="Times New Roman" w:hAnsi="Times New Roman" w:cs="Times New Roman"/>
                <w:color w:val="auto"/>
                <w:highlight w:val="none"/>
              </w:rPr>
              <w:t>t/a，</w:t>
            </w:r>
            <w:r>
              <w:rPr>
                <w:rFonts w:ascii="Times New Roman" w:hAnsi="Times New Roman" w:cs="Times New Roman"/>
                <w:color w:val="auto"/>
                <w:highlight w:val="none"/>
              </w:rPr>
              <w:t>开平裕进纺织厂有限公司运营期间生活污水和生产废水的最大排放总量约为348000t/a，本项目废水排放总量约为</w:t>
            </w:r>
            <w:r>
              <w:rPr>
                <w:rFonts w:hint="eastAsia" w:ascii="Times New Roman" w:hAnsi="Times New Roman" w:cs="Times New Roman"/>
                <w:color w:val="auto"/>
                <w:highlight w:val="none"/>
              </w:rPr>
              <w:t>4</w:t>
            </w:r>
            <w:r>
              <w:rPr>
                <w:rFonts w:ascii="Times New Roman" w:hAnsi="Times New Roman" w:cs="Times New Roman"/>
                <w:color w:val="auto"/>
                <w:highlight w:val="none"/>
              </w:rPr>
              <w:t>34</w:t>
            </w:r>
            <w:r>
              <w:rPr>
                <w:rFonts w:hint="eastAsia" w:ascii="Times New Roman" w:hAnsi="Times New Roman" w:cs="Times New Roman"/>
                <w:color w:val="auto"/>
                <w:highlight w:val="none"/>
              </w:rPr>
              <w:t>t/a</w:t>
            </w:r>
            <w:r>
              <w:rPr>
                <w:rFonts w:ascii="Times New Roman" w:hAnsi="Times New Roman" w:cs="Times New Roman"/>
                <w:color w:val="auto"/>
                <w:highlight w:val="none"/>
              </w:rPr>
              <w:t>，</w:t>
            </w:r>
            <w:r>
              <w:rPr>
                <w:rFonts w:hint="eastAsia" w:ascii="Times New Roman" w:hAnsi="Times New Roman" w:cs="Times New Roman"/>
                <w:color w:val="auto"/>
                <w:highlight w:val="none"/>
              </w:rPr>
              <w:t>因此</w:t>
            </w:r>
            <w:r>
              <w:rPr>
                <w:rFonts w:ascii="Times New Roman" w:hAnsi="Times New Roman" w:cs="Times New Roman"/>
                <w:color w:val="auto"/>
                <w:highlight w:val="none"/>
              </w:rPr>
              <w:t>348000</w:t>
            </w:r>
            <w:r>
              <w:rPr>
                <w:rFonts w:hint="eastAsia" w:ascii="Times New Roman" w:hAnsi="Times New Roman" w:cs="Times New Roman"/>
                <w:color w:val="auto"/>
                <w:highlight w:val="none"/>
              </w:rPr>
              <w:t>t/a</w:t>
            </w:r>
            <w:r>
              <w:rPr>
                <w:rFonts w:ascii="Times New Roman" w:hAnsi="Times New Roman" w:cs="Times New Roman"/>
                <w:color w:val="auto"/>
                <w:highlight w:val="none"/>
              </w:rPr>
              <w:t>+434</w:t>
            </w:r>
            <w:r>
              <w:rPr>
                <w:rFonts w:hint="eastAsia" w:ascii="Times New Roman" w:hAnsi="Times New Roman" w:cs="Times New Roman"/>
                <w:color w:val="auto"/>
                <w:highlight w:val="none"/>
              </w:rPr>
              <w:t xml:space="preserve"> t/a =</w:t>
            </w:r>
            <w:r>
              <w:rPr>
                <w:rFonts w:ascii="Times New Roman" w:hAnsi="Times New Roman" w:cs="Times New Roman"/>
                <w:color w:val="auto"/>
                <w:highlight w:val="none"/>
              </w:rPr>
              <w:t>348434&lt;427680</w:t>
            </w:r>
            <w:r>
              <w:rPr>
                <w:rFonts w:hint="eastAsia" w:ascii="Times New Roman" w:hAnsi="Times New Roman" w:cs="Times New Roman"/>
                <w:color w:val="auto"/>
                <w:highlight w:val="none"/>
              </w:rPr>
              <w:t xml:space="preserve"> t/a，本项目</w:t>
            </w:r>
            <w:r>
              <w:rPr>
                <w:rFonts w:ascii="Times New Roman" w:hAnsi="Times New Roman" w:cs="Times New Roman"/>
                <w:color w:val="auto"/>
                <w:highlight w:val="none"/>
              </w:rPr>
              <w:t>所</w:t>
            </w:r>
            <w:r>
              <w:rPr>
                <w:rFonts w:hint="eastAsia" w:ascii="Times New Roman" w:hAnsi="Times New Roman" w:cs="Times New Roman"/>
                <w:color w:val="auto"/>
                <w:highlight w:val="none"/>
                <w:lang w:val="en-US" w:eastAsia="zh-CN"/>
              </w:rPr>
              <w:t>产生</w:t>
            </w:r>
            <w:r>
              <w:rPr>
                <w:rFonts w:ascii="Times New Roman" w:hAnsi="Times New Roman" w:cs="Times New Roman"/>
                <w:color w:val="auto"/>
                <w:highlight w:val="none"/>
              </w:rPr>
              <w:t>的废水</w:t>
            </w:r>
            <w:r>
              <w:rPr>
                <w:rFonts w:hint="eastAsia" w:ascii="Times New Roman" w:hAnsi="Times New Roman" w:cs="Times New Roman"/>
                <w:color w:val="auto"/>
                <w:highlight w:val="none"/>
                <w:lang w:val="en-US" w:eastAsia="zh-CN"/>
              </w:rPr>
              <w:t>处理后污染物排放不超过</w:t>
            </w:r>
            <w:r>
              <w:rPr>
                <w:rFonts w:ascii="Times New Roman" w:hAnsi="Times New Roman" w:cs="Times New Roman"/>
                <w:color w:val="auto"/>
                <w:highlight w:val="none"/>
              </w:rPr>
              <w:t>开平裕进纺织厂有限公司</w:t>
            </w:r>
            <w:r>
              <w:rPr>
                <w:rFonts w:hint="eastAsia" w:ascii="Times New Roman" w:hAnsi="Times New Roman" w:cs="Times New Roman"/>
                <w:color w:val="auto"/>
                <w:highlight w:val="none"/>
                <w:lang w:val="en-US" w:eastAsia="zh-CN"/>
              </w:rPr>
              <w:t>排污许可证总量限制</w:t>
            </w:r>
            <w:r>
              <w:rPr>
                <w:rFonts w:ascii="Times New Roman" w:hAnsi="Times New Roman" w:cs="Times New Roman"/>
                <w:color w:val="auto"/>
                <w:highlight w:val="none"/>
              </w:rPr>
              <w:t>，</w:t>
            </w:r>
            <w:r>
              <w:rPr>
                <w:rFonts w:hint="eastAsia" w:ascii="Times New Roman" w:hAnsi="Times New Roman" w:cs="Times New Roman"/>
                <w:color w:val="auto"/>
                <w:highlight w:val="none"/>
                <w:lang w:val="en-US" w:eastAsia="zh-CN"/>
              </w:rPr>
              <w:t>并以签订委托排放协议，</w:t>
            </w:r>
            <w:r>
              <w:rPr>
                <w:rFonts w:ascii="Times New Roman" w:hAnsi="Times New Roman" w:cs="Times New Roman"/>
                <w:color w:val="auto"/>
                <w:highlight w:val="none"/>
              </w:rPr>
              <w:t>对污水站正常运行造成的冲击较小，不会使污水站超负荷运行。开平裕进纺织厂有限公司</w:t>
            </w:r>
            <w:r>
              <w:rPr>
                <w:rFonts w:hint="eastAsia" w:ascii="Times New Roman" w:hAnsi="Times New Roman" w:cs="Times New Roman"/>
                <w:color w:val="auto"/>
                <w:highlight w:val="none"/>
              </w:rPr>
              <w:t>废水产排情况见下表：</w:t>
            </w:r>
          </w:p>
          <w:p>
            <w:pPr>
              <w:pStyle w:val="41"/>
              <w:rPr>
                <w:rFonts w:ascii="Times New Roman" w:hAnsi="Times New Roman" w:cs="Times New Roman"/>
                <w:b/>
                <w:bCs/>
                <w:color w:val="auto"/>
                <w:highlight w:val="none"/>
              </w:rPr>
            </w:pPr>
            <w:r>
              <w:rPr>
                <w:rFonts w:ascii="Times New Roman" w:hAnsi="Times New Roman" w:cs="Times New Roman"/>
                <w:b/>
                <w:bCs/>
                <w:color w:val="auto"/>
                <w:highlight w:val="none"/>
              </w:rPr>
              <w:t>表</w:t>
            </w:r>
            <w:r>
              <w:rPr>
                <w:rFonts w:hint="eastAsia" w:ascii="Times New Roman" w:hAnsi="Times New Roman" w:cs="Times New Roman"/>
                <w:b/>
                <w:bCs/>
                <w:color w:val="auto"/>
                <w:highlight w:val="none"/>
              </w:rPr>
              <w:t>7-1</w:t>
            </w:r>
            <w:r>
              <w:rPr>
                <w:rFonts w:ascii="Times New Roman" w:hAnsi="Times New Roman" w:cs="Times New Roman"/>
                <w:b/>
                <w:bCs/>
                <w:color w:val="auto"/>
                <w:highlight w:val="none"/>
              </w:rPr>
              <w:t xml:space="preserve"> </w:t>
            </w:r>
            <w:r>
              <w:rPr>
                <w:rFonts w:hint="eastAsia" w:ascii="Times New Roman" w:hAnsi="Times New Roman" w:cs="Times New Roman"/>
                <w:b/>
                <w:bCs/>
                <w:color w:val="auto"/>
                <w:highlight w:val="none"/>
              </w:rPr>
              <w:t>开平裕进纺织厂有限公司废水目前产排情况一览表</w:t>
            </w:r>
          </w:p>
          <w:tbl>
            <w:tblPr>
              <w:tblStyle w:val="23"/>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1185"/>
              <w:gridCol w:w="1185"/>
              <w:gridCol w:w="1185"/>
              <w:gridCol w:w="1185"/>
              <w:gridCol w:w="1185"/>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6" w:type="dxa"/>
                  <w:vAlign w:val="center"/>
                </w:tcPr>
                <w:p>
                  <w:pPr>
                    <w:jc w:val="center"/>
                    <w:rPr>
                      <w:rFonts w:ascii="Times New Roman" w:hAnsi="Times New Roman" w:cs="Times New Roman"/>
                      <w:b/>
                      <w:bCs/>
                      <w:color w:val="auto"/>
                      <w:highlight w:val="none"/>
                    </w:rPr>
                  </w:pPr>
                  <w:r>
                    <w:rPr>
                      <w:rFonts w:ascii="Times New Roman" w:hAnsi="Times New Roman" w:cs="Times New Roman"/>
                      <w:b/>
                      <w:bCs/>
                      <w:color w:val="auto"/>
                      <w:highlight w:val="none"/>
                    </w:rPr>
                    <w:t>种类</w:t>
                  </w:r>
                </w:p>
              </w:tc>
              <w:tc>
                <w:tcPr>
                  <w:tcW w:w="1185" w:type="dxa"/>
                  <w:vAlign w:val="center"/>
                </w:tcPr>
                <w:p>
                  <w:pPr>
                    <w:jc w:val="center"/>
                    <w:rPr>
                      <w:rFonts w:ascii="Times New Roman" w:hAnsi="Times New Roman" w:cs="Times New Roman"/>
                      <w:b/>
                      <w:bCs/>
                      <w:color w:val="auto"/>
                      <w:highlight w:val="none"/>
                    </w:rPr>
                  </w:pPr>
                  <w:r>
                    <w:rPr>
                      <w:rFonts w:ascii="Times New Roman" w:hAnsi="Times New Roman" w:cs="Times New Roman"/>
                      <w:b/>
                      <w:bCs/>
                      <w:color w:val="auto"/>
                      <w:highlight w:val="none"/>
                    </w:rPr>
                    <w:t>水量（t/a）</w:t>
                  </w:r>
                </w:p>
              </w:tc>
              <w:tc>
                <w:tcPr>
                  <w:tcW w:w="1185" w:type="dxa"/>
                  <w:vAlign w:val="center"/>
                </w:tcPr>
                <w:p>
                  <w:pPr>
                    <w:jc w:val="center"/>
                    <w:rPr>
                      <w:rFonts w:ascii="Times New Roman" w:hAnsi="Times New Roman" w:cs="Times New Roman"/>
                      <w:b/>
                      <w:bCs/>
                      <w:color w:val="auto"/>
                      <w:highlight w:val="none"/>
                    </w:rPr>
                  </w:pPr>
                  <w:r>
                    <w:rPr>
                      <w:rFonts w:ascii="Times New Roman" w:hAnsi="Times New Roman" w:cs="Times New Roman"/>
                      <w:b/>
                      <w:bCs/>
                      <w:color w:val="auto"/>
                      <w:highlight w:val="none"/>
                    </w:rPr>
                    <w:t>产生浓度（mg/L）</w:t>
                  </w:r>
                </w:p>
              </w:tc>
              <w:tc>
                <w:tcPr>
                  <w:tcW w:w="1185" w:type="dxa"/>
                  <w:vAlign w:val="center"/>
                </w:tcPr>
                <w:p>
                  <w:pPr>
                    <w:jc w:val="center"/>
                    <w:rPr>
                      <w:rFonts w:ascii="Times New Roman" w:hAnsi="Times New Roman" w:cs="Times New Roman"/>
                      <w:b/>
                      <w:bCs/>
                      <w:color w:val="auto"/>
                      <w:highlight w:val="none"/>
                    </w:rPr>
                  </w:pPr>
                  <w:r>
                    <w:rPr>
                      <w:rFonts w:ascii="Times New Roman" w:hAnsi="Times New Roman" w:cs="Times New Roman"/>
                      <w:b/>
                      <w:bCs/>
                      <w:color w:val="auto"/>
                      <w:highlight w:val="none"/>
                    </w:rPr>
                    <w:t>产生量（t/a）</w:t>
                  </w:r>
                </w:p>
              </w:tc>
              <w:tc>
                <w:tcPr>
                  <w:tcW w:w="1185" w:type="dxa"/>
                  <w:vAlign w:val="center"/>
                </w:tcPr>
                <w:p>
                  <w:pPr>
                    <w:jc w:val="center"/>
                    <w:rPr>
                      <w:rFonts w:ascii="Times New Roman" w:hAnsi="Times New Roman" w:cs="Times New Roman"/>
                      <w:b/>
                      <w:bCs/>
                      <w:color w:val="auto"/>
                      <w:highlight w:val="none"/>
                    </w:rPr>
                  </w:pPr>
                  <w:r>
                    <w:rPr>
                      <w:rFonts w:ascii="Times New Roman" w:hAnsi="Times New Roman" w:cs="Times New Roman"/>
                      <w:b/>
                      <w:bCs/>
                      <w:color w:val="auto"/>
                      <w:highlight w:val="none"/>
                    </w:rPr>
                    <w:t>排放浓度（mg/L）</w:t>
                  </w:r>
                </w:p>
              </w:tc>
              <w:tc>
                <w:tcPr>
                  <w:tcW w:w="1185" w:type="dxa"/>
                  <w:vAlign w:val="center"/>
                </w:tcPr>
                <w:p>
                  <w:pPr>
                    <w:jc w:val="center"/>
                    <w:rPr>
                      <w:rFonts w:ascii="Times New Roman" w:hAnsi="Times New Roman" w:cs="Times New Roman"/>
                      <w:b/>
                      <w:bCs/>
                      <w:color w:val="auto"/>
                      <w:highlight w:val="none"/>
                    </w:rPr>
                  </w:pPr>
                  <w:r>
                    <w:rPr>
                      <w:rFonts w:ascii="Times New Roman" w:hAnsi="Times New Roman" w:cs="Times New Roman"/>
                      <w:b/>
                      <w:bCs/>
                      <w:color w:val="auto"/>
                      <w:highlight w:val="none"/>
                    </w:rPr>
                    <w:t>排放量（t/a）</w:t>
                  </w:r>
                </w:p>
              </w:tc>
              <w:tc>
                <w:tcPr>
                  <w:tcW w:w="1185" w:type="dxa"/>
                  <w:vAlign w:val="center"/>
                </w:tcPr>
                <w:p>
                  <w:pPr>
                    <w:jc w:val="center"/>
                    <w:rPr>
                      <w:rFonts w:ascii="Times New Roman" w:hAnsi="Times New Roman" w:cs="Times New Roman"/>
                      <w:b/>
                      <w:bCs/>
                      <w:color w:val="auto"/>
                      <w:highlight w:val="none"/>
                    </w:rPr>
                  </w:pPr>
                  <w:r>
                    <w:rPr>
                      <w:rFonts w:hint="eastAsia" w:ascii="Times New Roman" w:hAnsi="Times New Roman" w:cs="Times New Roman"/>
                      <w:b/>
                      <w:bCs/>
                      <w:color w:val="auto"/>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6" w:type="dxa"/>
                  <w:vAlign w:val="center"/>
                </w:tcPr>
                <w:p>
                  <w:pPr>
                    <w:jc w:val="center"/>
                    <w:rPr>
                      <w:rFonts w:ascii="Times New Roman" w:hAnsi="Times New Roman" w:cs="Times New Roman"/>
                      <w:color w:val="auto"/>
                      <w:highlight w:val="none"/>
                    </w:rPr>
                  </w:pPr>
                  <w:r>
                    <w:rPr>
                      <w:rFonts w:ascii="Times New Roman" w:hAnsi="Times New Roman" w:cs="Times New Roman"/>
                      <w:color w:val="auto"/>
                      <w:highlight w:val="none"/>
                    </w:rPr>
                    <w:t>COD</w:t>
                  </w:r>
                  <w:r>
                    <w:rPr>
                      <w:rFonts w:ascii="Times New Roman" w:hAnsi="Times New Roman" w:cs="Times New Roman"/>
                      <w:color w:val="auto"/>
                      <w:highlight w:val="none"/>
                      <w:vertAlign w:val="subscript"/>
                    </w:rPr>
                    <w:t>Cr</w:t>
                  </w:r>
                </w:p>
              </w:tc>
              <w:tc>
                <w:tcPr>
                  <w:tcW w:w="1185" w:type="dxa"/>
                  <w:vMerge w:val="restart"/>
                  <w:vAlign w:val="center"/>
                </w:tcPr>
                <w:p>
                  <w:pPr>
                    <w:jc w:val="center"/>
                    <w:rPr>
                      <w:rFonts w:ascii="Times New Roman" w:hAnsi="Times New Roman" w:cs="Times New Roman"/>
                      <w:color w:val="auto"/>
                      <w:highlight w:val="none"/>
                    </w:rPr>
                  </w:pPr>
                  <w:r>
                    <w:rPr>
                      <w:rFonts w:ascii="Times New Roman" w:hAnsi="Times New Roman" w:cs="Times New Roman"/>
                      <w:color w:val="auto"/>
                      <w:highlight w:val="none"/>
                    </w:rPr>
                    <w:t>348000</w:t>
                  </w:r>
                </w:p>
              </w:tc>
              <w:tc>
                <w:tcPr>
                  <w:tcW w:w="1185" w:type="dxa"/>
                  <w:vAlign w:val="center"/>
                </w:tcPr>
                <w:p>
                  <w:pPr>
                    <w:jc w:val="center"/>
                    <w:rPr>
                      <w:rFonts w:ascii="Times New Roman" w:hAnsi="Times New Roman" w:cs="Times New Roman"/>
                      <w:color w:val="auto"/>
                      <w:highlight w:val="none"/>
                    </w:rPr>
                  </w:pPr>
                  <w:r>
                    <w:rPr>
                      <w:rFonts w:ascii="Times New Roman" w:hAnsi="Times New Roman" w:eastAsia="等线" w:cs="Times New Roman"/>
                      <w:color w:val="auto"/>
                      <w:szCs w:val="21"/>
                      <w:highlight w:val="none"/>
                    </w:rPr>
                    <w:t>300</w:t>
                  </w:r>
                </w:p>
              </w:tc>
              <w:tc>
                <w:tcPr>
                  <w:tcW w:w="1185" w:type="dxa"/>
                  <w:vAlign w:val="center"/>
                </w:tcPr>
                <w:p>
                  <w:pPr>
                    <w:jc w:val="center"/>
                    <w:rPr>
                      <w:rFonts w:ascii="Times New Roman" w:hAnsi="Times New Roman" w:cs="Times New Roman"/>
                      <w:color w:val="auto"/>
                      <w:highlight w:val="none"/>
                    </w:rPr>
                  </w:pPr>
                  <w:r>
                    <w:rPr>
                      <w:rFonts w:ascii="Times New Roman" w:hAnsi="Times New Roman" w:eastAsia="等线" w:cs="Times New Roman"/>
                      <w:color w:val="auto"/>
                      <w:szCs w:val="21"/>
                      <w:highlight w:val="none"/>
                    </w:rPr>
                    <w:t xml:space="preserve">104.40 </w:t>
                  </w:r>
                </w:p>
              </w:tc>
              <w:tc>
                <w:tcPr>
                  <w:tcW w:w="1185" w:type="dxa"/>
                  <w:vAlign w:val="center"/>
                </w:tcPr>
                <w:p>
                  <w:pPr>
                    <w:jc w:val="center"/>
                    <w:rPr>
                      <w:rFonts w:ascii="Times New Roman" w:hAnsi="Times New Roman" w:cs="Times New Roman"/>
                      <w:color w:val="auto"/>
                      <w:highlight w:val="none"/>
                    </w:rPr>
                  </w:pPr>
                  <w:r>
                    <w:rPr>
                      <w:rFonts w:ascii="Times New Roman" w:hAnsi="Times New Roman" w:eastAsia="等线" w:cs="Times New Roman"/>
                      <w:color w:val="auto"/>
                      <w:szCs w:val="21"/>
                      <w:highlight w:val="none"/>
                    </w:rPr>
                    <w:t>80</w:t>
                  </w:r>
                </w:p>
              </w:tc>
              <w:tc>
                <w:tcPr>
                  <w:tcW w:w="1185" w:type="dxa"/>
                  <w:vAlign w:val="center"/>
                </w:tcPr>
                <w:p>
                  <w:pPr>
                    <w:jc w:val="center"/>
                    <w:rPr>
                      <w:rFonts w:ascii="Times New Roman" w:hAnsi="Times New Roman" w:cs="Times New Roman"/>
                      <w:color w:val="auto"/>
                      <w:highlight w:val="none"/>
                    </w:rPr>
                  </w:pPr>
                  <w:r>
                    <w:rPr>
                      <w:rFonts w:ascii="Times New Roman" w:hAnsi="Times New Roman" w:eastAsia="等线" w:cs="Times New Roman"/>
                      <w:color w:val="auto"/>
                      <w:szCs w:val="21"/>
                      <w:highlight w:val="none"/>
                    </w:rPr>
                    <w:t xml:space="preserve">27.84 </w:t>
                  </w:r>
                </w:p>
              </w:tc>
              <w:tc>
                <w:tcPr>
                  <w:tcW w:w="1185" w:type="dxa"/>
                  <w:vAlign w:val="center"/>
                </w:tcPr>
                <w:p>
                  <w:pPr>
                    <w:jc w:val="center"/>
                    <w:rPr>
                      <w:rFonts w:ascii="Times New Roman" w:hAnsi="Times New Roman" w:cs="Times New Roman"/>
                      <w:color w:val="auto"/>
                      <w:highlight w:val="none"/>
                    </w:rPr>
                  </w:pPr>
                  <w:r>
                    <w:rPr>
                      <w:rFonts w:hint="eastAsia" w:ascii="Times New Roman" w:hAnsi="Times New Roman" w:cs="Times New Roman"/>
                      <w:color w:val="auto"/>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6" w:type="dxa"/>
                  <w:vAlign w:val="center"/>
                </w:tcPr>
                <w:p>
                  <w:pPr>
                    <w:jc w:val="center"/>
                    <w:rPr>
                      <w:rFonts w:ascii="Times New Roman" w:hAnsi="Times New Roman" w:cs="Times New Roman"/>
                      <w:color w:val="auto"/>
                      <w:highlight w:val="none"/>
                    </w:rPr>
                  </w:pPr>
                  <w:r>
                    <w:rPr>
                      <w:rFonts w:ascii="Times New Roman" w:hAnsi="Times New Roman" w:cs="Times New Roman"/>
                      <w:color w:val="auto"/>
                      <w:highlight w:val="none"/>
                    </w:rPr>
                    <w:t>BOD</w:t>
                  </w:r>
                  <w:r>
                    <w:rPr>
                      <w:rFonts w:ascii="Times New Roman" w:hAnsi="Times New Roman" w:cs="Times New Roman"/>
                      <w:color w:val="auto"/>
                      <w:highlight w:val="none"/>
                      <w:vertAlign w:val="subscript"/>
                    </w:rPr>
                    <w:t>5</w:t>
                  </w:r>
                </w:p>
              </w:tc>
              <w:tc>
                <w:tcPr>
                  <w:tcW w:w="1185" w:type="dxa"/>
                  <w:vMerge w:val="continue"/>
                  <w:vAlign w:val="center"/>
                </w:tcPr>
                <w:p>
                  <w:pPr>
                    <w:jc w:val="center"/>
                    <w:rPr>
                      <w:rFonts w:ascii="Times New Roman" w:hAnsi="Times New Roman" w:cs="Times New Roman"/>
                      <w:color w:val="auto"/>
                      <w:highlight w:val="none"/>
                    </w:rPr>
                  </w:pPr>
                </w:p>
              </w:tc>
              <w:tc>
                <w:tcPr>
                  <w:tcW w:w="1185" w:type="dxa"/>
                  <w:vAlign w:val="center"/>
                </w:tcPr>
                <w:p>
                  <w:pPr>
                    <w:jc w:val="center"/>
                    <w:rPr>
                      <w:rFonts w:ascii="Times New Roman" w:hAnsi="Times New Roman" w:cs="Times New Roman"/>
                      <w:color w:val="auto"/>
                      <w:highlight w:val="none"/>
                    </w:rPr>
                  </w:pPr>
                  <w:r>
                    <w:rPr>
                      <w:rFonts w:ascii="Times New Roman" w:hAnsi="Times New Roman" w:eastAsia="等线" w:cs="Times New Roman"/>
                      <w:color w:val="auto"/>
                      <w:szCs w:val="21"/>
                      <w:highlight w:val="none"/>
                    </w:rPr>
                    <w:t>150</w:t>
                  </w:r>
                </w:p>
              </w:tc>
              <w:tc>
                <w:tcPr>
                  <w:tcW w:w="1185" w:type="dxa"/>
                  <w:vAlign w:val="center"/>
                </w:tcPr>
                <w:p>
                  <w:pPr>
                    <w:jc w:val="center"/>
                    <w:rPr>
                      <w:rFonts w:ascii="Times New Roman" w:hAnsi="Times New Roman" w:cs="Times New Roman"/>
                      <w:color w:val="auto"/>
                      <w:highlight w:val="none"/>
                    </w:rPr>
                  </w:pPr>
                  <w:r>
                    <w:rPr>
                      <w:rFonts w:ascii="Times New Roman" w:hAnsi="Times New Roman" w:eastAsia="等线" w:cs="Times New Roman"/>
                      <w:color w:val="auto"/>
                      <w:szCs w:val="21"/>
                      <w:highlight w:val="none"/>
                    </w:rPr>
                    <w:t xml:space="preserve">52.20 </w:t>
                  </w:r>
                </w:p>
              </w:tc>
              <w:tc>
                <w:tcPr>
                  <w:tcW w:w="1185" w:type="dxa"/>
                  <w:vAlign w:val="center"/>
                </w:tcPr>
                <w:p>
                  <w:pPr>
                    <w:jc w:val="center"/>
                    <w:rPr>
                      <w:rFonts w:ascii="Times New Roman" w:hAnsi="Times New Roman" w:cs="Times New Roman"/>
                      <w:color w:val="auto"/>
                      <w:highlight w:val="none"/>
                    </w:rPr>
                  </w:pPr>
                  <w:r>
                    <w:rPr>
                      <w:rFonts w:ascii="Times New Roman" w:hAnsi="Times New Roman" w:eastAsia="等线" w:cs="Times New Roman"/>
                      <w:color w:val="auto"/>
                      <w:szCs w:val="21"/>
                      <w:highlight w:val="none"/>
                    </w:rPr>
                    <w:t>20</w:t>
                  </w:r>
                </w:p>
              </w:tc>
              <w:tc>
                <w:tcPr>
                  <w:tcW w:w="1185" w:type="dxa"/>
                  <w:vAlign w:val="center"/>
                </w:tcPr>
                <w:p>
                  <w:pPr>
                    <w:jc w:val="center"/>
                    <w:rPr>
                      <w:rFonts w:ascii="Times New Roman" w:hAnsi="Times New Roman" w:cs="Times New Roman"/>
                      <w:color w:val="auto"/>
                      <w:highlight w:val="none"/>
                    </w:rPr>
                  </w:pPr>
                  <w:r>
                    <w:rPr>
                      <w:rFonts w:ascii="Times New Roman" w:hAnsi="Times New Roman" w:eastAsia="等线" w:cs="Times New Roman"/>
                      <w:color w:val="auto"/>
                      <w:szCs w:val="21"/>
                      <w:highlight w:val="none"/>
                    </w:rPr>
                    <w:t xml:space="preserve">6.96 </w:t>
                  </w:r>
                </w:p>
              </w:tc>
              <w:tc>
                <w:tcPr>
                  <w:tcW w:w="1185" w:type="dxa"/>
                  <w:vAlign w:val="center"/>
                </w:tcPr>
                <w:p>
                  <w:pPr>
                    <w:jc w:val="center"/>
                    <w:rPr>
                      <w:rFonts w:ascii="Times New Roman" w:hAnsi="Times New Roman" w:cs="Times New Roman"/>
                      <w:color w:val="auto"/>
                      <w:highlight w:val="none"/>
                    </w:rPr>
                  </w:pPr>
                  <w:r>
                    <w:rPr>
                      <w:rFonts w:hint="eastAsia" w:ascii="Times New Roman" w:hAnsi="Times New Roman" w:cs="Times New Roman"/>
                      <w:color w:val="auto"/>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6" w:type="dxa"/>
                  <w:vAlign w:val="center"/>
                </w:tcPr>
                <w:p>
                  <w:pPr>
                    <w:jc w:val="center"/>
                    <w:rPr>
                      <w:rFonts w:ascii="Times New Roman" w:hAnsi="Times New Roman" w:cs="Times New Roman"/>
                      <w:color w:val="auto"/>
                      <w:highlight w:val="none"/>
                    </w:rPr>
                  </w:pPr>
                  <w:r>
                    <w:rPr>
                      <w:rFonts w:ascii="Times New Roman" w:hAnsi="Times New Roman" w:cs="Times New Roman"/>
                      <w:color w:val="auto"/>
                      <w:highlight w:val="none"/>
                    </w:rPr>
                    <w:t>SS</w:t>
                  </w:r>
                </w:p>
              </w:tc>
              <w:tc>
                <w:tcPr>
                  <w:tcW w:w="1185" w:type="dxa"/>
                  <w:vMerge w:val="continue"/>
                  <w:vAlign w:val="center"/>
                </w:tcPr>
                <w:p>
                  <w:pPr>
                    <w:jc w:val="center"/>
                    <w:rPr>
                      <w:rFonts w:ascii="Times New Roman" w:hAnsi="Times New Roman" w:cs="Times New Roman"/>
                      <w:color w:val="auto"/>
                      <w:highlight w:val="none"/>
                    </w:rPr>
                  </w:pPr>
                </w:p>
              </w:tc>
              <w:tc>
                <w:tcPr>
                  <w:tcW w:w="1185" w:type="dxa"/>
                  <w:vAlign w:val="center"/>
                </w:tcPr>
                <w:p>
                  <w:pPr>
                    <w:jc w:val="center"/>
                    <w:rPr>
                      <w:rFonts w:ascii="Times New Roman" w:hAnsi="Times New Roman" w:cs="Times New Roman"/>
                      <w:color w:val="auto"/>
                      <w:highlight w:val="none"/>
                    </w:rPr>
                  </w:pPr>
                  <w:r>
                    <w:rPr>
                      <w:rFonts w:ascii="Times New Roman" w:hAnsi="Times New Roman" w:eastAsia="等线" w:cs="Times New Roman"/>
                      <w:color w:val="auto"/>
                      <w:szCs w:val="21"/>
                      <w:highlight w:val="none"/>
                    </w:rPr>
                    <w:t>150</w:t>
                  </w:r>
                </w:p>
              </w:tc>
              <w:tc>
                <w:tcPr>
                  <w:tcW w:w="1185" w:type="dxa"/>
                  <w:vAlign w:val="center"/>
                </w:tcPr>
                <w:p>
                  <w:pPr>
                    <w:jc w:val="center"/>
                    <w:rPr>
                      <w:rFonts w:ascii="Times New Roman" w:hAnsi="Times New Roman" w:cs="Times New Roman"/>
                      <w:color w:val="auto"/>
                      <w:highlight w:val="none"/>
                    </w:rPr>
                  </w:pPr>
                  <w:r>
                    <w:rPr>
                      <w:rFonts w:ascii="Times New Roman" w:hAnsi="Times New Roman" w:eastAsia="等线" w:cs="Times New Roman"/>
                      <w:color w:val="auto"/>
                      <w:szCs w:val="21"/>
                      <w:highlight w:val="none"/>
                    </w:rPr>
                    <w:t xml:space="preserve">52.20 </w:t>
                  </w:r>
                </w:p>
              </w:tc>
              <w:tc>
                <w:tcPr>
                  <w:tcW w:w="1185" w:type="dxa"/>
                  <w:vAlign w:val="center"/>
                </w:tcPr>
                <w:p>
                  <w:pPr>
                    <w:jc w:val="center"/>
                    <w:rPr>
                      <w:rFonts w:ascii="Times New Roman" w:hAnsi="Times New Roman" w:cs="Times New Roman"/>
                      <w:color w:val="auto"/>
                      <w:highlight w:val="none"/>
                    </w:rPr>
                  </w:pPr>
                  <w:r>
                    <w:rPr>
                      <w:rFonts w:ascii="Times New Roman" w:hAnsi="Times New Roman" w:eastAsia="等线" w:cs="Times New Roman"/>
                      <w:color w:val="auto"/>
                      <w:szCs w:val="21"/>
                      <w:highlight w:val="none"/>
                    </w:rPr>
                    <w:t>50</w:t>
                  </w:r>
                </w:p>
              </w:tc>
              <w:tc>
                <w:tcPr>
                  <w:tcW w:w="1185" w:type="dxa"/>
                  <w:vAlign w:val="center"/>
                </w:tcPr>
                <w:p>
                  <w:pPr>
                    <w:jc w:val="center"/>
                    <w:rPr>
                      <w:rFonts w:ascii="Times New Roman" w:hAnsi="Times New Roman" w:cs="Times New Roman"/>
                      <w:color w:val="auto"/>
                      <w:highlight w:val="none"/>
                    </w:rPr>
                  </w:pPr>
                  <w:r>
                    <w:rPr>
                      <w:rFonts w:ascii="Times New Roman" w:hAnsi="Times New Roman" w:eastAsia="等线" w:cs="Times New Roman"/>
                      <w:color w:val="auto"/>
                      <w:szCs w:val="21"/>
                      <w:highlight w:val="none"/>
                    </w:rPr>
                    <w:t xml:space="preserve">17.40 </w:t>
                  </w:r>
                </w:p>
              </w:tc>
              <w:tc>
                <w:tcPr>
                  <w:tcW w:w="1185" w:type="dxa"/>
                  <w:vAlign w:val="center"/>
                </w:tcPr>
                <w:p>
                  <w:pPr>
                    <w:jc w:val="center"/>
                    <w:rPr>
                      <w:rFonts w:ascii="Times New Roman" w:hAnsi="Times New Roman" w:cs="Times New Roman"/>
                      <w:color w:val="auto"/>
                      <w:highlight w:val="none"/>
                    </w:rPr>
                  </w:pPr>
                  <w:r>
                    <w:rPr>
                      <w:rFonts w:hint="eastAsia" w:ascii="Times New Roman" w:hAnsi="Times New Roman" w:cs="Times New Roman"/>
                      <w:color w:val="auto"/>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6" w:type="dxa"/>
                  <w:vAlign w:val="center"/>
                </w:tcPr>
                <w:p>
                  <w:pPr>
                    <w:jc w:val="center"/>
                    <w:rPr>
                      <w:rFonts w:ascii="Times New Roman" w:hAnsi="Times New Roman" w:cs="Times New Roman"/>
                      <w:color w:val="auto"/>
                      <w:highlight w:val="none"/>
                    </w:rPr>
                  </w:pPr>
                  <w:r>
                    <w:rPr>
                      <w:rFonts w:ascii="Times New Roman" w:hAnsi="Times New Roman" w:cs="Times New Roman"/>
                      <w:color w:val="auto"/>
                      <w:highlight w:val="none"/>
                    </w:rPr>
                    <w:t>氨氮</w:t>
                  </w:r>
                </w:p>
              </w:tc>
              <w:tc>
                <w:tcPr>
                  <w:tcW w:w="1185" w:type="dxa"/>
                  <w:vMerge w:val="continue"/>
                  <w:vAlign w:val="center"/>
                </w:tcPr>
                <w:p>
                  <w:pPr>
                    <w:jc w:val="center"/>
                    <w:rPr>
                      <w:rFonts w:ascii="Times New Roman" w:hAnsi="Times New Roman" w:cs="Times New Roman"/>
                      <w:color w:val="auto"/>
                      <w:highlight w:val="none"/>
                    </w:rPr>
                  </w:pPr>
                </w:p>
              </w:tc>
              <w:tc>
                <w:tcPr>
                  <w:tcW w:w="1185" w:type="dxa"/>
                  <w:vAlign w:val="center"/>
                </w:tcPr>
                <w:p>
                  <w:pPr>
                    <w:jc w:val="center"/>
                    <w:rPr>
                      <w:rFonts w:ascii="Times New Roman" w:hAnsi="Times New Roman" w:cs="Times New Roman"/>
                      <w:color w:val="auto"/>
                      <w:highlight w:val="none"/>
                    </w:rPr>
                  </w:pPr>
                  <w:r>
                    <w:rPr>
                      <w:rFonts w:ascii="Times New Roman" w:hAnsi="Times New Roman" w:eastAsia="等线" w:cs="Times New Roman"/>
                      <w:color w:val="auto"/>
                      <w:szCs w:val="21"/>
                      <w:highlight w:val="none"/>
                    </w:rPr>
                    <w:t>20</w:t>
                  </w:r>
                </w:p>
              </w:tc>
              <w:tc>
                <w:tcPr>
                  <w:tcW w:w="1185" w:type="dxa"/>
                  <w:vAlign w:val="center"/>
                </w:tcPr>
                <w:p>
                  <w:pPr>
                    <w:jc w:val="center"/>
                    <w:rPr>
                      <w:rFonts w:ascii="Times New Roman" w:hAnsi="Times New Roman" w:cs="Times New Roman"/>
                      <w:color w:val="auto"/>
                      <w:highlight w:val="none"/>
                    </w:rPr>
                  </w:pPr>
                  <w:r>
                    <w:rPr>
                      <w:rFonts w:ascii="Times New Roman" w:hAnsi="Times New Roman" w:eastAsia="等线" w:cs="Times New Roman"/>
                      <w:color w:val="auto"/>
                      <w:szCs w:val="21"/>
                      <w:highlight w:val="none"/>
                    </w:rPr>
                    <w:t xml:space="preserve">6.96 </w:t>
                  </w:r>
                </w:p>
              </w:tc>
              <w:tc>
                <w:tcPr>
                  <w:tcW w:w="1185" w:type="dxa"/>
                  <w:vAlign w:val="center"/>
                </w:tcPr>
                <w:p>
                  <w:pPr>
                    <w:jc w:val="center"/>
                    <w:rPr>
                      <w:rFonts w:ascii="Times New Roman" w:hAnsi="Times New Roman" w:cs="Times New Roman"/>
                      <w:color w:val="auto"/>
                      <w:highlight w:val="none"/>
                    </w:rPr>
                  </w:pPr>
                  <w:r>
                    <w:rPr>
                      <w:rFonts w:ascii="Times New Roman" w:hAnsi="Times New Roman" w:eastAsia="等线" w:cs="Times New Roman"/>
                      <w:color w:val="auto"/>
                      <w:szCs w:val="21"/>
                      <w:highlight w:val="none"/>
                    </w:rPr>
                    <w:t>10</w:t>
                  </w:r>
                </w:p>
              </w:tc>
              <w:tc>
                <w:tcPr>
                  <w:tcW w:w="1185" w:type="dxa"/>
                  <w:vAlign w:val="center"/>
                </w:tcPr>
                <w:p>
                  <w:pPr>
                    <w:jc w:val="center"/>
                    <w:rPr>
                      <w:rFonts w:ascii="Times New Roman" w:hAnsi="Times New Roman" w:cs="Times New Roman"/>
                      <w:color w:val="auto"/>
                      <w:highlight w:val="none"/>
                    </w:rPr>
                  </w:pPr>
                  <w:r>
                    <w:rPr>
                      <w:rFonts w:ascii="Times New Roman" w:hAnsi="Times New Roman" w:eastAsia="等线" w:cs="Times New Roman"/>
                      <w:color w:val="auto"/>
                      <w:szCs w:val="21"/>
                      <w:highlight w:val="none"/>
                    </w:rPr>
                    <w:t xml:space="preserve">3.48 </w:t>
                  </w:r>
                </w:p>
              </w:tc>
              <w:tc>
                <w:tcPr>
                  <w:tcW w:w="1185" w:type="dxa"/>
                  <w:vAlign w:val="center"/>
                </w:tcPr>
                <w:p>
                  <w:pPr>
                    <w:jc w:val="center"/>
                    <w:rPr>
                      <w:rFonts w:ascii="Times New Roman" w:hAnsi="Times New Roman" w:cs="Times New Roman"/>
                      <w:color w:val="auto"/>
                      <w:highlight w:val="none"/>
                    </w:rPr>
                  </w:pPr>
                  <w:r>
                    <w:rPr>
                      <w:rFonts w:hint="eastAsia" w:ascii="Times New Roman" w:hAnsi="Times New Roman" w:cs="Times New Roman"/>
                      <w:color w:val="auto"/>
                      <w:highlight w:val="none"/>
                    </w:rPr>
                    <w:t>达标</w:t>
                  </w:r>
                </w:p>
              </w:tc>
            </w:tr>
          </w:tbl>
          <w:p>
            <w:pPr>
              <w:pStyle w:val="41"/>
              <w:rPr>
                <w:rFonts w:ascii="Times New Roman" w:hAnsi="Times New Roman" w:cs="Times New Roman"/>
                <w:b/>
                <w:bCs/>
                <w:color w:val="auto"/>
                <w:highlight w:val="none"/>
              </w:rPr>
            </w:pPr>
            <w:r>
              <w:rPr>
                <w:rFonts w:ascii="Times New Roman" w:hAnsi="Times New Roman" w:cs="Times New Roman"/>
                <w:b/>
                <w:bCs/>
                <w:color w:val="auto"/>
                <w:highlight w:val="none"/>
              </w:rPr>
              <w:t>表</w:t>
            </w:r>
            <w:r>
              <w:rPr>
                <w:rFonts w:hint="eastAsia" w:ascii="Times New Roman" w:hAnsi="Times New Roman" w:cs="Times New Roman"/>
                <w:b/>
                <w:bCs/>
                <w:color w:val="auto"/>
                <w:highlight w:val="none"/>
              </w:rPr>
              <w:t>7-</w:t>
            </w:r>
            <w:r>
              <w:rPr>
                <w:rFonts w:ascii="Times New Roman" w:hAnsi="Times New Roman" w:cs="Times New Roman"/>
                <w:b/>
                <w:bCs/>
                <w:color w:val="auto"/>
                <w:highlight w:val="none"/>
              </w:rPr>
              <w:t>2</w:t>
            </w:r>
            <w:r>
              <w:rPr>
                <w:rFonts w:hint="eastAsia" w:ascii="Times New Roman" w:hAnsi="Times New Roman" w:cs="Times New Roman"/>
                <w:b/>
                <w:bCs/>
                <w:color w:val="auto"/>
                <w:highlight w:val="none"/>
              </w:rPr>
              <w:t>本项目废水产排情况一览表</w:t>
            </w:r>
          </w:p>
          <w:tbl>
            <w:tblPr>
              <w:tblStyle w:val="23"/>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1185"/>
              <w:gridCol w:w="1185"/>
              <w:gridCol w:w="1185"/>
              <w:gridCol w:w="1185"/>
              <w:gridCol w:w="1185"/>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6" w:type="dxa"/>
                  <w:vAlign w:val="center"/>
                </w:tcPr>
                <w:p>
                  <w:pPr>
                    <w:jc w:val="center"/>
                    <w:rPr>
                      <w:rFonts w:ascii="Times New Roman" w:hAnsi="Times New Roman" w:cs="Times New Roman"/>
                      <w:b/>
                      <w:bCs/>
                      <w:color w:val="auto"/>
                      <w:highlight w:val="none"/>
                    </w:rPr>
                  </w:pPr>
                  <w:r>
                    <w:rPr>
                      <w:rFonts w:ascii="Times New Roman" w:hAnsi="Times New Roman" w:cs="Times New Roman"/>
                      <w:b/>
                      <w:bCs/>
                      <w:color w:val="auto"/>
                      <w:highlight w:val="none"/>
                    </w:rPr>
                    <w:t>种类</w:t>
                  </w:r>
                </w:p>
              </w:tc>
              <w:tc>
                <w:tcPr>
                  <w:tcW w:w="1185" w:type="dxa"/>
                  <w:vAlign w:val="center"/>
                </w:tcPr>
                <w:p>
                  <w:pPr>
                    <w:jc w:val="center"/>
                    <w:rPr>
                      <w:rFonts w:ascii="Times New Roman" w:hAnsi="Times New Roman" w:cs="Times New Roman"/>
                      <w:b/>
                      <w:bCs/>
                      <w:color w:val="auto"/>
                      <w:highlight w:val="none"/>
                    </w:rPr>
                  </w:pPr>
                  <w:r>
                    <w:rPr>
                      <w:rFonts w:ascii="Times New Roman" w:hAnsi="Times New Roman" w:cs="Times New Roman"/>
                      <w:b/>
                      <w:bCs/>
                      <w:color w:val="auto"/>
                      <w:highlight w:val="none"/>
                    </w:rPr>
                    <w:t>水量（t/a）</w:t>
                  </w:r>
                </w:p>
              </w:tc>
              <w:tc>
                <w:tcPr>
                  <w:tcW w:w="1185" w:type="dxa"/>
                  <w:vAlign w:val="center"/>
                </w:tcPr>
                <w:p>
                  <w:pPr>
                    <w:jc w:val="center"/>
                    <w:rPr>
                      <w:rFonts w:ascii="Times New Roman" w:hAnsi="Times New Roman" w:cs="Times New Roman"/>
                      <w:b/>
                      <w:bCs/>
                      <w:color w:val="auto"/>
                      <w:highlight w:val="none"/>
                    </w:rPr>
                  </w:pPr>
                  <w:r>
                    <w:rPr>
                      <w:rFonts w:ascii="Times New Roman" w:hAnsi="Times New Roman" w:cs="Times New Roman"/>
                      <w:b/>
                      <w:bCs/>
                      <w:color w:val="auto"/>
                      <w:highlight w:val="none"/>
                    </w:rPr>
                    <w:t>产生浓度（mg/L）</w:t>
                  </w:r>
                </w:p>
              </w:tc>
              <w:tc>
                <w:tcPr>
                  <w:tcW w:w="1185" w:type="dxa"/>
                  <w:vAlign w:val="center"/>
                </w:tcPr>
                <w:p>
                  <w:pPr>
                    <w:jc w:val="center"/>
                    <w:rPr>
                      <w:rFonts w:ascii="Times New Roman" w:hAnsi="Times New Roman" w:cs="Times New Roman"/>
                      <w:b/>
                      <w:bCs/>
                      <w:color w:val="auto"/>
                      <w:highlight w:val="none"/>
                    </w:rPr>
                  </w:pPr>
                  <w:r>
                    <w:rPr>
                      <w:rFonts w:ascii="Times New Roman" w:hAnsi="Times New Roman" w:cs="Times New Roman"/>
                      <w:b/>
                      <w:bCs/>
                      <w:color w:val="auto"/>
                      <w:highlight w:val="none"/>
                    </w:rPr>
                    <w:t>产生量（t/a）</w:t>
                  </w:r>
                </w:p>
              </w:tc>
              <w:tc>
                <w:tcPr>
                  <w:tcW w:w="1185" w:type="dxa"/>
                  <w:vAlign w:val="center"/>
                </w:tcPr>
                <w:p>
                  <w:pPr>
                    <w:jc w:val="center"/>
                    <w:rPr>
                      <w:rFonts w:ascii="Times New Roman" w:hAnsi="Times New Roman" w:cs="Times New Roman"/>
                      <w:b/>
                      <w:bCs/>
                      <w:color w:val="auto"/>
                      <w:highlight w:val="none"/>
                    </w:rPr>
                  </w:pPr>
                  <w:r>
                    <w:rPr>
                      <w:rFonts w:ascii="Times New Roman" w:hAnsi="Times New Roman" w:cs="Times New Roman"/>
                      <w:b/>
                      <w:bCs/>
                      <w:color w:val="auto"/>
                      <w:highlight w:val="none"/>
                    </w:rPr>
                    <w:t>排放浓度（mg/L）</w:t>
                  </w:r>
                </w:p>
              </w:tc>
              <w:tc>
                <w:tcPr>
                  <w:tcW w:w="1185" w:type="dxa"/>
                  <w:vAlign w:val="center"/>
                </w:tcPr>
                <w:p>
                  <w:pPr>
                    <w:jc w:val="center"/>
                    <w:rPr>
                      <w:rFonts w:ascii="Times New Roman" w:hAnsi="Times New Roman" w:cs="Times New Roman"/>
                      <w:b/>
                      <w:bCs/>
                      <w:color w:val="auto"/>
                      <w:highlight w:val="none"/>
                    </w:rPr>
                  </w:pPr>
                  <w:r>
                    <w:rPr>
                      <w:rFonts w:ascii="Times New Roman" w:hAnsi="Times New Roman" w:cs="Times New Roman"/>
                      <w:b/>
                      <w:bCs/>
                      <w:color w:val="auto"/>
                      <w:highlight w:val="none"/>
                    </w:rPr>
                    <w:t>排放量（t/a）</w:t>
                  </w:r>
                </w:p>
              </w:tc>
              <w:tc>
                <w:tcPr>
                  <w:tcW w:w="1185" w:type="dxa"/>
                  <w:vAlign w:val="center"/>
                </w:tcPr>
                <w:p>
                  <w:pPr>
                    <w:jc w:val="center"/>
                    <w:rPr>
                      <w:rFonts w:ascii="Times New Roman" w:hAnsi="Times New Roman" w:cs="Times New Roman"/>
                      <w:b/>
                      <w:bCs/>
                      <w:color w:val="auto"/>
                      <w:highlight w:val="none"/>
                    </w:rPr>
                  </w:pPr>
                  <w:r>
                    <w:rPr>
                      <w:rFonts w:hint="eastAsia" w:ascii="Times New Roman" w:hAnsi="Times New Roman" w:cs="Times New Roman"/>
                      <w:b/>
                      <w:bCs/>
                      <w:color w:val="auto"/>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6" w:type="dxa"/>
                  <w:vAlign w:val="center"/>
                </w:tcPr>
                <w:p>
                  <w:pPr>
                    <w:jc w:val="center"/>
                    <w:rPr>
                      <w:rFonts w:ascii="Times New Roman" w:hAnsi="Times New Roman" w:cs="Times New Roman"/>
                      <w:color w:val="auto"/>
                      <w:highlight w:val="none"/>
                    </w:rPr>
                  </w:pPr>
                  <w:r>
                    <w:rPr>
                      <w:rFonts w:ascii="Times New Roman" w:hAnsi="Times New Roman" w:cs="Times New Roman"/>
                      <w:color w:val="auto"/>
                      <w:highlight w:val="none"/>
                    </w:rPr>
                    <w:t>COD</w:t>
                  </w:r>
                  <w:r>
                    <w:rPr>
                      <w:rFonts w:ascii="Times New Roman" w:hAnsi="Times New Roman" w:cs="Times New Roman"/>
                      <w:color w:val="auto"/>
                      <w:highlight w:val="none"/>
                      <w:vertAlign w:val="subscript"/>
                    </w:rPr>
                    <w:t>Cr</w:t>
                  </w:r>
                </w:p>
              </w:tc>
              <w:tc>
                <w:tcPr>
                  <w:tcW w:w="1185" w:type="dxa"/>
                  <w:vMerge w:val="restart"/>
                  <w:vAlign w:val="center"/>
                </w:tcPr>
                <w:p>
                  <w:pPr>
                    <w:jc w:val="center"/>
                    <w:rPr>
                      <w:rFonts w:ascii="Times New Roman" w:hAnsi="Times New Roman" w:cs="Times New Roman"/>
                      <w:color w:val="auto"/>
                      <w:highlight w:val="none"/>
                    </w:rPr>
                  </w:pPr>
                  <w:r>
                    <w:rPr>
                      <w:rFonts w:hint="eastAsia" w:ascii="Times New Roman" w:hAnsi="Times New Roman" w:cs="Times New Roman"/>
                      <w:color w:val="auto"/>
                      <w:highlight w:val="none"/>
                    </w:rPr>
                    <w:t>4</w:t>
                  </w:r>
                  <w:r>
                    <w:rPr>
                      <w:rFonts w:ascii="Times New Roman" w:hAnsi="Times New Roman" w:cs="Times New Roman"/>
                      <w:color w:val="auto"/>
                      <w:highlight w:val="none"/>
                    </w:rPr>
                    <w:t>34</w:t>
                  </w:r>
                </w:p>
              </w:tc>
              <w:tc>
                <w:tcPr>
                  <w:tcW w:w="1185" w:type="dxa"/>
                  <w:vAlign w:val="center"/>
                </w:tcPr>
                <w:p>
                  <w:pPr>
                    <w:jc w:val="center"/>
                    <w:rPr>
                      <w:rFonts w:ascii="Times New Roman" w:hAnsi="Times New Roman" w:cs="Times New Roman"/>
                      <w:color w:val="auto"/>
                      <w:highlight w:val="none"/>
                    </w:rPr>
                  </w:pPr>
                  <w:r>
                    <w:rPr>
                      <w:rFonts w:hint="eastAsia" w:ascii="Times New Roman" w:hAnsi="Times New Roman" w:cs="Times New Roman"/>
                      <w:color w:val="auto"/>
                      <w:highlight w:val="none"/>
                    </w:rPr>
                    <w:t>3</w:t>
                  </w:r>
                  <w:r>
                    <w:rPr>
                      <w:rFonts w:ascii="Times New Roman" w:hAnsi="Times New Roman" w:cs="Times New Roman"/>
                      <w:color w:val="auto"/>
                      <w:highlight w:val="none"/>
                    </w:rPr>
                    <w:t>00</w:t>
                  </w:r>
                </w:p>
              </w:tc>
              <w:tc>
                <w:tcPr>
                  <w:tcW w:w="1185" w:type="dxa"/>
                  <w:vAlign w:val="center"/>
                </w:tcPr>
                <w:p>
                  <w:pPr>
                    <w:jc w:val="center"/>
                    <w:rPr>
                      <w:rFonts w:ascii="Times New Roman" w:hAnsi="Times New Roman" w:cs="Times New Roman"/>
                      <w:color w:val="auto"/>
                      <w:highlight w:val="none"/>
                    </w:rPr>
                  </w:pPr>
                  <w:r>
                    <w:rPr>
                      <w:rFonts w:hint="eastAsia" w:ascii="Times New Roman" w:hAnsi="Times New Roman" w:cs="Times New Roman"/>
                      <w:color w:val="auto"/>
                      <w:highlight w:val="none"/>
                    </w:rPr>
                    <w:t>0</w:t>
                  </w:r>
                  <w:r>
                    <w:rPr>
                      <w:rFonts w:ascii="Times New Roman" w:hAnsi="Times New Roman" w:cs="Times New Roman"/>
                      <w:color w:val="auto"/>
                      <w:highlight w:val="none"/>
                    </w:rPr>
                    <w:t>.130</w:t>
                  </w:r>
                </w:p>
              </w:tc>
              <w:tc>
                <w:tcPr>
                  <w:tcW w:w="1185" w:type="dxa"/>
                  <w:vAlign w:val="center"/>
                </w:tcPr>
                <w:p>
                  <w:pPr>
                    <w:jc w:val="center"/>
                    <w:rPr>
                      <w:rFonts w:ascii="Times New Roman" w:hAnsi="Times New Roman" w:cs="Times New Roman"/>
                      <w:color w:val="auto"/>
                      <w:highlight w:val="none"/>
                    </w:rPr>
                  </w:pPr>
                  <w:r>
                    <w:rPr>
                      <w:rFonts w:hint="eastAsia" w:ascii="Times New Roman" w:hAnsi="Times New Roman" w:cs="Times New Roman"/>
                      <w:color w:val="auto"/>
                      <w:highlight w:val="none"/>
                    </w:rPr>
                    <w:t>8</w:t>
                  </w:r>
                  <w:r>
                    <w:rPr>
                      <w:rFonts w:ascii="Times New Roman" w:hAnsi="Times New Roman" w:cs="Times New Roman"/>
                      <w:color w:val="auto"/>
                      <w:highlight w:val="none"/>
                    </w:rPr>
                    <w:t>0</w:t>
                  </w:r>
                </w:p>
              </w:tc>
              <w:tc>
                <w:tcPr>
                  <w:tcW w:w="1185" w:type="dxa"/>
                  <w:vAlign w:val="center"/>
                </w:tcPr>
                <w:p>
                  <w:pPr>
                    <w:jc w:val="center"/>
                    <w:rPr>
                      <w:rFonts w:ascii="Times New Roman" w:hAnsi="Times New Roman" w:cs="Times New Roman"/>
                      <w:color w:val="auto"/>
                      <w:highlight w:val="none"/>
                    </w:rPr>
                  </w:pPr>
                  <w:r>
                    <w:rPr>
                      <w:rFonts w:hint="eastAsia" w:ascii="Times New Roman" w:hAnsi="Times New Roman" w:cs="Times New Roman"/>
                      <w:color w:val="auto"/>
                      <w:highlight w:val="none"/>
                    </w:rPr>
                    <w:t>0</w:t>
                  </w:r>
                  <w:r>
                    <w:rPr>
                      <w:rFonts w:ascii="Times New Roman" w:hAnsi="Times New Roman" w:cs="Times New Roman"/>
                      <w:color w:val="auto"/>
                      <w:highlight w:val="none"/>
                    </w:rPr>
                    <w:t>.035</w:t>
                  </w:r>
                </w:p>
              </w:tc>
              <w:tc>
                <w:tcPr>
                  <w:tcW w:w="1185" w:type="dxa"/>
                  <w:vAlign w:val="center"/>
                </w:tcPr>
                <w:p>
                  <w:pPr>
                    <w:jc w:val="center"/>
                    <w:rPr>
                      <w:rFonts w:ascii="Times New Roman" w:hAnsi="Times New Roman" w:cs="Times New Roman"/>
                      <w:color w:val="auto"/>
                      <w:highlight w:val="none"/>
                    </w:rPr>
                  </w:pPr>
                  <w:r>
                    <w:rPr>
                      <w:rFonts w:hint="eastAsia" w:ascii="Times New Roman" w:hAnsi="Times New Roman" w:cs="Times New Roman"/>
                      <w:color w:val="auto"/>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6" w:type="dxa"/>
                  <w:vAlign w:val="center"/>
                </w:tcPr>
                <w:p>
                  <w:pPr>
                    <w:jc w:val="center"/>
                    <w:rPr>
                      <w:rFonts w:ascii="Times New Roman" w:hAnsi="Times New Roman" w:cs="Times New Roman"/>
                      <w:color w:val="auto"/>
                      <w:highlight w:val="none"/>
                    </w:rPr>
                  </w:pPr>
                  <w:r>
                    <w:rPr>
                      <w:rFonts w:ascii="Times New Roman" w:hAnsi="Times New Roman" w:cs="Times New Roman"/>
                      <w:color w:val="auto"/>
                      <w:highlight w:val="none"/>
                    </w:rPr>
                    <w:t>BOD</w:t>
                  </w:r>
                  <w:r>
                    <w:rPr>
                      <w:rFonts w:ascii="Times New Roman" w:hAnsi="Times New Roman" w:cs="Times New Roman"/>
                      <w:color w:val="auto"/>
                      <w:highlight w:val="none"/>
                      <w:vertAlign w:val="subscript"/>
                    </w:rPr>
                    <w:t>5</w:t>
                  </w:r>
                </w:p>
              </w:tc>
              <w:tc>
                <w:tcPr>
                  <w:tcW w:w="1185" w:type="dxa"/>
                  <w:vMerge w:val="continue"/>
                  <w:vAlign w:val="center"/>
                </w:tcPr>
                <w:p>
                  <w:pPr>
                    <w:jc w:val="center"/>
                    <w:rPr>
                      <w:rFonts w:ascii="Times New Roman" w:hAnsi="Times New Roman" w:cs="Times New Roman"/>
                      <w:color w:val="auto"/>
                      <w:highlight w:val="none"/>
                    </w:rPr>
                  </w:pPr>
                </w:p>
              </w:tc>
              <w:tc>
                <w:tcPr>
                  <w:tcW w:w="1185" w:type="dxa"/>
                  <w:vAlign w:val="center"/>
                </w:tcPr>
                <w:p>
                  <w:pPr>
                    <w:jc w:val="center"/>
                    <w:rPr>
                      <w:rFonts w:ascii="Times New Roman" w:hAnsi="Times New Roman" w:cs="Times New Roman"/>
                      <w:color w:val="auto"/>
                      <w:highlight w:val="none"/>
                    </w:rPr>
                  </w:pPr>
                  <w:r>
                    <w:rPr>
                      <w:rFonts w:ascii="Times New Roman" w:hAnsi="Times New Roman" w:cs="Times New Roman"/>
                      <w:color w:val="auto"/>
                      <w:highlight w:val="none"/>
                    </w:rPr>
                    <w:t>150</w:t>
                  </w:r>
                </w:p>
              </w:tc>
              <w:tc>
                <w:tcPr>
                  <w:tcW w:w="1185" w:type="dxa"/>
                  <w:vAlign w:val="center"/>
                </w:tcPr>
                <w:p>
                  <w:pPr>
                    <w:jc w:val="center"/>
                    <w:rPr>
                      <w:rFonts w:ascii="Times New Roman" w:hAnsi="Times New Roman" w:cs="Times New Roman"/>
                      <w:color w:val="auto"/>
                      <w:highlight w:val="none"/>
                    </w:rPr>
                  </w:pPr>
                  <w:r>
                    <w:rPr>
                      <w:rFonts w:hint="eastAsia" w:ascii="Times New Roman" w:hAnsi="Times New Roman" w:cs="Times New Roman"/>
                      <w:color w:val="auto"/>
                      <w:highlight w:val="none"/>
                    </w:rPr>
                    <w:t>0</w:t>
                  </w:r>
                  <w:r>
                    <w:rPr>
                      <w:rFonts w:ascii="Times New Roman" w:hAnsi="Times New Roman" w:cs="Times New Roman"/>
                      <w:color w:val="auto"/>
                      <w:highlight w:val="none"/>
                    </w:rPr>
                    <w:t>.065</w:t>
                  </w:r>
                </w:p>
              </w:tc>
              <w:tc>
                <w:tcPr>
                  <w:tcW w:w="1185" w:type="dxa"/>
                  <w:vAlign w:val="center"/>
                </w:tcPr>
                <w:p>
                  <w:pPr>
                    <w:jc w:val="center"/>
                    <w:rPr>
                      <w:rFonts w:ascii="Times New Roman" w:hAnsi="Times New Roman" w:cs="Times New Roman"/>
                      <w:color w:val="auto"/>
                      <w:highlight w:val="none"/>
                    </w:rPr>
                  </w:pPr>
                  <w:r>
                    <w:rPr>
                      <w:rFonts w:hint="eastAsia" w:ascii="Times New Roman" w:hAnsi="Times New Roman" w:cs="Times New Roman"/>
                      <w:color w:val="auto"/>
                      <w:highlight w:val="none"/>
                    </w:rPr>
                    <w:t>2</w:t>
                  </w:r>
                  <w:r>
                    <w:rPr>
                      <w:rFonts w:ascii="Times New Roman" w:hAnsi="Times New Roman" w:cs="Times New Roman"/>
                      <w:color w:val="auto"/>
                      <w:highlight w:val="none"/>
                    </w:rPr>
                    <w:t>0</w:t>
                  </w:r>
                </w:p>
              </w:tc>
              <w:tc>
                <w:tcPr>
                  <w:tcW w:w="1185" w:type="dxa"/>
                  <w:vAlign w:val="center"/>
                </w:tcPr>
                <w:p>
                  <w:pPr>
                    <w:jc w:val="center"/>
                    <w:rPr>
                      <w:rFonts w:ascii="Times New Roman" w:hAnsi="Times New Roman" w:cs="Times New Roman"/>
                      <w:color w:val="auto"/>
                      <w:highlight w:val="none"/>
                    </w:rPr>
                  </w:pPr>
                  <w:r>
                    <w:rPr>
                      <w:rFonts w:hint="eastAsia" w:ascii="Times New Roman" w:hAnsi="Times New Roman" w:cs="Times New Roman"/>
                      <w:color w:val="auto"/>
                      <w:highlight w:val="none"/>
                    </w:rPr>
                    <w:t>0</w:t>
                  </w:r>
                  <w:r>
                    <w:rPr>
                      <w:rFonts w:ascii="Times New Roman" w:hAnsi="Times New Roman" w:cs="Times New Roman"/>
                      <w:color w:val="auto"/>
                      <w:highlight w:val="none"/>
                    </w:rPr>
                    <w:t>.009</w:t>
                  </w:r>
                </w:p>
              </w:tc>
              <w:tc>
                <w:tcPr>
                  <w:tcW w:w="1185" w:type="dxa"/>
                  <w:vAlign w:val="center"/>
                </w:tcPr>
                <w:p>
                  <w:pPr>
                    <w:jc w:val="center"/>
                    <w:rPr>
                      <w:rFonts w:ascii="Times New Roman" w:hAnsi="Times New Roman" w:cs="Times New Roman"/>
                      <w:color w:val="auto"/>
                      <w:highlight w:val="none"/>
                    </w:rPr>
                  </w:pPr>
                  <w:r>
                    <w:rPr>
                      <w:rFonts w:hint="eastAsia" w:ascii="Times New Roman" w:hAnsi="Times New Roman" w:cs="Times New Roman"/>
                      <w:color w:val="auto"/>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6" w:type="dxa"/>
                  <w:vAlign w:val="center"/>
                </w:tcPr>
                <w:p>
                  <w:pPr>
                    <w:jc w:val="center"/>
                    <w:rPr>
                      <w:rFonts w:ascii="Times New Roman" w:hAnsi="Times New Roman" w:cs="Times New Roman"/>
                      <w:color w:val="auto"/>
                      <w:highlight w:val="none"/>
                    </w:rPr>
                  </w:pPr>
                  <w:r>
                    <w:rPr>
                      <w:rFonts w:ascii="Times New Roman" w:hAnsi="Times New Roman" w:cs="Times New Roman"/>
                      <w:color w:val="auto"/>
                      <w:highlight w:val="none"/>
                    </w:rPr>
                    <w:t>SS</w:t>
                  </w:r>
                </w:p>
              </w:tc>
              <w:tc>
                <w:tcPr>
                  <w:tcW w:w="1185" w:type="dxa"/>
                  <w:vMerge w:val="continue"/>
                  <w:vAlign w:val="center"/>
                </w:tcPr>
                <w:p>
                  <w:pPr>
                    <w:jc w:val="center"/>
                    <w:rPr>
                      <w:rFonts w:ascii="Times New Roman" w:hAnsi="Times New Roman" w:cs="Times New Roman"/>
                      <w:color w:val="auto"/>
                      <w:highlight w:val="none"/>
                    </w:rPr>
                  </w:pPr>
                </w:p>
              </w:tc>
              <w:tc>
                <w:tcPr>
                  <w:tcW w:w="1185" w:type="dxa"/>
                  <w:vAlign w:val="center"/>
                </w:tcPr>
                <w:p>
                  <w:pPr>
                    <w:jc w:val="center"/>
                    <w:rPr>
                      <w:rFonts w:ascii="Times New Roman" w:hAnsi="Times New Roman" w:cs="Times New Roman"/>
                      <w:color w:val="auto"/>
                      <w:highlight w:val="none"/>
                    </w:rPr>
                  </w:pPr>
                  <w:r>
                    <w:rPr>
                      <w:rFonts w:hint="eastAsia" w:ascii="Times New Roman" w:hAnsi="Times New Roman" w:cs="Times New Roman"/>
                      <w:color w:val="auto"/>
                      <w:highlight w:val="none"/>
                    </w:rPr>
                    <w:t>1</w:t>
                  </w:r>
                  <w:r>
                    <w:rPr>
                      <w:rFonts w:ascii="Times New Roman" w:hAnsi="Times New Roman" w:cs="Times New Roman"/>
                      <w:color w:val="auto"/>
                      <w:highlight w:val="none"/>
                    </w:rPr>
                    <w:t>50</w:t>
                  </w:r>
                </w:p>
              </w:tc>
              <w:tc>
                <w:tcPr>
                  <w:tcW w:w="1185" w:type="dxa"/>
                  <w:vAlign w:val="center"/>
                </w:tcPr>
                <w:p>
                  <w:pPr>
                    <w:jc w:val="center"/>
                    <w:rPr>
                      <w:rFonts w:ascii="Times New Roman" w:hAnsi="Times New Roman" w:cs="Times New Roman"/>
                      <w:color w:val="auto"/>
                      <w:highlight w:val="none"/>
                    </w:rPr>
                  </w:pPr>
                  <w:r>
                    <w:rPr>
                      <w:rFonts w:hint="eastAsia" w:ascii="Times New Roman" w:hAnsi="Times New Roman" w:cs="Times New Roman"/>
                      <w:color w:val="auto"/>
                      <w:highlight w:val="none"/>
                    </w:rPr>
                    <w:t>0</w:t>
                  </w:r>
                  <w:r>
                    <w:rPr>
                      <w:rFonts w:ascii="Times New Roman" w:hAnsi="Times New Roman" w:cs="Times New Roman"/>
                      <w:color w:val="auto"/>
                      <w:highlight w:val="none"/>
                    </w:rPr>
                    <w:t>.065</w:t>
                  </w:r>
                </w:p>
              </w:tc>
              <w:tc>
                <w:tcPr>
                  <w:tcW w:w="1185" w:type="dxa"/>
                  <w:vAlign w:val="center"/>
                </w:tcPr>
                <w:p>
                  <w:pPr>
                    <w:jc w:val="center"/>
                    <w:rPr>
                      <w:rFonts w:ascii="Times New Roman" w:hAnsi="Times New Roman" w:cs="Times New Roman"/>
                      <w:color w:val="auto"/>
                      <w:highlight w:val="none"/>
                    </w:rPr>
                  </w:pPr>
                  <w:r>
                    <w:rPr>
                      <w:rFonts w:hint="eastAsia" w:ascii="Times New Roman" w:hAnsi="Times New Roman" w:cs="Times New Roman"/>
                      <w:color w:val="auto"/>
                      <w:highlight w:val="none"/>
                    </w:rPr>
                    <w:t>5</w:t>
                  </w:r>
                  <w:r>
                    <w:rPr>
                      <w:rFonts w:ascii="Times New Roman" w:hAnsi="Times New Roman" w:cs="Times New Roman"/>
                      <w:color w:val="auto"/>
                      <w:highlight w:val="none"/>
                    </w:rPr>
                    <w:t>0</w:t>
                  </w:r>
                </w:p>
              </w:tc>
              <w:tc>
                <w:tcPr>
                  <w:tcW w:w="1185" w:type="dxa"/>
                  <w:vAlign w:val="center"/>
                </w:tcPr>
                <w:p>
                  <w:pPr>
                    <w:jc w:val="center"/>
                    <w:rPr>
                      <w:rFonts w:ascii="Times New Roman" w:hAnsi="Times New Roman" w:cs="Times New Roman"/>
                      <w:color w:val="auto"/>
                      <w:highlight w:val="none"/>
                    </w:rPr>
                  </w:pPr>
                  <w:r>
                    <w:rPr>
                      <w:rFonts w:hint="eastAsia" w:ascii="Times New Roman" w:hAnsi="Times New Roman" w:cs="Times New Roman"/>
                      <w:color w:val="auto"/>
                      <w:highlight w:val="none"/>
                    </w:rPr>
                    <w:t>0</w:t>
                  </w:r>
                  <w:r>
                    <w:rPr>
                      <w:rFonts w:ascii="Times New Roman" w:hAnsi="Times New Roman" w:cs="Times New Roman"/>
                      <w:color w:val="auto"/>
                      <w:highlight w:val="none"/>
                    </w:rPr>
                    <w:t>.022</w:t>
                  </w:r>
                </w:p>
              </w:tc>
              <w:tc>
                <w:tcPr>
                  <w:tcW w:w="1185" w:type="dxa"/>
                  <w:vAlign w:val="center"/>
                </w:tcPr>
                <w:p>
                  <w:pPr>
                    <w:jc w:val="center"/>
                    <w:rPr>
                      <w:rFonts w:ascii="Times New Roman" w:hAnsi="Times New Roman" w:cs="Times New Roman"/>
                      <w:color w:val="auto"/>
                      <w:highlight w:val="none"/>
                    </w:rPr>
                  </w:pPr>
                  <w:r>
                    <w:rPr>
                      <w:rFonts w:hint="eastAsia" w:ascii="Times New Roman" w:hAnsi="Times New Roman" w:cs="Times New Roman"/>
                      <w:color w:val="auto"/>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6" w:type="dxa"/>
                  <w:vAlign w:val="center"/>
                </w:tcPr>
                <w:p>
                  <w:pPr>
                    <w:jc w:val="center"/>
                    <w:rPr>
                      <w:rFonts w:ascii="Times New Roman" w:hAnsi="Times New Roman" w:cs="Times New Roman"/>
                      <w:color w:val="auto"/>
                      <w:highlight w:val="none"/>
                    </w:rPr>
                  </w:pPr>
                  <w:r>
                    <w:rPr>
                      <w:rFonts w:ascii="Times New Roman" w:hAnsi="Times New Roman" w:cs="Times New Roman"/>
                      <w:color w:val="auto"/>
                      <w:highlight w:val="none"/>
                    </w:rPr>
                    <w:t>氨氮</w:t>
                  </w:r>
                </w:p>
              </w:tc>
              <w:tc>
                <w:tcPr>
                  <w:tcW w:w="1185" w:type="dxa"/>
                  <w:vMerge w:val="continue"/>
                  <w:vAlign w:val="center"/>
                </w:tcPr>
                <w:p>
                  <w:pPr>
                    <w:jc w:val="center"/>
                    <w:rPr>
                      <w:rFonts w:ascii="Times New Roman" w:hAnsi="Times New Roman" w:cs="Times New Roman"/>
                      <w:color w:val="auto"/>
                      <w:highlight w:val="none"/>
                    </w:rPr>
                  </w:pPr>
                </w:p>
              </w:tc>
              <w:tc>
                <w:tcPr>
                  <w:tcW w:w="1185" w:type="dxa"/>
                  <w:vAlign w:val="center"/>
                </w:tcPr>
                <w:p>
                  <w:pPr>
                    <w:jc w:val="center"/>
                    <w:rPr>
                      <w:rFonts w:ascii="Times New Roman" w:hAnsi="Times New Roman" w:cs="Times New Roman"/>
                      <w:color w:val="auto"/>
                      <w:highlight w:val="none"/>
                    </w:rPr>
                  </w:pPr>
                  <w:r>
                    <w:rPr>
                      <w:rFonts w:hint="eastAsia" w:ascii="Times New Roman" w:hAnsi="Times New Roman" w:cs="Times New Roman"/>
                      <w:color w:val="auto"/>
                      <w:highlight w:val="none"/>
                    </w:rPr>
                    <w:t>2</w:t>
                  </w:r>
                  <w:r>
                    <w:rPr>
                      <w:rFonts w:ascii="Times New Roman" w:hAnsi="Times New Roman" w:cs="Times New Roman"/>
                      <w:color w:val="auto"/>
                      <w:highlight w:val="none"/>
                    </w:rPr>
                    <w:t>0</w:t>
                  </w:r>
                </w:p>
              </w:tc>
              <w:tc>
                <w:tcPr>
                  <w:tcW w:w="1185" w:type="dxa"/>
                  <w:vAlign w:val="center"/>
                </w:tcPr>
                <w:p>
                  <w:pPr>
                    <w:jc w:val="center"/>
                    <w:rPr>
                      <w:rFonts w:ascii="Times New Roman" w:hAnsi="Times New Roman" w:cs="Times New Roman"/>
                      <w:color w:val="auto"/>
                      <w:highlight w:val="none"/>
                    </w:rPr>
                  </w:pPr>
                  <w:r>
                    <w:rPr>
                      <w:rFonts w:hint="eastAsia" w:ascii="Times New Roman" w:hAnsi="Times New Roman" w:cs="Times New Roman"/>
                      <w:color w:val="auto"/>
                      <w:highlight w:val="none"/>
                    </w:rPr>
                    <w:t>0</w:t>
                  </w:r>
                  <w:r>
                    <w:rPr>
                      <w:rFonts w:ascii="Times New Roman" w:hAnsi="Times New Roman" w:cs="Times New Roman"/>
                      <w:color w:val="auto"/>
                      <w:highlight w:val="none"/>
                    </w:rPr>
                    <w:t>.009</w:t>
                  </w:r>
                </w:p>
              </w:tc>
              <w:tc>
                <w:tcPr>
                  <w:tcW w:w="1185" w:type="dxa"/>
                  <w:vAlign w:val="center"/>
                </w:tcPr>
                <w:p>
                  <w:pPr>
                    <w:jc w:val="center"/>
                    <w:rPr>
                      <w:rFonts w:ascii="Times New Roman" w:hAnsi="Times New Roman" w:cs="Times New Roman"/>
                      <w:color w:val="auto"/>
                      <w:highlight w:val="none"/>
                    </w:rPr>
                  </w:pPr>
                  <w:r>
                    <w:rPr>
                      <w:rFonts w:hint="eastAsia" w:ascii="Times New Roman" w:hAnsi="Times New Roman" w:cs="Times New Roman"/>
                      <w:color w:val="auto"/>
                      <w:highlight w:val="none"/>
                    </w:rPr>
                    <w:t>1</w:t>
                  </w:r>
                  <w:r>
                    <w:rPr>
                      <w:rFonts w:ascii="Times New Roman" w:hAnsi="Times New Roman" w:cs="Times New Roman"/>
                      <w:color w:val="auto"/>
                      <w:highlight w:val="none"/>
                    </w:rPr>
                    <w:t>0</w:t>
                  </w:r>
                </w:p>
              </w:tc>
              <w:tc>
                <w:tcPr>
                  <w:tcW w:w="1185" w:type="dxa"/>
                  <w:vAlign w:val="center"/>
                </w:tcPr>
                <w:p>
                  <w:pPr>
                    <w:jc w:val="center"/>
                    <w:rPr>
                      <w:rFonts w:ascii="Times New Roman" w:hAnsi="Times New Roman" w:cs="Times New Roman"/>
                      <w:color w:val="auto"/>
                      <w:highlight w:val="none"/>
                    </w:rPr>
                  </w:pPr>
                  <w:r>
                    <w:rPr>
                      <w:rFonts w:hint="eastAsia" w:ascii="Times New Roman" w:hAnsi="Times New Roman" w:cs="Times New Roman"/>
                      <w:color w:val="auto"/>
                      <w:highlight w:val="none"/>
                    </w:rPr>
                    <w:t>0</w:t>
                  </w:r>
                  <w:r>
                    <w:rPr>
                      <w:rFonts w:ascii="Times New Roman" w:hAnsi="Times New Roman" w:cs="Times New Roman"/>
                      <w:color w:val="auto"/>
                      <w:highlight w:val="none"/>
                    </w:rPr>
                    <w:t>.004</w:t>
                  </w:r>
                </w:p>
              </w:tc>
              <w:tc>
                <w:tcPr>
                  <w:tcW w:w="1185" w:type="dxa"/>
                  <w:vAlign w:val="center"/>
                </w:tcPr>
                <w:p>
                  <w:pPr>
                    <w:jc w:val="center"/>
                    <w:rPr>
                      <w:rFonts w:ascii="Times New Roman" w:hAnsi="Times New Roman" w:cs="Times New Roman"/>
                      <w:color w:val="auto"/>
                      <w:highlight w:val="none"/>
                    </w:rPr>
                  </w:pPr>
                  <w:r>
                    <w:rPr>
                      <w:rFonts w:hint="eastAsia" w:ascii="Times New Roman" w:hAnsi="Times New Roman" w:cs="Times New Roman"/>
                      <w:color w:val="auto"/>
                      <w:highlight w:val="none"/>
                    </w:rPr>
                    <w:t>达标</w:t>
                  </w:r>
                </w:p>
              </w:tc>
            </w:tr>
          </w:tbl>
          <w:p>
            <w:pPr>
              <w:pStyle w:val="41"/>
              <w:rPr>
                <w:rFonts w:ascii="Times New Roman" w:hAnsi="Times New Roman" w:cs="Times New Roman"/>
                <w:b/>
                <w:bCs/>
                <w:color w:val="auto"/>
                <w:highlight w:val="none"/>
              </w:rPr>
            </w:pPr>
            <w:r>
              <w:rPr>
                <w:rFonts w:ascii="Times New Roman" w:hAnsi="Times New Roman" w:cs="Times New Roman"/>
                <w:b/>
                <w:bCs/>
                <w:color w:val="auto"/>
                <w:highlight w:val="none"/>
              </w:rPr>
              <w:t>表</w:t>
            </w:r>
            <w:r>
              <w:rPr>
                <w:rFonts w:hint="eastAsia" w:ascii="Times New Roman" w:hAnsi="Times New Roman" w:cs="Times New Roman"/>
                <w:b/>
                <w:bCs/>
                <w:color w:val="auto"/>
                <w:highlight w:val="none"/>
              </w:rPr>
              <w:t>7-</w:t>
            </w:r>
            <w:r>
              <w:rPr>
                <w:rFonts w:ascii="Times New Roman" w:hAnsi="Times New Roman" w:cs="Times New Roman"/>
                <w:b/>
                <w:bCs/>
                <w:color w:val="auto"/>
                <w:highlight w:val="none"/>
              </w:rPr>
              <w:t>3</w:t>
            </w:r>
            <w:r>
              <w:rPr>
                <w:rFonts w:hint="eastAsia" w:ascii="Times New Roman" w:hAnsi="Times New Roman" w:cs="Times New Roman"/>
                <w:b/>
                <w:bCs/>
                <w:color w:val="auto"/>
                <w:highlight w:val="none"/>
              </w:rPr>
              <w:t>本项目建成后开平裕进纺织厂有限公司总厂废水产排情况一览表</w:t>
            </w:r>
          </w:p>
          <w:tbl>
            <w:tblPr>
              <w:tblStyle w:val="23"/>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1185"/>
              <w:gridCol w:w="1185"/>
              <w:gridCol w:w="1185"/>
              <w:gridCol w:w="1185"/>
              <w:gridCol w:w="1185"/>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6" w:type="dxa"/>
                  <w:vAlign w:val="center"/>
                </w:tcPr>
                <w:p>
                  <w:pPr>
                    <w:jc w:val="center"/>
                    <w:rPr>
                      <w:rFonts w:ascii="Times New Roman" w:hAnsi="Times New Roman" w:cs="Times New Roman"/>
                      <w:b/>
                      <w:bCs/>
                      <w:color w:val="auto"/>
                      <w:highlight w:val="none"/>
                    </w:rPr>
                  </w:pPr>
                  <w:r>
                    <w:rPr>
                      <w:rFonts w:ascii="Times New Roman" w:hAnsi="Times New Roman" w:cs="Times New Roman"/>
                      <w:b/>
                      <w:bCs/>
                      <w:color w:val="auto"/>
                      <w:highlight w:val="none"/>
                    </w:rPr>
                    <w:t>种类</w:t>
                  </w:r>
                </w:p>
              </w:tc>
              <w:tc>
                <w:tcPr>
                  <w:tcW w:w="1185" w:type="dxa"/>
                  <w:vAlign w:val="center"/>
                </w:tcPr>
                <w:p>
                  <w:pPr>
                    <w:jc w:val="center"/>
                    <w:rPr>
                      <w:rFonts w:ascii="Times New Roman" w:hAnsi="Times New Roman" w:cs="Times New Roman"/>
                      <w:b/>
                      <w:bCs/>
                      <w:color w:val="auto"/>
                      <w:highlight w:val="none"/>
                    </w:rPr>
                  </w:pPr>
                  <w:r>
                    <w:rPr>
                      <w:rFonts w:ascii="Times New Roman" w:hAnsi="Times New Roman" w:cs="Times New Roman"/>
                      <w:b/>
                      <w:bCs/>
                      <w:color w:val="auto"/>
                      <w:highlight w:val="none"/>
                    </w:rPr>
                    <w:t>水量（t/a）</w:t>
                  </w:r>
                </w:p>
              </w:tc>
              <w:tc>
                <w:tcPr>
                  <w:tcW w:w="1185" w:type="dxa"/>
                  <w:vAlign w:val="center"/>
                </w:tcPr>
                <w:p>
                  <w:pPr>
                    <w:jc w:val="center"/>
                    <w:rPr>
                      <w:rFonts w:ascii="Times New Roman" w:hAnsi="Times New Roman" w:cs="Times New Roman"/>
                      <w:b/>
                      <w:bCs/>
                      <w:color w:val="auto"/>
                      <w:highlight w:val="none"/>
                    </w:rPr>
                  </w:pPr>
                  <w:r>
                    <w:rPr>
                      <w:rFonts w:ascii="Times New Roman" w:hAnsi="Times New Roman" w:cs="Times New Roman"/>
                      <w:b/>
                      <w:bCs/>
                      <w:color w:val="auto"/>
                      <w:highlight w:val="none"/>
                    </w:rPr>
                    <w:t>产生浓度（mg/L）</w:t>
                  </w:r>
                </w:p>
              </w:tc>
              <w:tc>
                <w:tcPr>
                  <w:tcW w:w="1185" w:type="dxa"/>
                  <w:vAlign w:val="center"/>
                </w:tcPr>
                <w:p>
                  <w:pPr>
                    <w:jc w:val="center"/>
                    <w:rPr>
                      <w:rFonts w:ascii="Times New Roman" w:hAnsi="Times New Roman" w:cs="Times New Roman"/>
                      <w:b/>
                      <w:bCs/>
                      <w:color w:val="auto"/>
                      <w:highlight w:val="none"/>
                    </w:rPr>
                  </w:pPr>
                  <w:r>
                    <w:rPr>
                      <w:rFonts w:ascii="Times New Roman" w:hAnsi="Times New Roman" w:cs="Times New Roman"/>
                      <w:b/>
                      <w:bCs/>
                      <w:color w:val="auto"/>
                      <w:highlight w:val="none"/>
                    </w:rPr>
                    <w:t>产生量（t/a）</w:t>
                  </w:r>
                </w:p>
              </w:tc>
              <w:tc>
                <w:tcPr>
                  <w:tcW w:w="1185" w:type="dxa"/>
                  <w:vAlign w:val="center"/>
                </w:tcPr>
                <w:p>
                  <w:pPr>
                    <w:jc w:val="center"/>
                    <w:rPr>
                      <w:rFonts w:ascii="Times New Roman" w:hAnsi="Times New Roman" w:cs="Times New Roman"/>
                      <w:b/>
                      <w:bCs/>
                      <w:color w:val="auto"/>
                      <w:highlight w:val="none"/>
                    </w:rPr>
                  </w:pPr>
                  <w:r>
                    <w:rPr>
                      <w:rFonts w:ascii="Times New Roman" w:hAnsi="Times New Roman" w:cs="Times New Roman"/>
                      <w:b/>
                      <w:bCs/>
                      <w:color w:val="auto"/>
                      <w:highlight w:val="none"/>
                    </w:rPr>
                    <w:t>排放浓度（mg/L）</w:t>
                  </w:r>
                </w:p>
              </w:tc>
              <w:tc>
                <w:tcPr>
                  <w:tcW w:w="1185" w:type="dxa"/>
                  <w:vAlign w:val="center"/>
                </w:tcPr>
                <w:p>
                  <w:pPr>
                    <w:jc w:val="center"/>
                    <w:rPr>
                      <w:rFonts w:ascii="Times New Roman" w:hAnsi="Times New Roman" w:cs="Times New Roman"/>
                      <w:b/>
                      <w:bCs/>
                      <w:color w:val="auto"/>
                      <w:highlight w:val="none"/>
                    </w:rPr>
                  </w:pPr>
                  <w:r>
                    <w:rPr>
                      <w:rFonts w:ascii="Times New Roman" w:hAnsi="Times New Roman" w:cs="Times New Roman"/>
                      <w:b/>
                      <w:bCs/>
                      <w:color w:val="auto"/>
                      <w:highlight w:val="none"/>
                    </w:rPr>
                    <w:t>排放量（t/a）</w:t>
                  </w:r>
                </w:p>
              </w:tc>
              <w:tc>
                <w:tcPr>
                  <w:tcW w:w="1185" w:type="dxa"/>
                  <w:vAlign w:val="center"/>
                </w:tcPr>
                <w:p>
                  <w:pPr>
                    <w:jc w:val="center"/>
                    <w:rPr>
                      <w:rFonts w:ascii="Times New Roman" w:hAnsi="Times New Roman" w:cs="Times New Roman"/>
                      <w:b/>
                      <w:bCs/>
                      <w:color w:val="auto"/>
                      <w:highlight w:val="none"/>
                    </w:rPr>
                  </w:pPr>
                  <w:r>
                    <w:rPr>
                      <w:rFonts w:hint="eastAsia" w:ascii="Times New Roman" w:hAnsi="Times New Roman" w:cs="Times New Roman"/>
                      <w:b/>
                      <w:bCs/>
                      <w:color w:val="auto"/>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6" w:type="dxa"/>
                  <w:vAlign w:val="center"/>
                </w:tcPr>
                <w:p>
                  <w:pPr>
                    <w:jc w:val="center"/>
                    <w:rPr>
                      <w:rFonts w:ascii="Times New Roman" w:hAnsi="Times New Roman" w:cs="Times New Roman"/>
                      <w:color w:val="auto"/>
                      <w:highlight w:val="none"/>
                    </w:rPr>
                  </w:pPr>
                  <w:r>
                    <w:rPr>
                      <w:rFonts w:ascii="Times New Roman" w:hAnsi="Times New Roman" w:cs="Times New Roman"/>
                      <w:color w:val="auto"/>
                      <w:highlight w:val="none"/>
                    </w:rPr>
                    <w:t>COD</w:t>
                  </w:r>
                  <w:r>
                    <w:rPr>
                      <w:rFonts w:ascii="Times New Roman" w:hAnsi="Times New Roman" w:cs="Times New Roman"/>
                      <w:color w:val="auto"/>
                      <w:highlight w:val="none"/>
                      <w:vertAlign w:val="subscript"/>
                    </w:rPr>
                    <w:t>Cr</w:t>
                  </w:r>
                </w:p>
              </w:tc>
              <w:tc>
                <w:tcPr>
                  <w:tcW w:w="1185" w:type="dxa"/>
                  <w:vMerge w:val="restart"/>
                  <w:vAlign w:val="center"/>
                </w:tcPr>
                <w:p>
                  <w:pPr>
                    <w:jc w:val="center"/>
                    <w:rPr>
                      <w:rFonts w:ascii="Times New Roman" w:hAnsi="Times New Roman" w:cs="Times New Roman"/>
                      <w:color w:val="auto"/>
                      <w:highlight w:val="none"/>
                    </w:rPr>
                  </w:pPr>
                  <w:r>
                    <w:rPr>
                      <w:rFonts w:ascii="Times New Roman" w:hAnsi="Times New Roman" w:cs="Times New Roman"/>
                      <w:color w:val="auto"/>
                      <w:highlight w:val="none"/>
                    </w:rPr>
                    <w:t>348434</w:t>
                  </w:r>
                </w:p>
              </w:tc>
              <w:tc>
                <w:tcPr>
                  <w:tcW w:w="1185" w:type="dxa"/>
                  <w:vAlign w:val="center"/>
                </w:tcPr>
                <w:p>
                  <w:pPr>
                    <w:jc w:val="center"/>
                    <w:rPr>
                      <w:rFonts w:ascii="Times New Roman" w:hAnsi="Times New Roman" w:cs="Times New Roman"/>
                      <w:color w:val="auto"/>
                      <w:highlight w:val="none"/>
                    </w:rPr>
                  </w:pPr>
                  <w:r>
                    <w:rPr>
                      <w:rFonts w:hint="eastAsia" w:ascii="Times New Roman" w:hAnsi="Times New Roman" w:cs="Times New Roman"/>
                      <w:color w:val="auto"/>
                      <w:highlight w:val="none"/>
                    </w:rPr>
                    <w:t>3</w:t>
                  </w:r>
                  <w:r>
                    <w:rPr>
                      <w:rFonts w:ascii="Times New Roman" w:hAnsi="Times New Roman" w:cs="Times New Roman"/>
                      <w:color w:val="auto"/>
                      <w:highlight w:val="none"/>
                    </w:rPr>
                    <w:t>00</w:t>
                  </w:r>
                </w:p>
              </w:tc>
              <w:tc>
                <w:tcPr>
                  <w:tcW w:w="1185" w:type="dxa"/>
                  <w:vAlign w:val="center"/>
                </w:tcPr>
                <w:p>
                  <w:pPr>
                    <w:jc w:val="center"/>
                    <w:rPr>
                      <w:rFonts w:ascii="Times New Roman" w:hAnsi="Times New Roman" w:cs="Times New Roman"/>
                      <w:color w:val="auto"/>
                      <w:highlight w:val="none"/>
                    </w:rPr>
                  </w:pPr>
                  <w:r>
                    <w:rPr>
                      <w:rFonts w:ascii="Times New Roman" w:hAnsi="Times New Roman" w:cs="Times New Roman"/>
                      <w:color w:val="auto"/>
                      <w:highlight w:val="none"/>
                    </w:rPr>
                    <w:t>104.530</w:t>
                  </w:r>
                </w:p>
              </w:tc>
              <w:tc>
                <w:tcPr>
                  <w:tcW w:w="1185" w:type="dxa"/>
                  <w:vAlign w:val="center"/>
                </w:tcPr>
                <w:p>
                  <w:pPr>
                    <w:jc w:val="center"/>
                    <w:rPr>
                      <w:rFonts w:ascii="Times New Roman" w:hAnsi="Times New Roman" w:cs="Times New Roman"/>
                      <w:color w:val="auto"/>
                      <w:highlight w:val="none"/>
                    </w:rPr>
                  </w:pPr>
                  <w:r>
                    <w:rPr>
                      <w:rFonts w:hint="eastAsia" w:ascii="Times New Roman" w:hAnsi="Times New Roman" w:cs="Times New Roman"/>
                      <w:color w:val="auto"/>
                      <w:highlight w:val="none"/>
                    </w:rPr>
                    <w:t>8</w:t>
                  </w:r>
                  <w:r>
                    <w:rPr>
                      <w:rFonts w:ascii="Times New Roman" w:hAnsi="Times New Roman" w:cs="Times New Roman"/>
                      <w:color w:val="auto"/>
                      <w:highlight w:val="none"/>
                    </w:rPr>
                    <w:t>0</w:t>
                  </w:r>
                </w:p>
              </w:tc>
              <w:tc>
                <w:tcPr>
                  <w:tcW w:w="1185" w:type="dxa"/>
                  <w:vAlign w:val="center"/>
                </w:tcPr>
                <w:p>
                  <w:pPr>
                    <w:jc w:val="center"/>
                    <w:rPr>
                      <w:rFonts w:ascii="Times New Roman" w:hAnsi="Times New Roman" w:cs="Times New Roman"/>
                      <w:color w:val="auto"/>
                      <w:highlight w:val="none"/>
                    </w:rPr>
                  </w:pPr>
                  <w:r>
                    <w:rPr>
                      <w:rFonts w:ascii="Times New Roman" w:hAnsi="Times New Roman" w:cs="Times New Roman"/>
                      <w:color w:val="auto"/>
                      <w:highlight w:val="none"/>
                    </w:rPr>
                    <w:t>27.875</w:t>
                  </w:r>
                </w:p>
              </w:tc>
              <w:tc>
                <w:tcPr>
                  <w:tcW w:w="1185" w:type="dxa"/>
                  <w:vAlign w:val="center"/>
                </w:tcPr>
                <w:p>
                  <w:pPr>
                    <w:jc w:val="center"/>
                    <w:rPr>
                      <w:rFonts w:ascii="Times New Roman" w:hAnsi="Times New Roman" w:cs="Times New Roman"/>
                      <w:color w:val="auto"/>
                      <w:highlight w:val="none"/>
                    </w:rPr>
                  </w:pPr>
                  <w:r>
                    <w:rPr>
                      <w:rFonts w:hint="eastAsia" w:ascii="Times New Roman" w:hAnsi="Times New Roman" w:cs="Times New Roman"/>
                      <w:color w:val="auto"/>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6" w:type="dxa"/>
                  <w:vAlign w:val="center"/>
                </w:tcPr>
                <w:p>
                  <w:pPr>
                    <w:jc w:val="center"/>
                    <w:rPr>
                      <w:rFonts w:ascii="Times New Roman" w:hAnsi="Times New Roman" w:cs="Times New Roman"/>
                      <w:color w:val="auto"/>
                      <w:highlight w:val="none"/>
                    </w:rPr>
                  </w:pPr>
                  <w:r>
                    <w:rPr>
                      <w:rFonts w:ascii="Times New Roman" w:hAnsi="Times New Roman" w:cs="Times New Roman"/>
                      <w:color w:val="auto"/>
                      <w:highlight w:val="none"/>
                    </w:rPr>
                    <w:t>BOD</w:t>
                  </w:r>
                  <w:r>
                    <w:rPr>
                      <w:rFonts w:ascii="Times New Roman" w:hAnsi="Times New Roman" w:cs="Times New Roman"/>
                      <w:color w:val="auto"/>
                      <w:highlight w:val="none"/>
                      <w:vertAlign w:val="subscript"/>
                    </w:rPr>
                    <w:t>5</w:t>
                  </w:r>
                </w:p>
              </w:tc>
              <w:tc>
                <w:tcPr>
                  <w:tcW w:w="1185" w:type="dxa"/>
                  <w:vMerge w:val="continue"/>
                  <w:vAlign w:val="center"/>
                </w:tcPr>
                <w:p>
                  <w:pPr>
                    <w:jc w:val="center"/>
                    <w:rPr>
                      <w:rFonts w:ascii="Times New Roman" w:hAnsi="Times New Roman" w:cs="Times New Roman"/>
                      <w:color w:val="auto"/>
                      <w:highlight w:val="none"/>
                    </w:rPr>
                  </w:pPr>
                </w:p>
              </w:tc>
              <w:tc>
                <w:tcPr>
                  <w:tcW w:w="1185" w:type="dxa"/>
                  <w:vAlign w:val="center"/>
                </w:tcPr>
                <w:p>
                  <w:pPr>
                    <w:jc w:val="center"/>
                    <w:rPr>
                      <w:rFonts w:ascii="Times New Roman" w:hAnsi="Times New Roman" w:cs="Times New Roman"/>
                      <w:color w:val="auto"/>
                      <w:highlight w:val="none"/>
                    </w:rPr>
                  </w:pPr>
                  <w:r>
                    <w:rPr>
                      <w:rFonts w:ascii="Times New Roman" w:hAnsi="Times New Roman" w:cs="Times New Roman"/>
                      <w:color w:val="auto"/>
                      <w:highlight w:val="none"/>
                    </w:rPr>
                    <w:t>150</w:t>
                  </w:r>
                </w:p>
              </w:tc>
              <w:tc>
                <w:tcPr>
                  <w:tcW w:w="1185" w:type="dxa"/>
                  <w:vAlign w:val="center"/>
                </w:tcPr>
                <w:p>
                  <w:pPr>
                    <w:jc w:val="center"/>
                    <w:rPr>
                      <w:rFonts w:ascii="Times New Roman" w:hAnsi="Times New Roman" w:cs="Times New Roman"/>
                      <w:color w:val="auto"/>
                      <w:highlight w:val="none"/>
                    </w:rPr>
                  </w:pPr>
                  <w:r>
                    <w:rPr>
                      <w:rFonts w:ascii="Times New Roman" w:hAnsi="Times New Roman" w:cs="Times New Roman"/>
                      <w:color w:val="auto"/>
                      <w:highlight w:val="none"/>
                    </w:rPr>
                    <w:t>52.265</w:t>
                  </w:r>
                </w:p>
              </w:tc>
              <w:tc>
                <w:tcPr>
                  <w:tcW w:w="1185" w:type="dxa"/>
                  <w:vAlign w:val="center"/>
                </w:tcPr>
                <w:p>
                  <w:pPr>
                    <w:jc w:val="center"/>
                    <w:rPr>
                      <w:rFonts w:ascii="Times New Roman" w:hAnsi="Times New Roman" w:cs="Times New Roman"/>
                      <w:color w:val="auto"/>
                      <w:highlight w:val="none"/>
                    </w:rPr>
                  </w:pPr>
                  <w:r>
                    <w:rPr>
                      <w:rFonts w:hint="eastAsia" w:ascii="Times New Roman" w:hAnsi="Times New Roman" w:cs="Times New Roman"/>
                      <w:color w:val="auto"/>
                      <w:highlight w:val="none"/>
                    </w:rPr>
                    <w:t>2</w:t>
                  </w:r>
                  <w:r>
                    <w:rPr>
                      <w:rFonts w:ascii="Times New Roman" w:hAnsi="Times New Roman" w:cs="Times New Roman"/>
                      <w:color w:val="auto"/>
                      <w:highlight w:val="none"/>
                    </w:rPr>
                    <w:t>0</w:t>
                  </w:r>
                </w:p>
              </w:tc>
              <w:tc>
                <w:tcPr>
                  <w:tcW w:w="1185" w:type="dxa"/>
                  <w:vAlign w:val="center"/>
                </w:tcPr>
                <w:p>
                  <w:pPr>
                    <w:jc w:val="center"/>
                    <w:rPr>
                      <w:rFonts w:ascii="Times New Roman" w:hAnsi="Times New Roman" w:cs="Times New Roman"/>
                      <w:color w:val="auto"/>
                      <w:highlight w:val="none"/>
                    </w:rPr>
                  </w:pPr>
                  <w:r>
                    <w:rPr>
                      <w:rFonts w:ascii="Times New Roman" w:hAnsi="Times New Roman" w:cs="Times New Roman"/>
                      <w:color w:val="auto"/>
                      <w:highlight w:val="none"/>
                    </w:rPr>
                    <w:t>6.969</w:t>
                  </w:r>
                </w:p>
              </w:tc>
              <w:tc>
                <w:tcPr>
                  <w:tcW w:w="1185" w:type="dxa"/>
                  <w:vAlign w:val="center"/>
                </w:tcPr>
                <w:p>
                  <w:pPr>
                    <w:jc w:val="center"/>
                    <w:rPr>
                      <w:rFonts w:ascii="Times New Roman" w:hAnsi="Times New Roman" w:cs="Times New Roman"/>
                      <w:color w:val="auto"/>
                      <w:highlight w:val="none"/>
                    </w:rPr>
                  </w:pPr>
                  <w:r>
                    <w:rPr>
                      <w:rFonts w:hint="eastAsia" w:ascii="Times New Roman" w:hAnsi="Times New Roman" w:cs="Times New Roman"/>
                      <w:color w:val="auto"/>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6" w:type="dxa"/>
                  <w:vAlign w:val="center"/>
                </w:tcPr>
                <w:p>
                  <w:pPr>
                    <w:jc w:val="center"/>
                    <w:rPr>
                      <w:rFonts w:ascii="Times New Roman" w:hAnsi="Times New Roman" w:cs="Times New Roman"/>
                      <w:color w:val="auto"/>
                      <w:highlight w:val="none"/>
                    </w:rPr>
                  </w:pPr>
                  <w:r>
                    <w:rPr>
                      <w:rFonts w:ascii="Times New Roman" w:hAnsi="Times New Roman" w:cs="Times New Roman"/>
                      <w:color w:val="auto"/>
                      <w:highlight w:val="none"/>
                    </w:rPr>
                    <w:t>SS</w:t>
                  </w:r>
                </w:p>
              </w:tc>
              <w:tc>
                <w:tcPr>
                  <w:tcW w:w="1185" w:type="dxa"/>
                  <w:vMerge w:val="continue"/>
                  <w:vAlign w:val="center"/>
                </w:tcPr>
                <w:p>
                  <w:pPr>
                    <w:jc w:val="center"/>
                    <w:rPr>
                      <w:rFonts w:ascii="Times New Roman" w:hAnsi="Times New Roman" w:cs="Times New Roman"/>
                      <w:color w:val="auto"/>
                      <w:highlight w:val="none"/>
                    </w:rPr>
                  </w:pPr>
                </w:p>
              </w:tc>
              <w:tc>
                <w:tcPr>
                  <w:tcW w:w="1185" w:type="dxa"/>
                  <w:vAlign w:val="center"/>
                </w:tcPr>
                <w:p>
                  <w:pPr>
                    <w:jc w:val="center"/>
                    <w:rPr>
                      <w:rFonts w:ascii="Times New Roman" w:hAnsi="Times New Roman" w:cs="Times New Roman"/>
                      <w:color w:val="auto"/>
                      <w:highlight w:val="none"/>
                    </w:rPr>
                  </w:pPr>
                  <w:r>
                    <w:rPr>
                      <w:rFonts w:hint="eastAsia" w:ascii="Times New Roman" w:hAnsi="Times New Roman" w:cs="Times New Roman"/>
                      <w:color w:val="auto"/>
                      <w:highlight w:val="none"/>
                    </w:rPr>
                    <w:t>1</w:t>
                  </w:r>
                  <w:r>
                    <w:rPr>
                      <w:rFonts w:ascii="Times New Roman" w:hAnsi="Times New Roman" w:cs="Times New Roman"/>
                      <w:color w:val="auto"/>
                      <w:highlight w:val="none"/>
                    </w:rPr>
                    <w:t>50</w:t>
                  </w:r>
                </w:p>
              </w:tc>
              <w:tc>
                <w:tcPr>
                  <w:tcW w:w="1185" w:type="dxa"/>
                  <w:vAlign w:val="center"/>
                </w:tcPr>
                <w:p>
                  <w:pPr>
                    <w:jc w:val="center"/>
                    <w:rPr>
                      <w:rFonts w:ascii="Times New Roman" w:hAnsi="Times New Roman" w:cs="Times New Roman"/>
                      <w:color w:val="auto"/>
                      <w:highlight w:val="none"/>
                    </w:rPr>
                  </w:pPr>
                  <w:r>
                    <w:rPr>
                      <w:rFonts w:ascii="Times New Roman" w:hAnsi="Times New Roman" w:cs="Times New Roman"/>
                      <w:color w:val="auto"/>
                      <w:highlight w:val="none"/>
                    </w:rPr>
                    <w:t>52.265</w:t>
                  </w:r>
                </w:p>
              </w:tc>
              <w:tc>
                <w:tcPr>
                  <w:tcW w:w="1185" w:type="dxa"/>
                  <w:vAlign w:val="center"/>
                </w:tcPr>
                <w:p>
                  <w:pPr>
                    <w:jc w:val="center"/>
                    <w:rPr>
                      <w:rFonts w:ascii="Times New Roman" w:hAnsi="Times New Roman" w:cs="Times New Roman"/>
                      <w:color w:val="auto"/>
                      <w:highlight w:val="none"/>
                    </w:rPr>
                  </w:pPr>
                  <w:r>
                    <w:rPr>
                      <w:rFonts w:hint="eastAsia" w:ascii="Times New Roman" w:hAnsi="Times New Roman" w:cs="Times New Roman"/>
                      <w:color w:val="auto"/>
                      <w:highlight w:val="none"/>
                    </w:rPr>
                    <w:t>5</w:t>
                  </w:r>
                  <w:r>
                    <w:rPr>
                      <w:rFonts w:ascii="Times New Roman" w:hAnsi="Times New Roman" w:cs="Times New Roman"/>
                      <w:color w:val="auto"/>
                      <w:highlight w:val="none"/>
                    </w:rPr>
                    <w:t>0</w:t>
                  </w:r>
                </w:p>
              </w:tc>
              <w:tc>
                <w:tcPr>
                  <w:tcW w:w="1185" w:type="dxa"/>
                  <w:vAlign w:val="center"/>
                </w:tcPr>
                <w:p>
                  <w:pPr>
                    <w:jc w:val="center"/>
                    <w:rPr>
                      <w:rFonts w:ascii="Times New Roman" w:hAnsi="Times New Roman" w:cs="Times New Roman"/>
                      <w:color w:val="auto"/>
                      <w:highlight w:val="none"/>
                    </w:rPr>
                  </w:pPr>
                  <w:r>
                    <w:rPr>
                      <w:rFonts w:ascii="Times New Roman" w:hAnsi="Times New Roman" w:cs="Times New Roman"/>
                      <w:color w:val="auto"/>
                      <w:highlight w:val="none"/>
                    </w:rPr>
                    <w:t>17.422</w:t>
                  </w:r>
                </w:p>
              </w:tc>
              <w:tc>
                <w:tcPr>
                  <w:tcW w:w="1185" w:type="dxa"/>
                  <w:vAlign w:val="center"/>
                </w:tcPr>
                <w:p>
                  <w:pPr>
                    <w:jc w:val="center"/>
                    <w:rPr>
                      <w:rFonts w:ascii="Times New Roman" w:hAnsi="Times New Roman" w:cs="Times New Roman"/>
                      <w:color w:val="auto"/>
                      <w:highlight w:val="none"/>
                    </w:rPr>
                  </w:pPr>
                  <w:r>
                    <w:rPr>
                      <w:rFonts w:hint="eastAsia" w:ascii="Times New Roman" w:hAnsi="Times New Roman" w:cs="Times New Roman"/>
                      <w:color w:val="auto"/>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6" w:type="dxa"/>
                  <w:vAlign w:val="center"/>
                </w:tcPr>
                <w:p>
                  <w:pPr>
                    <w:jc w:val="center"/>
                    <w:rPr>
                      <w:rFonts w:ascii="Times New Roman" w:hAnsi="Times New Roman" w:cs="Times New Roman"/>
                      <w:color w:val="auto"/>
                      <w:highlight w:val="none"/>
                    </w:rPr>
                  </w:pPr>
                  <w:r>
                    <w:rPr>
                      <w:rFonts w:ascii="Times New Roman" w:hAnsi="Times New Roman" w:cs="Times New Roman"/>
                      <w:color w:val="auto"/>
                      <w:highlight w:val="none"/>
                    </w:rPr>
                    <w:t>氨氮</w:t>
                  </w:r>
                </w:p>
              </w:tc>
              <w:tc>
                <w:tcPr>
                  <w:tcW w:w="1185" w:type="dxa"/>
                  <w:vMerge w:val="continue"/>
                  <w:vAlign w:val="center"/>
                </w:tcPr>
                <w:p>
                  <w:pPr>
                    <w:jc w:val="center"/>
                    <w:rPr>
                      <w:rFonts w:ascii="Times New Roman" w:hAnsi="Times New Roman" w:cs="Times New Roman"/>
                      <w:color w:val="auto"/>
                      <w:highlight w:val="none"/>
                    </w:rPr>
                  </w:pPr>
                </w:p>
              </w:tc>
              <w:tc>
                <w:tcPr>
                  <w:tcW w:w="1185" w:type="dxa"/>
                  <w:vAlign w:val="center"/>
                </w:tcPr>
                <w:p>
                  <w:pPr>
                    <w:jc w:val="center"/>
                    <w:rPr>
                      <w:rFonts w:ascii="Times New Roman" w:hAnsi="Times New Roman" w:cs="Times New Roman"/>
                      <w:color w:val="auto"/>
                      <w:highlight w:val="none"/>
                    </w:rPr>
                  </w:pPr>
                  <w:r>
                    <w:rPr>
                      <w:rFonts w:hint="eastAsia" w:ascii="Times New Roman" w:hAnsi="Times New Roman" w:cs="Times New Roman"/>
                      <w:color w:val="auto"/>
                      <w:highlight w:val="none"/>
                    </w:rPr>
                    <w:t>2</w:t>
                  </w:r>
                  <w:r>
                    <w:rPr>
                      <w:rFonts w:ascii="Times New Roman" w:hAnsi="Times New Roman" w:cs="Times New Roman"/>
                      <w:color w:val="auto"/>
                      <w:highlight w:val="none"/>
                    </w:rPr>
                    <w:t>0</w:t>
                  </w:r>
                </w:p>
              </w:tc>
              <w:tc>
                <w:tcPr>
                  <w:tcW w:w="1185" w:type="dxa"/>
                  <w:vAlign w:val="center"/>
                </w:tcPr>
                <w:p>
                  <w:pPr>
                    <w:jc w:val="center"/>
                    <w:rPr>
                      <w:rFonts w:ascii="Times New Roman" w:hAnsi="Times New Roman" w:cs="Times New Roman"/>
                      <w:color w:val="auto"/>
                      <w:highlight w:val="none"/>
                    </w:rPr>
                  </w:pPr>
                  <w:r>
                    <w:rPr>
                      <w:rFonts w:ascii="Times New Roman" w:hAnsi="Times New Roman" w:cs="Times New Roman"/>
                      <w:color w:val="auto"/>
                      <w:highlight w:val="none"/>
                    </w:rPr>
                    <w:t>6.969</w:t>
                  </w:r>
                </w:p>
              </w:tc>
              <w:tc>
                <w:tcPr>
                  <w:tcW w:w="1185" w:type="dxa"/>
                  <w:vAlign w:val="center"/>
                </w:tcPr>
                <w:p>
                  <w:pPr>
                    <w:jc w:val="center"/>
                    <w:rPr>
                      <w:rFonts w:ascii="Times New Roman" w:hAnsi="Times New Roman" w:cs="Times New Roman"/>
                      <w:color w:val="auto"/>
                      <w:highlight w:val="none"/>
                    </w:rPr>
                  </w:pPr>
                  <w:r>
                    <w:rPr>
                      <w:rFonts w:hint="eastAsia" w:ascii="Times New Roman" w:hAnsi="Times New Roman" w:cs="Times New Roman"/>
                      <w:color w:val="auto"/>
                      <w:highlight w:val="none"/>
                    </w:rPr>
                    <w:t>1</w:t>
                  </w:r>
                  <w:r>
                    <w:rPr>
                      <w:rFonts w:ascii="Times New Roman" w:hAnsi="Times New Roman" w:cs="Times New Roman"/>
                      <w:color w:val="auto"/>
                      <w:highlight w:val="none"/>
                    </w:rPr>
                    <w:t>0</w:t>
                  </w:r>
                </w:p>
              </w:tc>
              <w:tc>
                <w:tcPr>
                  <w:tcW w:w="1185" w:type="dxa"/>
                  <w:vAlign w:val="center"/>
                </w:tcPr>
                <w:p>
                  <w:pPr>
                    <w:jc w:val="center"/>
                    <w:rPr>
                      <w:rFonts w:ascii="Times New Roman" w:hAnsi="Times New Roman" w:cs="Times New Roman"/>
                      <w:color w:val="auto"/>
                      <w:highlight w:val="none"/>
                    </w:rPr>
                  </w:pPr>
                  <w:r>
                    <w:rPr>
                      <w:rFonts w:hint="eastAsia" w:ascii="Times New Roman" w:hAnsi="Times New Roman" w:cs="Times New Roman"/>
                      <w:color w:val="auto"/>
                      <w:highlight w:val="none"/>
                    </w:rPr>
                    <w:t>3</w:t>
                  </w:r>
                  <w:r>
                    <w:rPr>
                      <w:rFonts w:ascii="Times New Roman" w:hAnsi="Times New Roman" w:cs="Times New Roman"/>
                      <w:color w:val="auto"/>
                      <w:highlight w:val="none"/>
                    </w:rPr>
                    <w:t>.484</w:t>
                  </w:r>
                </w:p>
              </w:tc>
              <w:tc>
                <w:tcPr>
                  <w:tcW w:w="1185" w:type="dxa"/>
                  <w:vAlign w:val="center"/>
                </w:tcPr>
                <w:p>
                  <w:pPr>
                    <w:jc w:val="center"/>
                    <w:rPr>
                      <w:rFonts w:ascii="Times New Roman" w:hAnsi="Times New Roman" w:cs="Times New Roman"/>
                      <w:color w:val="auto"/>
                      <w:highlight w:val="none"/>
                    </w:rPr>
                  </w:pPr>
                  <w:r>
                    <w:rPr>
                      <w:rFonts w:hint="eastAsia" w:ascii="Times New Roman" w:hAnsi="Times New Roman" w:cs="Times New Roman"/>
                      <w:color w:val="auto"/>
                      <w:highlight w:val="none"/>
                    </w:rPr>
                    <w:t>达标</w:t>
                  </w:r>
                </w:p>
              </w:tc>
            </w:tr>
          </w:tbl>
          <w:p>
            <w:pPr>
              <w:spacing w:line="360" w:lineRule="auto"/>
              <w:ind w:firstLine="480" w:firstLineChars="200"/>
              <w:rPr>
                <w:color w:val="auto"/>
                <w:sz w:val="24"/>
                <w:szCs w:val="24"/>
                <w:highlight w:val="none"/>
              </w:rPr>
            </w:pPr>
            <w:r>
              <w:rPr>
                <w:rFonts w:ascii="Times New Roman" w:hAnsi="Times New Roman" w:cs="Times New Roman"/>
                <w:color w:val="auto"/>
                <w:sz w:val="24"/>
                <w:szCs w:val="24"/>
                <w:highlight w:val="none"/>
              </w:rPr>
              <w:t>开平裕进纺织厂有限公司的</w:t>
            </w:r>
            <w:r>
              <w:rPr>
                <w:rFonts w:hint="eastAsia" w:ascii="Times New Roman" w:hAnsi="Times New Roman" w:cs="Times New Roman"/>
                <w:color w:val="auto"/>
                <w:sz w:val="24"/>
                <w:szCs w:val="24"/>
                <w:highlight w:val="none"/>
              </w:rPr>
              <w:t>排污许可证编号为：</w:t>
            </w:r>
            <w:r>
              <w:rPr>
                <w:rFonts w:ascii="Times New Roman" w:hAnsi="Times New Roman" w:cs="Times New Roman"/>
                <w:color w:val="auto"/>
                <w:sz w:val="24"/>
                <w:szCs w:val="24"/>
                <w:highlight w:val="none"/>
              </w:rPr>
              <w:t>91440700739852316Y001P</w:t>
            </w:r>
            <w:r>
              <w:rPr>
                <w:rFonts w:hint="eastAsia" w:ascii="Times New Roman" w:hAnsi="Times New Roman" w:cs="Times New Roman"/>
                <w:color w:val="auto"/>
                <w:sz w:val="24"/>
                <w:szCs w:val="24"/>
                <w:highlight w:val="none"/>
              </w:rPr>
              <w:t>，许可年排放量限值为CODcr：</w:t>
            </w:r>
            <w:r>
              <w:rPr>
                <w:rFonts w:ascii="Times New Roman" w:hAnsi="Times New Roman" w:cs="Times New Roman"/>
                <w:color w:val="auto"/>
                <w:sz w:val="24"/>
                <w:szCs w:val="24"/>
                <w:highlight w:val="none"/>
              </w:rPr>
              <w:t>36.48</w:t>
            </w:r>
            <w:r>
              <w:rPr>
                <w:rFonts w:hint="eastAsia" w:ascii="Times New Roman" w:hAnsi="Times New Roman" w:cs="Times New Roman"/>
                <w:color w:val="auto"/>
                <w:sz w:val="24"/>
                <w:szCs w:val="24"/>
                <w:highlight w:val="none"/>
              </w:rPr>
              <w:t xml:space="preserve"> t/a、氨氮：4.</w:t>
            </w:r>
            <w:r>
              <w:rPr>
                <w:rFonts w:ascii="Times New Roman" w:hAnsi="Times New Roman" w:cs="Times New Roman"/>
                <w:color w:val="auto"/>
                <w:sz w:val="24"/>
                <w:szCs w:val="24"/>
                <w:highlight w:val="none"/>
              </w:rPr>
              <w:t>56</w:t>
            </w:r>
            <w:r>
              <w:rPr>
                <w:rFonts w:hint="eastAsia" w:ascii="Times New Roman" w:hAnsi="Times New Roman" w:cs="Times New Roman"/>
                <w:color w:val="auto"/>
                <w:sz w:val="24"/>
                <w:szCs w:val="24"/>
                <w:highlight w:val="none"/>
              </w:rPr>
              <w:t>t/a，本项目建成后与</w:t>
            </w:r>
            <w:r>
              <w:rPr>
                <w:rFonts w:ascii="Times New Roman" w:hAnsi="Times New Roman" w:cs="Times New Roman"/>
                <w:color w:val="auto"/>
                <w:sz w:val="24"/>
                <w:szCs w:val="24"/>
                <w:highlight w:val="none"/>
              </w:rPr>
              <w:t>开平裕进纺织厂有限公司</w:t>
            </w:r>
            <w:r>
              <w:rPr>
                <w:rFonts w:hint="eastAsia" w:ascii="Times New Roman" w:hAnsi="Times New Roman" w:cs="Times New Roman"/>
                <w:color w:val="auto"/>
                <w:sz w:val="24"/>
                <w:szCs w:val="24"/>
                <w:highlight w:val="none"/>
              </w:rPr>
              <w:t>废水污染物总排放量为CODcr：</w:t>
            </w:r>
            <w:r>
              <w:rPr>
                <w:rFonts w:ascii="Times New Roman" w:hAnsi="Times New Roman" w:cs="Times New Roman"/>
                <w:color w:val="auto"/>
                <w:sz w:val="24"/>
                <w:szCs w:val="24"/>
                <w:highlight w:val="none"/>
              </w:rPr>
              <w:t>27.875</w:t>
            </w:r>
            <w:r>
              <w:rPr>
                <w:rFonts w:hint="eastAsia" w:ascii="Times New Roman" w:hAnsi="Times New Roman" w:cs="Times New Roman"/>
                <w:color w:val="auto"/>
                <w:sz w:val="24"/>
                <w:szCs w:val="24"/>
                <w:highlight w:val="none"/>
              </w:rPr>
              <w:t xml:space="preserve"> t/a、氨氮：</w:t>
            </w:r>
            <w:r>
              <w:rPr>
                <w:rFonts w:ascii="Times New Roman" w:hAnsi="Times New Roman" w:cs="Times New Roman"/>
                <w:color w:val="auto"/>
                <w:sz w:val="24"/>
                <w:szCs w:val="24"/>
                <w:highlight w:val="none"/>
              </w:rPr>
              <w:t>3.484</w:t>
            </w:r>
            <w:r>
              <w:rPr>
                <w:rFonts w:hint="eastAsia" w:ascii="Times New Roman" w:hAnsi="Times New Roman" w:cs="Times New Roman"/>
                <w:color w:val="auto"/>
                <w:sz w:val="24"/>
                <w:szCs w:val="24"/>
                <w:highlight w:val="none"/>
              </w:rPr>
              <w:t>t/a，本项目</w:t>
            </w:r>
            <w:r>
              <w:rPr>
                <w:rFonts w:ascii="Times New Roman" w:hAnsi="Times New Roman" w:cs="Times New Roman"/>
                <w:color w:val="auto"/>
                <w:sz w:val="24"/>
                <w:szCs w:val="24"/>
                <w:highlight w:val="none"/>
              </w:rPr>
              <w:t>所</w:t>
            </w:r>
            <w:r>
              <w:rPr>
                <w:rFonts w:hint="eastAsia" w:ascii="Times New Roman" w:hAnsi="Times New Roman" w:cs="Times New Roman"/>
                <w:color w:val="auto"/>
                <w:sz w:val="24"/>
                <w:szCs w:val="24"/>
                <w:highlight w:val="none"/>
                <w:lang w:val="en-US" w:eastAsia="zh-CN"/>
              </w:rPr>
              <w:t>产生</w:t>
            </w:r>
            <w:r>
              <w:rPr>
                <w:rFonts w:ascii="Times New Roman" w:hAnsi="Times New Roman" w:cs="Times New Roman"/>
                <w:color w:val="auto"/>
                <w:sz w:val="24"/>
                <w:szCs w:val="24"/>
                <w:highlight w:val="none"/>
              </w:rPr>
              <w:t>的废水</w:t>
            </w:r>
            <w:r>
              <w:rPr>
                <w:rFonts w:hint="eastAsia" w:ascii="Times New Roman" w:hAnsi="Times New Roman" w:cs="Times New Roman"/>
                <w:color w:val="auto"/>
                <w:sz w:val="24"/>
                <w:szCs w:val="24"/>
                <w:highlight w:val="none"/>
                <w:lang w:val="en-US" w:eastAsia="zh-CN"/>
              </w:rPr>
              <w:t>处理后污染物排放不超过</w:t>
            </w:r>
            <w:r>
              <w:rPr>
                <w:rFonts w:ascii="Times New Roman" w:hAnsi="Times New Roman" w:cs="Times New Roman"/>
                <w:color w:val="auto"/>
                <w:sz w:val="24"/>
                <w:szCs w:val="24"/>
                <w:highlight w:val="none"/>
              </w:rPr>
              <w:t>开平裕进纺织厂有限公司</w:t>
            </w:r>
            <w:r>
              <w:rPr>
                <w:rFonts w:hint="eastAsia" w:ascii="Times New Roman" w:hAnsi="Times New Roman" w:cs="Times New Roman"/>
                <w:color w:val="auto"/>
                <w:sz w:val="24"/>
                <w:szCs w:val="24"/>
                <w:highlight w:val="none"/>
                <w:lang w:val="en-US" w:eastAsia="zh-CN"/>
              </w:rPr>
              <w:t>排污许可证总量限制</w:t>
            </w:r>
            <w:r>
              <w:rPr>
                <w:rFonts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并以签订委托排放协议</w:t>
            </w:r>
            <w:r>
              <w:rPr>
                <w:rFonts w:hint="eastAsia" w:ascii="Times New Roman" w:hAnsi="Times New Roman" w:cs="Times New Roman"/>
                <w:color w:val="auto"/>
                <w:sz w:val="24"/>
                <w:szCs w:val="24"/>
                <w:highlight w:val="none"/>
              </w:rPr>
              <w:t>。</w:t>
            </w:r>
          </w:p>
          <w:p>
            <w:pPr>
              <w:pStyle w:val="24"/>
              <w:spacing w:line="360" w:lineRule="auto"/>
              <w:ind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因此，项目生活污水和生产废水依托开平裕进纺织厂有限公司的污水站处理可行。</w:t>
            </w:r>
          </w:p>
          <w:p>
            <w:pPr>
              <w:snapToGrid w:val="0"/>
              <w:spacing w:line="480" w:lineRule="exact"/>
              <w:ind w:firstLine="482" w:firstLineChars="200"/>
              <w:rPr>
                <w:rFonts w:ascii="Times New Roman" w:hAnsi="Times New Roman" w:cs="Times New Roman"/>
                <w:b/>
                <w:bCs/>
                <w:color w:val="auto"/>
                <w:sz w:val="24"/>
                <w:highlight w:val="none"/>
              </w:rPr>
            </w:pPr>
            <w:r>
              <w:rPr>
                <w:rFonts w:ascii="Times New Roman" w:hAnsi="Times New Roman" w:cs="Times New Roman"/>
                <w:b/>
                <w:bCs/>
                <w:color w:val="auto"/>
                <w:sz w:val="24"/>
                <w:highlight w:val="none"/>
              </w:rPr>
              <w:t>（</w:t>
            </w:r>
            <w:r>
              <w:rPr>
                <w:rFonts w:hint="eastAsia" w:ascii="Times New Roman" w:hAnsi="Times New Roman" w:cs="Times New Roman"/>
                <w:b/>
                <w:bCs/>
                <w:color w:val="auto"/>
                <w:sz w:val="24"/>
                <w:highlight w:val="none"/>
                <w:lang w:val="en-US" w:eastAsia="zh-CN"/>
              </w:rPr>
              <w:t>4</w:t>
            </w:r>
            <w:r>
              <w:rPr>
                <w:rFonts w:ascii="Times New Roman" w:hAnsi="Times New Roman" w:cs="Times New Roman"/>
                <w:b/>
                <w:bCs/>
                <w:color w:val="auto"/>
                <w:sz w:val="24"/>
                <w:highlight w:val="none"/>
              </w:rPr>
              <w:t>）评价等级判断</w:t>
            </w:r>
          </w:p>
          <w:p>
            <w:pPr>
              <w:adjustRightInd w:val="0"/>
              <w:snapToGrid w:val="0"/>
              <w:spacing w:line="48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项目属于水污染影响型建设项目，排放方式为间接排放，根据《环境影响评价技术导则 地表水环境》（HJ2.3-2018），本项目地表水环境影响评价工作等级定为三级B。评价范围应满足其依托污水处理设施环境可行性分析的要求；涉及地表水环境风险的，应覆盖环境风险影响范围所及的水环境保护目标水域。三级 B 评价可不考虑评价时期。</w:t>
            </w:r>
          </w:p>
          <w:p>
            <w:pPr>
              <w:pStyle w:val="41"/>
              <w:rPr>
                <w:rFonts w:ascii="Times New Roman" w:hAnsi="Times New Roman" w:cs="Times New Roman"/>
                <w:b/>
                <w:bCs/>
                <w:color w:val="auto"/>
                <w:highlight w:val="none"/>
              </w:rPr>
            </w:pPr>
            <w:r>
              <w:rPr>
                <w:rFonts w:ascii="Times New Roman" w:hAnsi="Times New Roman" w:cs="Times New Roman"/>
                <w:b/>
                <w:bCs/>
                <w:color w:val="auto"/>
                <w:highlight w:val="none"/>
              </w:rPr>
              <w:t>表</w:t>
            </w:r>
            <w:r>
              <w:rPr>
                <w:rFonts w:hint="eastAsia" w:ascii="Times New Roman" w:hAnsi="Times New Roman" w:cs="Times New Roman"/>
                <w:b/>
                <w:bCs/>
                <w:color w:val="auto"/>
                <w:highlight w:val="none"/>
              </w:rPr>
              <w:t>7-</w:t>
            </w:r>
            <w:r>
              <w:rPr>
                <w:rFonts w:ascii="Times New Roman" w:hAnsi="Times New Roman" w:cs="Times New Roman"/>
                <w:b/>
                <w:bCs/>
                <w:color w:val="auto"/>
                <w:highlight w:val="none"/>
              </w:rPr>
              <w:t>4废水类别、污染物及污染治理设施信息表</w:t>
            </w:r>
          </w:p>
          <w:tbl>
            <w:tblPr>
              <w:tblStyle w:val="23"/>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7"/>
              <w:gridCol w:w="507"/>
              <w:gridCol w:w="1033"/>
              <w:gridCol w:w="606"/>
              <w:gridCol w:w="864"/>
              <w:gridCol w:w="851"/>
              <w:gridCol w:w="811"/>
              <w:gridCol w:w="758"/>
              <w:gridCol w:w="523"/>
              <w:gridCol w:w="734"/>
              <w:gridCol w:w="11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7" w:type="dxa"/>
                  <w:vMerge w:val="restart"/>
                  <w:tcBorders>
                    <w:tl2br w:val="nil"/>
                    <w:tr2bl w:val="nil"/>
                  </w:tcBorders>
                  <w:vAlign w:val="center"/>
                </w:tcPr>
                <w:p>
                  <w:pPr>
                    <w:pStyle w:val="33"/>
                    <w:rPr>
                      <w:b/>
                      <w:bCs/>
                      <w:color w:val="auto"/>
                      <w:highlight w:val="none"/>
                    </w:rPr>
                  </w:pPr>
                  <w:r>
                    <w:rPr>
                      <w:b/>
                      <w:bCs/>
                      <w:color w:val="auto"/>
                      <w:highlight w:val="none"/>
                    </w:rPr>
                    <w:t>序号</w:t>
                  </w:r>
                </w:p>
              </w:tc>
              <w:tc>
                <w:tcPr>
                  <w:tcW w:w="507" w:type="dxa"/>
                  <w:vMerge w:val="restart"/>
                  <w:tcBorders>
                    <w:tl2br w:val="nil"/>
                    <w:tr2bl w:val="nil"/>
                  </w:tcBorders>
                  <w:vAlign w:val="center"/>
                </w:tcPr>
                <w:p>
                  <w:pPr>
                    <w:pStyle w:val="33"/>
                    <w:rPr>
                      <w:b/>
                      <w:bCs/>
                      <w:color w:val="auto"/>
                      <w:highlight w:val="none"/>
                    </w:rPr>
                  </w:pPr>
                  <w:r>
                    <w:rPr>
                      <w:b/>
                      <w:bCs/>
                      <w:color w:val="auto"/>
                      <w:highlight w:val="none"/>
                    </w:rPr>
                    <w:t>废水</w:t>
                  </w:r>
                </w:p>
                <w:p>
                  <w:pPr>
                    <w:pStyle w:val="33"/>
                    <w:rPr>
                      <w:b/>
                      <w:bCs/>
                      <w:color w:val="auto"/>
                      <w:highlight w:val="none"/>
                    </w:rPr>
                  </w:pPr>
                  <w:r>
                    <w:rPr>
                      <w:b/>
                      <w:bCs/>
                      <w:color w:val="auto"/>
                      <w:highlight w:val="none"/>
                    </w:rPr>
                    <w:t>类别</w:t>
                  </w:r>
                </w:p>
              </w:tc>
              <w:tc>
                <w:tcPr>
                  <w:tcW w:w="1033" w:type="dxa"/>
                  <w:vMerge w:val="restart"/>
                  <w:tcBorders>
                    <w:tl2br w:val="nil"/>
                    <w:tr2bl w:val="nil"/>
                  </w:tcBorders>
                  <w:vAlign w:val="center"/>
                </w:tcPr>
                <w:p>
                  <w:pPr>
                    <w:pStyle w:val="33"/>
                    <w:rPr>
                      <w:b/>
                      <w:bCs/>
                      <w:color w:val="auto"/>
                      <w:highlight w:val="none"/>
                    </w:rPr>
                  </w:pPr>
                  <w:r>
                    <w:rPr>
                      <w:b/>
                      <w:bCs/>
                      <w:color w:val="auto"/>
                      <w:highlight w:val="none"/>
                    </w:rPr>
                    <w:t>污染物种类</w:t>
                  </w:r>
                </w:p>
              </w:tc>
              <w:tc>
                <w:tcPr>
                  <w:tcW w:w="606" w:type="dxa"/>
                  <w:vMerge w:val="restart"/>
                  <w:tcBorders>
                    <w:tl2br w:val="nil"/>
                    <w:tr2bl w:val="nil"/>
                  </w:tcBorders>
                  <w:vAlign w:val="center"/>
                </w:tcPr>
                <w:p>
                  <w:pPr>
                    <w:pStyle w:val="33"/>
                    <w:rPr>
                      <w:b/>
                      <w:bCs/>
                      <w:color w:val="auto"/>
                      <w:highlight w:val="none"/>
                    </w:rPr>
                  </w:pPr>
                  <w:r>
                    <w:rPr>
                      <w:b/>
                      <w:bCs/>
                      <w:color w:val="auto"/>
                      <w:highlight w:val="none"/>
                    </w:rPr>
                    <w:t>排放去向</w:t>
                  </w:r>
                </w:p>
              </w:tc>
              <w:tc>
                <w:tcPr>
                  <w:tcW w:w="864" w:type="dxa"/>
                  <w:vMerge w:val="restart"/>
                  <w:tcBorders>
                    <w:tl2br w:val="nil"/>
                    <w:tr2bl w:val="nil"/>
                  </w:tcBorders>
                  <w:vAlign w:val="center"/>
                </w:tcPr>
                <w:p>
                  <w:pPr>
                    <w:pStyle w:val="33"/>
                    <w:rPr>
                      <w:b/>
                      <w:bCs/>
                      <w:color w:val="auto"/>
                      <w:highlight w:val="none"/>
                    </w:rPr>
                  </w:pPr>
                  <w:r>
                    <w:rPr>
                      <w:b/>
                      <w:bCs/>
                      <w:color w:val="auto"/>
                      <w:highlight w:val="none"/>
                    </w:rPr>
                    <w:t>排放规律</w:t>
                  </w:r>
                </w:p>
              </w:tc>
              <w:tc>
                <w:tcPr>
                  <w:tcW w:w="2420" w:type="dxa"/>
                  <w:gridSpan w:val="3"/>
                  <w:tcBorders>
                    <w:tl2br w:val="nil"/>
                    <w:tr2bl w:val="nil"/>
                  </w:tcBorders>
                  <w:vAlign w:val="center"/>
                </w:tcPr>
                <w:p>
                  <w:pPr>
                    <w:pStyle w:val="33"/>
                    <w:rPr>
                      <w:b/>
                      <w:bCs/>
                      <w:color w:val="auto"/>
                      <w:highlight w:val="none"/>
                    </w:rPr>
                  </w:pPr>
                  <w:r>
                    <w:rPr>
                      <w:b/>
                      <w:bCs/>
                      <w:color w:val="auto"/>
                      <w:highlight w:val="none"/>
                    </w:rPr>
                    <w:t>污染治理设施</w:t>
                  </w:r>
                </w:p>
              </w:tc>
              <w:tc>
                <w:tcPr>
                  <w:tcW w:w="523" w:type="dxa"/>
                  <w:vMerge w:val="restart"/>
                  <w:tcBorders>
                    <w:tl2br w:val="nil"/>
                    <w:tr2bl w:val="nil"/>
                  </w:tcBorders>
                  <w:vAlign w:val="center"/>
                </w:tcPr>
                <w:p>
                  <w:pPr>
                    <w:pStyle w:val="33"/>
                    <w:rPr>
                      <w:b/>
                      <w:bCs/>
                      <w:color w:val="auto"/>
                      <w:highlight w:val="none"/>
                    </w:rPr>
                  </w:pPr>
                  <w:r>
                    <w:rPr>
                      <w:b/>
                      <w:bCs/>
                      <w:color w:val="auto"/>
                      <w:highlight w:val="none"/>
                    </w:rPr>
                    <w:t>排放口编号</w:t>
                  </w:r>
                </w:p>
              </w:tc>
              <w:tc>
                <w:tcPr>
                  <w:tcW w:w="734" w:type="dxa"/>
                  <w:vMerge w:val="restart"/>
                  <w:tcBorders>
                    <w:tl2br w:val="nil"/>
                    <w:tr2bl w:val="nil"/>
                  </w:tcBorders>
                  <w:vAlign w:val="center"/>
                </w:tcPr>
                <w:p>
                  <w:pPr>
                    <w:pStyle w:val="33"/>
                    <w:rPr>
                      <w:b/>
                      <w:bCs/>
                      <w:color w:val="auto"/>
                      <w:highlight w:val="none"/>
                    </w:rPr>
                  </w:pPr>
                  <w:r>
                    <w:rPr>
                      <w:b/>
                      <w:bCs/>
                      <w:color w:val="auto"/>
                      <w:highlight w:val="none"/>
                    </w:rPr>
                    <w:t>排放口设置是否符合要求</w:t>
                  </w:r>
                </w:p>
              </w:tc>
              <w:tc>
                <w:tcPr>
                  <w:tcW w:w="1162" w:type="dxa"/>
                  <w:vMerge w:val="restart"/>
                  <w:tcBorders>
                    <w:tl2br w:val="nil"/>
                    <w:tr2bl w:val="nil"/>
                  </w:tcBorders>
                  <w:vAlign w:val="center"/>
                </w:tcPr>
                <w:p>
                  <w:pPr>
                    <w:pStyle w:val="33"/>
                    <w:rPr>
                      <w:b/>
                      <w:bCs/>
                      <w:color w:val="auto"/>
                      <w:highlight w:val="none"/>
                    </w:rPr>
                  </w:pPr>
                  <w:r>
                    <w:rPr>
                      <w:b/>
                      <w:bCs/>
                      <w:color w:val="auto"/>
                      <w:highlight w:val="none"/>
                    </w:rPr>
                    <w:t>排放口类型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7" w:type="dxa"/>
                  <w:vMerge w:val="continue"/>
                  <w:tcBorders>
                    <w:tl2br w:val="nil"/>
                    <w:tr2bl w:val="nil"/>
                  </w:tcBorders>
                  <w:vAlign w:val="center"/>
                </w:tcPr>
                <w:p>
                  <w:pPr>
                    <w:pStyle w:val="33"/>
                    <w:rPr>
                      <w:color w:val="auto"/>
                      <w:highlight w:val="none"/>
                    </w:rPr>
                  </w:pPr>
                </w:p>
              </w:tc>
              <w:tc>
                <w:tcPr>
                  <w:tcW w:w="507" w:type="dxa"/>
                  <w:vMerge w:val="continue"/>
                  <w:tcBorders>
                    <w:tl2br w:val="nil"/>
                    <w:tr2bl w:val="nil"/>
                  </w:tcBorders>
                  <w:vAlign w:val="center"/>
                </w:tcPr>
                <w:p>
                  <w:pPr>
                    <w:pStyle w:val="33"/>
                    <w:rPr>
                      <w:color w:val="auto"/>
                      <w:highlight w:val="none"/>
                    </w:rPr>
                  </w:pPr>
                </w:p>
              </w:tc>
              <w:tc>
                <w:tcPr>
                  <w:tcW w:w="1033" w:type="dxa"/>
                  <w:vMerge w:val="continue"/>
                  <w:tcBorders>
                    <w:tl2br w:val="nil"/>
                    <w:tr2bl w:val="nil"/>
                  </w:tcBorders>
                  <w:vAlign w:val="center"/>
                </w:tcPr>
                <w:p>
                  <w:pPr>
                    <w:pStyle w:val="33"/>
                    <w:rPr>
                      <w:color w:val="auto"/>
                      <w:highlight w:val="none"/>
                    </w:rPr>
                  </w:pPr>
                </w:p>
              </w:tc>
              <w:tc>
                <w:tcPr>
                  <w:tcW w:w="606" w:type="dxa"/>
                  <w:vMerge w:val="continue"/>
                  <w:tcBorders>
                    <w:tl2br w:val="nil"/>
                    <w:tr2bl w:val="nil"/>
                  </w:tcBorders>
                  <w:vAlign w:val="center"/>
                </w:tcPr>
                <w:p>
                  <w:pPr>
                    <w:pStyle w:val="33"/>
                    <w:rPr>
                      <w:color w:val="auto"/>
                      <w:highlight w:val="none"/>
                    </w:rPr>
                  </w:pPr>
                </w:p>
              </w:tc>
              <w:tc>
                <w:tcPr>
                  <w:tcW w:w="864" w:type="dxa"/>
                  <w:vMerge w:val="continue"/>
                  <w:tcBorders>
                    <w:tl2br w:val="nil"/>
                    <w:tr2bl w:val="nil"/>
                  </w:tcBorders>
                  <w:vAlign w:val="center"/>
                </w:tcPr>
                <w:p>
                  <w:pPr>
                    <w:pStyle w:val="33"/>
                    <w:rPr>
                      <w:color w:val="auto"/>
                      <w:highlight w:val="none"/>
                    </w:rPr>
                  </w:pPr>
                </w:p>
              </w:tc>
              <w:tc>
                <w:tcPr>
                  <w:tcW w:w="851" w:type="dxa"/>
                  <w:tcBorders>
                    <w:tl2br w:val="nil"/>
                    <w:tr2bl w:val="nil"/>
                  </w:tcBorders>
                  <w:vAlign w:val="center"/>
                </w:tcPr>
                <w:p>
                  <w:pPr>
                    <w:pStyle w:val="33"/>
                    <w:rPr>
                      <w:b/>
                      <w:bCs/>
                      <w:color w:val="auto"/>
                      <w:highlight w:val="none"/>
                    </w:rPr>
                  </w:pPr>
                  <w:r>
                    <w:rPr>
                      <w:b/>
                      <w:bCs/>
                      <w:color w:val="auto"/>
                      <w:highlight w:val="none"/>
                    </w:rPr>
                    <w:t>污染治理设施编号</w:t>
                  </w:r>
                </w:p>
              </w:tc>
              <w:tc>
                <w:tcPr>
                  <w:tcW w:w="811" w:type="dxa"/>
                  <w:tcBorders>
                    <w:tl2br w:val="nil"/>
                    <w:tr2bl w:val="nil"/>
                  </w:tcBorders>
                  <w:vAlign w:val="center"/>
                </w:tcPr>
                <w:p>
                  <w:pPr>
                    <w:pStyle w:val="33"/>
                    <w:rPr>
                      <w:b/>
                      <w:bCs/>
                      <w:color w:val="auto"/>
                      <w:highlight w:val="none"/>
                    </w:rPr>
                  </w:pPr>
                  <w:r>
                    <w:rPr>
                      <w:b/>
                      <w:bCs/>
                      <w:color w:val="auto"/>
                      <w:highlight w:val="none"/>
                    </w:rPr>
                    <w:t>污染治理设施</w:t>
                  </w:r>
                </w:p>
                <w:p>
                  <w:pPr>
                    <w:pStyle w:val="33"/>
                    <w:rPr>
                      <w:b/>
                      <w:bCs/>
                      <w:color w:val="auto"/>
                      <w:highlight w:val="none"/>
                    </w:rPr>
                  </w:pPr>
                  <w:r>
                    <w:rPr>
                      <w:b/>
                      <w:bCs/>
                      <w:color w:val="auto"/>
                      <w:highlight w:val="none"/>
                    </w:rPr>
                    <w:t>名称</w:t>
                  </w:r>
                </w:p>
              </w:tc>
              <w:tc>
                <w:tcPr>
                  <w:tcW w:w="758" w:type="dxa"/>
                  <w:tcBorders>
                    <w:tl2br w:val="nil"/>
                    <w:tr2bl w:val="nil"/>
                  </w:tcBorders>
                  <w:vAlign w:val="center"/>
                </w:tcPr>
                <w:p>
                  <w:pPr>
                    <w:pStyle w:val="33"/>
                    <w:rPr>
                      <w:b/>
                      <w:bCs/>
                      <w:color w:val="auto"/>
                      <w:highlight w:val="none"/>
                    </w:rPr>
                  </w:pPr>
                  <w:r>
                    <w:rPr>
                      <w:b/>
                      <w:bCs/>
                      <w:color w:val="auto"/>
                      <w:highlight w:val="none"/>
                    </w:rPr>
                    <w:t>污染治理设施工艺</w:t>
                  </w:r>
                </w:p>
              </w:tc>
              <w:tc>
                <w:tcPr>
                  <w:tcW w:w="523" w:type="dxa"/>
                  <w:vMerge w:val="continue"/>
                  <w:tcBorders>
                    <w:tl2br w:val="nil"/>
                    <w:tr2bl w:val="nil"/>
                  </w:tcBorders>
                  <w:vAlign w:val="center"/>
                </w:tcPr>
                <w:p>
                  <w:pPr>
                    <w:pStyle w:val="33"/>
                    <w:rPr>
                      <w:color w:val="auto"/>
                      <w:highlight w:val="none"/>
                    </w:rPr>
                  </w:pPr>
                </w:p>
              </w:tc>
              <w:tc>
                <w:tcPr>
                  <w:tcW w:w="734" w:type="dxa"/>
                  <w:vMerge w:val="continue"/>
                  <w:tcBorders>
                    <w:tl2br w:val="nil"/>
                    <w:tr2bl w:val="nil"/>
                  </w:tcBorders>
                  <w:vAlign w:val="center"/>
                </w:tcPr>
                <w:p>
                  <w:pPr>
                    <w:pStyle w:val="33"/>
                    <w:rPr>
                      <w:color w:val="auto"/>
                      <w:highlight w:val="none"/>
                    </w:rPr>
                  </w:pPr>
                </w:p>
              </w:tc>
              <w:tc>
                <w:tcPr>
                  <w:tcW w:w="1162" w:type="dxa"/>
                  <w:vMerge w:val="continue"/>
                  <w:tcBorders>
                    <w:tl2br w:val="nil"/>
                    <w:tr2bl w:val="nil"/>
                  </w:tcBorders>
                  <w:vAlign w:val="center"/>
                </w:tcPr>
                <w:p>
                  <w:pPr>
                    <w:pStyle w:val="33"/>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7" w:type="dxa"/>
                  <w:tcBorders>
                    <w:tl2br w:val="nil"/>
                    <w:tr2bl w:val="nil"/>
                  </w:tcBorders>
                  <w:vAlign w:val="center"/>
                </w:tcPr>
                <w:p>
                  <w:pPr>
                    <w:pStyle w:val="33"/>
                    <w:rPr>
                      <w:color w:val="auto"/>
                      <w:highlight w:val="none"/>
                    </w:rPr>
                  </w:pPr>
                  <w:r>
                    <w:rPr>
                      <w:color w:val="auto"/>
                      <w:highlight w:val="none"/>
                    </w:rPr>
                    <w:t>1</w:t>
                  </w:r>
                </w:p>
              </w:tc>
              <w:tc>
                <w:tcPr>
                  <w:tcW w:w="507" w:type="dxa"/>
                  <w:tcBorders>
                    <w:tl2br w:val="nil"/>
                    <w:tr2bl w:val="nil"/>
                  </w:tcBorders>
                  <w:vAlign w:val="center"/>
                </w:tcPr>
                <w:p>
                  <w:pPr>
                    <w:pStyle w:val="33"/>
                    <w:rPr>
                      <w:color w:val="auto"/>
                      <w:highlight w:val="none"/>
                    </w:rPr>
                  </w:pPr>
                  <w:r>
                    <w:rPr>
                      <w:color w:val="auto"/>
                      <w:highlight w:val="none"/>
                    </w:rPr>
                    <w:t>生活</w:t>
                  </w:r>
                </w:p>
                <w:p>
                  <w:pPr>
                    <w:pStyle w:val="33"/>
                    <w:rPr>
                      <w:color w:val="auto"/>
                      <w:highlight w:val="none"/>
                    </w:rPr>
                  </w:pPr>
                  <w:r>
                    <w:rPr>
                      <w:color w:val="auto"/>
                      <w:highlight w:val="none"/>
                    </w:rPr>
                    <w:t>污水</w:t>
                  </w:r>
                </w:p>
              </w:tc>
              <w:tc>
                <w:tcPr>
                  <w:tcW w:w="1033" w:type="dxa"/>
                  <w:tcBorders>
                    <w:tl2br w:val="nil"/>
                    <w:tr2bl w:val="nil"/>
                  </w:tcBorders>
                  <w:vAlign w:val="center"/>
                </w:tcPr>
                <w:p>
                  <w:pPr>
                    <w:pStyle w:val="33"/>
                    <w:rPr>
                      <w:color w:val="auto"/>
                      <w:highlight w:val="none"/>
                    </w:rPr>
                  </w:pPr>
                  <w:r>
                    <w:rPr>
                      <w:color w:val="auto"/>
                      <w:highlight w:val="none"/>
                    </w:rPr>
                    <w:t>CODcr、BOD</w:t>
                  </w:r>
                  <w:r>
                    <w:rPr>
                      <w:color w:val="auto"/>
                      <w:highlight w:val="none"/>
                      <w:vertAlign w:val="subscript"/>
                    </w:rPr>
                    <w:t>5</w:t>
                  </w:r>
                  <w:r>
                    <w:rPr>
                      <w:color w:val="auto"/>
                      <w:highlight w:val="none"/>
                    </w:rPr>
                    <w:t>、SS、NH</w:t>
                  </w:r>
                  <w:r>
                    <w:rPr>
                      <w:color w:val="auto"/>
                      <w:highlight w:val="none"/>
                      <w:vertAlign w:val="subscript"/>
                    </w:rPr>
                    <w:t>3</w:t>
                  </w:r>
                  <w:r>
                    <w:rPr>
                      <w:color w:val="auto"/>
                      <w:highlight w:val="none"/>
                    </w:rPr>
                    <w:t>-N</w:t>
                  </w:r>
                </w:p>
              </w:tc>
              <w:tc>
                <w:tcPr>
                  <w:tcW w:w="606" w:type="dxa"/>
                  <w:tcBorders>
                    <w:tl2br w:val="nil"/>
                    <w:tr2bl w:val="nil"/>
                  </w:tcBorders>
                  <w:vAlign w:val="center"/>
                </w:tcPr>
                <w:p>
                  <w:pPr>
                    <w:pStyle w:val="33"/>
                    <w:rPr>
                      <w:color w:val="auto"/>
                      <w:highlight w:val="none"/>
                    </w:rPr>
                  </w:pPr>
                  <w:r>
                    <w:rPr>
                      <w:rFonts w:hint="eastAsia"/>
                      <w:color w:val="auto"/>
                      <w:highlight w:val="none"/>
                    </w:rPr>
                    <w:t>镇海水</w:t>
                  </w:r>
                </w:p>
              </w:tc>
              <w:tc>
                <w:tcPr>
                  <w:tcW w:w="864" w:type="dxa"/>
                  <w:tcBorders>
                    <w:tl2br w:val="nil"/>
                    <w:tr2bl w:val="nil"/>
                  </w:tcBorders>
                  <w:vAlign w:val="center"/>
                </w:tcPr>
                <w:p>
                  <w:pPr>
                    <w:pStyle w:val="33"/>
                    <w:rPr>
                      <w:color w:val="auto"/>
                      <w:highlight w:val="none"/>
                    </w:rPr>
                  </w:pPr>
                  <w:r>
                    <w:rPr>
                      <w:color w:val="auto"/>
                      <w:highlight w:val="none"/>
                    </w:rPr>
                    <w:t>间断排放，排放期间流量</w:t>
                  </w:r>
                </w:p>
                <w:p>
                  <w:pPr>
                    <w:pStyle w:val="33"/>
                    <w:rPr>
                      <w:color w:val="auto"/>
                      <w:highlight w:val="none"/>
                    </w:rPr>
                  </w:pPr>
                  <w:r>
                    <w:rPr>
                      <w:color w:val="auto"/>
                      <w:highlight w:val="none"/>
                    </w:rPr>
                    <w:t>不稳定且无规律，但不属</w:t>
                  </w:r>
                </w:p>
                <w:p>
                  <w:pPr>
                    <w:pStyle w:val="33"/>
                    <w:rPr>
                      <w:color w:val="auto"/>
                      <w:highlight w:val="none"/>
                    </w:rPr>
                  </w:pPr>
                  <w:r>
                    <w:rPr>
                      <w:color w:val="auto"/>
                      <w:highlight w:val="none"/>
                    </w:rPr>
                    <w:t>于冲击型排放</w:t>
                  </w:r>
                </w:p>
              </w:tc>
              <w:tc>
                <w:tcPr>
                  <w:tcW w:w="851" w:type="dxa"/>
                  <w:tcBorders>
                    <w:tl2br w:val="nil"/>
                    <w:tr2bl w:val="nil"/>
                  </w:tcBorders>
                  <w:vAlign w:val="center"/>
                </w:tcPr>
                <w:p>
                  <w:pPr>
                    <w:pStyle w:val="33"/>
                    <w:rPr>
                      <w:color w:val="auto"/>
                      <w:highlight w:val="none"/>
                    </w:rPr>
                  </w:pPr>
                  <w:r>
                    <w:rPr>
                      <w:color w:val="auto"/>
                      <w:highlight w:val="none"/>
                    </w:rPr>
                    <w:t>A</w:t>
                  </w:r>
                </w:p>
              </w:tc>
              <w:tc>
                <w:tcPr>
                  <w:tcW w:w="811" w:type="dxa"/>
                  <w:tcBorders>
                    <w:tl2br w:val="nil"/>
                    <w:tr2bl w:val="nil"/>
                  </w:tcBorders>
                  <w:vAlign w:val="center"/>
                </w:tcPr>
                <w:p>
                  <w:pPr>
                    <w:pStyle w:val="24"/>
                    <w:ind w:left="-94" w:leftChars="-45" w:right="-99" w:rightChars="-47"/>
                    <w:jc w:val="center"/>
                    <w:rPr>
                      <w:rFonts w:ascii="Times New Roman" w:hAnsi="Times New Roman" w:cs="Times New Roman"/>
                      <w:color w:val="auto"/>
                      <w:highlight w:val="none"/>
                    </w:rPr>
                  </w:pPr>
                  <w:r>
                    <w:rPr>
                      <w:rFonts w:ascii="Times New Roman" w:hAnsi="Times New Roman" w:cs="Times New Roman"/>
                      <w:color w:val="auto"/>
                      <w:sz w:val="21"/>
                      <w:szCs w:val="21"/>
                      <w:highlight w:val="none"/>
                    </w:rPr>
                    <w:t>开平裕进纺织厂有限公司的污水站</w:t>
                  </w:r>
                </w:p>
              </w:tc>
              <w:tc>
                <w:tcPr>
                  <w:tcW w:w="758" w:type="dxa"/>
                  <w:tcBorders>
                    <w:tl2br w:val="nil"/>
                    <w:tr2bl w:val="nil"/>
                  </w:tcBorders>
                  <w:vAlign w:val="center"/>
                </w:tcPr>
                <w:p>
                  <w:pPr>
                    <w:pStyle w:val="24"/>
                    <w:ind w:left="-94" w:leftChars="-45" w:right="-99" w:rightChars="-47"/>
                    <w:jc w:val="center"/>
                    <w:rPr>
                      <w:rFonts w:ascii="Times New Roman" w:hAnsi="Times New Roman" w:cs="Times New Roman"/>
                      <w:color w:val="auto"/>
                      <w:highlight w:val="none"/>
                    </w:rPr>
                  </w:pPr>
                  <w:r>
                    <w:rPr>
                      <w:rFonts w:ascii="Times New Roman" w:hAnsi="Times New Roman" w:cs="Times New Roman"/>
                      <w:color w:val="auto"/>
                      <w:sz w:val="21"/>
                      <w:szCs w:val="21"/>
                      <w:highlight w:val="none"/>
                    </w:rPr>
                    <w:t>混凝沉淀+水解酸化+接触氧化</w:t>
                  </w:r>
                </w:p>
              </w:tc>
              <w:tc>
                <w:tcPr>
                  <w:tcW w:w="523" w:type="dxa"/>
                  <w:tcBorders>
                    <w:tl2br w:val="nil"/>
                    <w:tr2bl w:val="nil"/>
                  </w:tcBorders>
                  <w:vAlign w:val="center"/>
                </w:tcPr>
                <w:p>
                  <w:pPr>
                    <w:pStyle w:val="33"/>
                    <w:rPr>
                      <w:color w:val="auto"/>
                      <w:highlight w:val="none"/>
                    </w:rPr>
                  </w:pPr>
                  <w:r>
                    <w:rPr>
                      <w:color w:val="auto"/>
                      <w:highlight w:val="none"/>
                    </w:rPr>
                    <w:t>A</w:t>
                  </w:r>
                </w:p>
              </w:tc>
              <w:tc>
                <w:tcPr>
                  <w:tcW w:w="734" w:type="dxa"/>
                  <w:tcBorders>
                    <w:tl2br w:val="nil"/>
                    <w:tr2bl w:val="nil"/>
                  </w:tcBorders>
                  <w:vAlign w:val="center"/>
                </w:tcPr>
                <w:p>
                  <w:pPr>
                    <w:pStyle w:val="33"/>
                    <w:rPr>
                      <w:color w:val="auto"/>
                      <w:highlight w:val="none"/>
                    </w:rPr>
                  </w:pPr>
                  <w:r>
                    <w:rPr>
                      <w:color w:val="auto"/>
                      <w:highlight w:val="none"/>
                    </w:rPr>
                    <w:sym w:font="Wingdings 2" w:char="0052"/>
                  </w:r>
                  <w:r>
                    <w:rPr>
                      <w:color w:val="auto"/>
                      <w:highlight w:val="none"/>
                    </w:rPr>
                    <w:t>是</w:t>
                  </w:r>
                </w:p>
                <w:p>
                  <w:pPr>
                    <w:pStyle w:val="33"/>
                    <w:rPr>
                      <w:color w:val="auto"/>
                      <w:highlight w:val="none"/>
                    </w:rPr>
                  </w:pPr>
                  <w:r>
                    <w:rPr>
                      <w:color w:val="auto"/>
                      <w:highlight w:val="none"/>
                    </w:rPr>
                    <w:t>□否</w:t>
                  </w:r>
                </w:p>
              </w:tc>
              <w:tc>
                <w:tcPr>
                  <w:tcW w:w="1162" w:type="dxa"/>
                  <w:tcBorders>
                    <w:tl2br w:val="nil"/>
                    <w:tr2bl w:val="nil"/>
                  </w:tcBorders>
                </w:tcPr>
                <w:p>
                  <w:pPr>
                    <w:pStyle w:val="33"/>
                    <w:jc w:val="both"/>
                    <w:rPr>
                      <w:color w:val="auto"/>
                      <w:highlight w:val="none"/>
                    </w:rPr>
                  </w:pPr>
                  <w:r>
                    <w:rPr>
                      <w:color w:val="auto"/>
                      <w:highlight w:val="none"/>
                    </w:rPr>
                    <w:sym w:font="Wingdings 2" w:char="0052"/>
                  </w:r>
                  <w:r>
                    <w:rPr>
                      <w:color w:val="auto"/>
                      <w:highlight w:val="none"/>
                    </w:rPr>
                    <w:t>企业总排</w:t>
                  </w:r>
                </w:p>
                <w:p>
                  <w:pPr>
                    <w:pStyle w:val="33"/>
                    <w:jc w:val="both"/>
                    <w:rPr>
                      <w:color w:val="auto"/>
                      <w:highlight w:val="none"/>
                    </w:rPr>
                  </w:pPr>
                  <w:r>
                    <w:rPr>
                      <w:color w:val="auto"/>
                      <w:highlight w:val="none"/>
                    </w:rPr>
                    <w:t>□雨水排放</w:t>
                  </w:r>
                </w:p>
                <w:p>
                  <w:pPr>
                    <w:pStyle w:val="33"/>
                    <w:jc w:val="both"/>
                    <w:rPr>
                      <w:color w:val="auto"/>
                      <w:highlight w:val="none"/>
                    </w:rPr>
                  </w:pPr>
                  <w:r>
                    <w:rPr>
                      <w:color w:val="auto"/>
                      <w:highlight w:val="none"/>
                    </w:rPr>
                    <w:t>□清净下水排放</w:t>
                  </w:r>
                </w:p>
                <w:p>
                  <w:pPr>
                    <w:pStyle w:val="33"/>
                    <w:jc w:val="both"/>
                    <w:rPr>
                      <w:color w:val="auto"/>
                      <w:highlight w:val="none"/>
                    </w:rPr>
                  </w:pPr>
                  <w:r>
                    <w:rPr>
                      <w:color w:val="auto"/>
                      <w:highlight w:val="none"/>
                    </w:rPr>
                    <w:t>□温排水排放</w:t>
                  </w:r>
                </w:p>
                <w:p>
                  <w:pPr>
                    <w:pStyle w:val="33"/>
                    <w:jc w:val="both"/>
                    <w:rPr>
                      <w:color w:val="auto"/>
                      <w:highlight w:val="none"/>
                    </w:rPr>
                  </w:pPr>
                  <w:r>
                    <w:rPr>
                      <w:color w:val="auto"/>
                      <w:highlight w:val="none"/>
                    </w:rPr>
                    <w:t>□车间或车间处理设施排放</w:t>
                  </w:r>
                </w:p>
              </w:tc>
            </w:tr>
          </w:tbl>
          <w:p>
            <w:pPr>
              <w:pStyle w:val="41"/>
              <w:spacing w:before="156" w:beforeLines="50"/>
              <w:rPr>
                <w:rFonts w:ascii="Times New Roman" w:hAnsi="Times New Roman" w:cs="Times New Roman"/>
                <w:b/>
                <w:bCs/>
                <w:color w:val="auto"/>
                <w:szCs w:val="22"/>
                <w:highlight w:val="none"/>
              </w:rPr>
            </w:pPr>
            <w:r>
              <w:rPr>
                <w:rFonts w:ascii="Times New Roman" w:hAnsi="Times New Roman" w:cs="Times New Roman"/>
                <w:b/>
                <w:bCs/>
                <w:color w:val="auto"/>
                <w:szCs w:val="22"/>
                <w:highlight w:val="none"/>
              </w:rPr>
              <w:t>表</w:t>
            </w:r>
            <w:r>
              <w:rPr>
                <w:rFonts w:hint="eastAsia" w:ascii="Times New Roman" w:hAnsi="Times New Roman" w:cs="Times New Roman"/>
                <w:b/>
                <w:bCs/>
                <w:color w:val="auto"/>
                <w:szCs w:val="22"/>
                <w:highlight w:val="none"/>
              </w:rPr>
              <w:t>7-</w:t>
            </w:r>
            <w:r>
              <w:rPr>
                <w:rFonts w:ascii="Times New Roman" w:hAnsi="Times New Roman" w:cs="Times New Roman"/>
                <w:b/>
                <w:bCs/>
                <w:color w:val="auto"/>
                <w:szCs w:val="22"/>
                <w:highlight w:val="none"/>
              </w:rPr>
              <w:t>5  废水污染物排放执行标准表</w:t>
            </w:r>
          </w:p>
          <w:tbl>
            <w:tblPr>
              <w:tblStyle w:val="23"/>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8"/>
              <w:gridCol w:w="929"/>
              <w:gridCol w:w="1948"/>
              <w:gridCol w:w="2428"/>
              <w:gridCol w:w="22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89" w:hRule="atLeast"/>
                <w:jc w:val="center"/>
              </w:trPr>
              <w:tc>
                <w:tcPr>
                  <w:tcW w:w="688" w:type="dxa"/>
                  <w:vMerge w:val="restart"/>
                  <w:tcBorders>
                    <w:tl2br w:val="nil"/>
                    <w:tr2bl w:val="nil"/>
                  </w:tcBorders>
                  <w:vAlign w:val="center"/>
                </w:tcPr>
                <w:p>
                  <w:pPr>
                    <w:pStyle w:val="33"/>
                    <w:rPr>
                      <w:b/>
                      <w:bCs/>
                      <w:color w:val="auto"/>
                      <w:highlight w:val="none"/>
                    </w:rPr>
                  </w:pPr>
                  <w:r>
                    <w:rPr>
                      <w:b/>
                      <w:bCs/>
                      <w:color w:val="auto"/>
                      <w:highlight w:val="none"/>
                    </w:rPr>
                    <w:t>序号</w:t>
                  </w:r>
                </w:p>
              </w:tc>
              <w:tc>
                <w:tcPr>
                  <w:tcW w:w="929" w:type="dxa"/>
                  <w:vMerge w:val="restart"/>
                  <w:tcBorders>
                    <w:tl2br w:val="nil"/>
                    <w:tr2bl w:val="nil"/>
                  </w:tcBorders>
                  <w:vAlign w:val="center"/>
                </w:tcPr>
                <w:p>
                  <w:pPr>
                    <w:pStyle w:val="33"/>
                    <w:rPr>
                      <w:b/>
                      <w:bCs/>
                      <w:color w:val="auto"/>
                      <w:highlight w:val="none"/>
                    </w:rPr>
                  </w:pPr>
                  <w:r>
                    <w:rPr>
                      <w:b/>
                      <w:bCs/>
                      <w:color w:val="auto"/>
                      <w:highlight w:val="none"/>
                    </w:rPr>
                    <w:t>排放口编号</w:t>
                  </w:r>
                </w:p>
              </w:tc>
              <w:tc>
                <w:tcPr>
                  <w:tcW w:w="1948" w:type="dxa"/>
                  <w:vMerge w:val="restart"/>
                  <w:tcBorders>
                    <w:tl2br w:val="nil"/>
                    <w:tr2bl w:val="nil"/>
                  </w:tcBorders>
                  <w:vAlign w:val="center"/>
                </w:tcPr>
                <w:p>
                  <w:pPr>
                    <w:pStyle w:val="33"/>
                    <w:rPr>
                      <w:b/>
                      <w:bCs/>
                      <w:color w:val="auto"/>
                      <w:highlight w:val="none"/>
                    </w:rPr>
                  </w:pPr>
                  <w:r>
                    <w:rPr>
                      <w:b/>
                      <w:bCs/>
                      <w:color w:val="auto"/>
                      <w:highlight w:val="none"/>
                    </w:rPr>
                    <w:t>污染物种类</w:t>
                  </w:r>
                </w:p>
              </w:tc>
              <w:tc>
                <w:tcPr>
                  <w:tcW w:w="4711" w:type="dxa"/>
                  <w:gridSpan w:val="2"/>
                  <w:tcBorders>
                    <w:tl2br w:val="nil"/>
                    <w:tr2bl w:val="nil"/>
                  </w:tcBorders>
                  <w:vAlign w:val="center"/>
                </w:tcPr>
                <w:p>
                  <w:pPr>
                    <w:pStyle w:val="33"/>
                    <w:rPr>
                      <w:b/>
                      <w:bCs/>
                      <w:color w:val="auto"/>
                      <w:highlight w:val="none"/>
                    </w:rPr>
                  </w:pPr>
                  <w:r>
                    <w:rPr>
                      <w:b/>
                      <w:bCs/>
                      <w:color w:val="auto"/>
                      <w:highlight w:val="none"/>
                    </w:rPr>
                    <w:t>国家或地方污染物排放标准及其他按规定商定的排放协议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688" w:type="dxa"/>
                  <w:vMerge w:val="continue"/>
                  <w:tcBorders>
                    <w:tl2br w:val="nil"/>
                    <w:tr2bl w:val="nil"/>
                  </w:tcBorders>
                  <w:vAlign w:val="center"/>
                </w:tcPr>
                <w:p>
                  <w:pPr>
                    <w:pStyle w:val="33"/>
                    <w:rPr>
                      <w:b/>
                      <w:bCs/>
                      <w:color w:val="auto"/>
                      <w:highlight w:val="none"/>
                    </w:rPr>
                  </w:pPr>
                </w:p>
              </w:tc>
              <w:tc>
                <w:tcPr>
                  <w:tcW w:w="929" w:type="dxa"/>
                  <w:vMerge w:val="continue"/>
                  <w:tcBorders>
                    <w:tl2br w:val="nil"/>
                    <w:tr2bl w:val="nil"/>
                  </w:tcBorders>
                  <w:vAlign w:val="center"/>
                </w:tcPr>
                <w:p>
                  <w:pPr>
                    <w:pStyle w:val="33"/>
                    <w:rPr>
                      <w:b/>
                      <w:bCs/>
                      <w:color w:val="auto"/>
                      <w:highlight w:val="none"/>
                    </w:rPr>
                  </w:pPr>
                </w:p>
              </w:tc>
              <w:tc>
                <w:tcPr>
                  <w:tcW w:w="1948" w:type="dxa"/>
                  <w:vMerge w:val="continue"/>
                  <w:tcBorders>
                    <w:tl2br w:val="nil"/>
                    <w:tr2bl w:val="nil"/>
                  </w:tcBorders>
                  <w:vAlign w:val="center"/>
                </w:tcPr>
                <w:p>
                  <w:pPr>
                    <w:pStyle w:val="33"/>
                    <w:rPr>
                      <w:b/>
                      <w:bCs/>
                      <w:color w:val="auto"/>
                      <w:highlight w:val="none"/>
                    </w:rPr>
                  </w:pPr>
                </w:p>
              </w:tc>
              <w:tc>
                <w:tcPr>
                  <w:tcW w:w="2428" w:type="dxa"/>
                  <w:tcBorders>
                    <w:tl2br w:val="nil"/>
                    <w:tr2bl w:val="nil"/>
                  </w:tcBorders>
                  <w:vAlign w:val="center"/>
                </w:tcPr>
                <w:p>
                  <w:pPr>
                    <w:pStyle w:val="33"/>
                    <w:rPr>
                      <w:b/>
                      <w:bCs/>
                      <w:color w:val="auto"/>
                      <w:highlight w:val="none"/>
                    </w:rPr>
                  </w:pPr>
                  <w:r>
                    <w:rPr>
                      <w:b/>
                      <w:bCs/>
                      <w:color w:val="auto"/>
                      <w:highlight w:val="none"/>
                    </w:rPr>
                    <w:t>名称</w:t>
                  </w:r>
                </w:p>
              </w:tc>
              <w:tc>
                <w:tcPr>
                  <w:tcW w:w="2283" w:type="dxa"/>
                  <w:tcBorders>
                    <w:tl2br w:val="nil"/>
                    <w:tr2bl w:val="nil"/>
                  </w:tcBorders>
                  <w:vAlign w:val="center"/>
                </w:tcPr>
                <w:p>
                  <w:pPr>
                    <w:pStyle w:val="33"/>
                    <w:rPr>
                      <w:b/>
                      <w:bCs/>
                      <w:color w:val="auto"/>
                      <w:highlight w:val="none"/>
                    </w:rPr>
                  </w:pPr>
                  <w:r>
                    <w:rPr>
                      <w:b/>
                      <w:bCs/>
                      <w:color w:val="auto"/>
                      <w:highlight w:val="none"/>
                    </w:rPr>
                    <w:t>浓度限值/(mg/L)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688" w:type="dxa"/>
                  <w:vMerge w:val="restart"/>
                  <w:tcBorders>
                    <w:tl2br w:val="nil"/>
                    <w:tr2bl w:val="nil"/>
                  </w:tcBorders>
                  <w:vAlign w:val="center"/>
                </w:tcPr>
                <w:p>
                  <w:pPr>
                    <w:pStyle w:val="33"/>
                    <w:rPr>
                      <w:color w:val="auto"/>
                      <w:highlight w:val="none"/>
                    </w:rPr>
                  </w:pPr>
                  <w:r>
                    <w:rPr>
                      <w:color w:val="auto"/>
                      <w:highlight w:val="none"/>
                    </w:rPr>
                    <w:t>1</w:t>
                  </w:r>
                </w:p>
              </w:tc>
              <w:tc>
                <w:tcPr>
                  <w:tcW w:w="929" w:type="dxa"/>
                  <w:vMerge w:val="restart"/>
                  <w:tcBorders>
                    <w:tl2br w:val="nil"/>
                    <w:tr2bl w:val="nil"/>
                  </w:tcBorders>
                  <w:vAlign w:val="center"/>
                </w:tcPr>
                <w:p>
                  <w:pPr>
                    <w:pStyle w:val="33"/>
                    <w:rPr>
                      <w:color w:val="auto"/>
                      <w:highlight w:val="none"/>
                    </w:rPr>
                  </w:pPr>
                  <w:r>
                    <w:rPr>
                      <w:color w:val="auto"/>
                      <w:highlight w:val="none"/>
                    </w:rPr>
                    <w:t>A</w:t>
                  </w:r>
                </w:p>
              </w:tc>
              <w:tc>
                <w:tcPr>
                  <w:tcW w:w="1948" w:type="dxa"/>
                  <w:vMerge w:val="restart"/>
                  <w:tcBorders>
                    <w:tl2br w:val="nil"/>
                    <w:tr2bl w:val="nil"/>
                  </w:tcBorders>
                  <w:vAlign w:val="center"/>
                </w:tcPr>
                <w:p>
                  <w:pPr>
                    <w:pStyle w:val="33"/>
                    <w:rPr>
                      <w:color w:val="auto"/>
                      <w:highlight w:val="none"/>
                    </w:rPr>
                  </w:pPr>
                  <w:r>
                    <w:rPr>
                      <w:color w:val="auto"/>
                      <w:highlight w:val="none"/>
                    </w:rPr>
                    <w:t>CODcr、BOD</w:t>
                  </w:r>
                  <w:r>
                    <w:rPr>
                      <w:color w:val="auto"/>
                      <w:highlight w:val="none"/>
                      <w:vertAlign w:val="subscript"/>
                    </w:rPr>
                    <w:t>5</w:t>
                  </w:r>
                  <w:r>
                    <w:rPr>
                      <w:color w:val="auto"/>
                      <w:highlight w:val="none"/>
                    </w:rPr>
                    <w:t>、SS、NH</w:t>
                  </w:r>
                  <w:r>
                    <w:rPr>
                      <w:color w:val="auto"/>
                      <w:highlight w:val="none"/>
                      <w:vertAlign w:val="subscript"/>
                    </w:rPr>
                    <w:t>3</w:t>
                  </w:r>
                  <w:r>
                    <w:rPr>
                      <w:color w:val="auto"/>
                      <w:highlight w:val="none"/>
                    </w:rPr>
                    <w:t>-N</w:t>
                  </w:r>
                </w:p>
              </w:tc>
              <w:tc>
                <w:tcPr>
                  <w:tcW w:w="2428" w:type="dxa"/>
                  <w:tcBorders>
                    <w:tl2br w:val="nil"/>
                    <w:tr2bl w:val="nil"/>
                  </w:tcBorders>
                  <w:vAlign w:val="center"/>
                </w:tcPr>
                <w:p>
                  <w:pPr>
                    <w:pStyle w:val="33"/>
                    <w:rPr>
                      <w:color w:val="auto"/>
                      <w:highlight w:val="none"/>
                    </w:rPr>
                  </w:pPr>
                  <w:r>
                    <w:rPr>
                      <w:color w:val="auto"/>
                      <w:highlight w:val="none"/>
                    </w:rPr>
                    <w:t>SS</w:t>
                  </w:r>
                </w:p>
              </w:tc>
              <w:tc>
                <w:tcPr>
                  <w:tcW w:w="2283" w:type="dxa"/>
                  <w:tcBorders>
                    <w:tl2br w:val="nil"/>
                    <w:tr2bl w:val="nil"/>
                  </w:tcBorders>
                  <w:vAlign w:val="center"/>
                </w:tcPr>
                <w:p>
                  <w:pPr>
                    <w:pStyle w:val="33"/>
                    <w:rPr>
                      <w:color w:val="auto"/>
                      <w:highlight w:val="none"/>
                    </w:rPr>
                  </w:pPr>
                  <w:r>
                    <w:rPr>
                      <w:color w:val="auto"/>
                      <w:highlight w:val="none"/>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688" w:type="dxa"/>
                  <w:vMerge w:val="continue"/>
                  <w:tcBorders>
                    <w:tl2br w:val="nil"/>
                    <w:tr2bl w:val="nil"/>
                  </w:tcBorders>
                  <w:vAlign w:val="center"/>
                </w:tcPr>
                <w:p>
                  <w:pPr>
                    <w:pStyle w:val="33"/>
                    <w:rPr>
                      <w:color w:val="auto"/>
                      <w:highlight w:val="none"/>
                    </w:rPr>
                  </w:pPr>
                </w:p>
              </w:tc>
              <w:tc>
                <w:tcPr>
                  <w:tcW w:w="929" w:type="dxa"/>
                  <w:vMerge w:val="continue"/>
                  <w:tcBorders>
                    <w:tl2br w:val="nil"/>
                    <w:tr2bl w:val="nil"/>
                  </w:tcBorders>
                  <w:vAlign w:val="center"/>
                </w:tcPr>
                <w:p>
                  <w:pPr>
                    <w:pStyle w:val="33"/>
                    <w:rPr>
                      <w:color w:val="auto"/>
                      <w:highlight w:val="none"/>
                    </w:rPr>
                  </w:pPr>
                </w:p>
              </w:tc>
              <w:tc>
                <w:tcPr>
                  <w:tcW w:w="1948" w:type="dxa"/>
                  <w:vMerge w:val="continue"/>
                  <w:tcBorders>
                    <w:tl2br w:val="nil"/>
                    <w:tr2bl w:val="nil"/>
                  </w:tcBorders>
                  <w:vAlign w:val="center"/>
                </w:tcPr>
                <w:p>
                  <w:pPr>
                    <w:pStyle w:val="33"/>
                    <w:rPr>
                      <w:color w:val="auto"/>
                      <w:highlight w:val="none"/>
                    </w:rPr>
                  </w:pPr>
                </w:p>
              </w:tc>
              <w:tc>
                <w:tcPr>
                  <w:tcW w:w="2428" w:type="dxa"/>
                  <w:tcBorders>
                    <w:tl2br w:val="nil"/>
                    <w:tr2bl w:val="nil"/>
                  </w:tcBorders>
                  <w:vAlign w:val="center"/>
                </w:tcPr>
                <w:p>
                  <w:pPr>
                    <w:pStyle w:val="33"/>
                    <w:rPr>
                      <w:color w:val="auto"/>
                      <w:highlight w:val="none"/>
                    </w:rPr>
                  </w:pPr>
                  <w:r>
                    <w:rPr>
                      <w:color w:val="auto"/>
                      <w:highlight w:val="none"/>
                    </w:rPr>
                    <w:t>BOD</w:t>
                  </w:r>
                  <w:r>
                    <w:rPr>
                      <w:color w:val="auto"/>
                      <w:highlight w:val="none"/>
                      <w:vertAlign w:val="subscript"/>
                    </w:rPr>
                    <w:t>5</w:t>
                  </w:r>
                </w:p>
              </w:tc>
              <w:tc>
                <w:tcPr>
                  <w:tcW w:w="2283" w:type="dxa"/>
                  <w:tcBorders>
                    <w:tl2br w:val="nil"/>
                    <w:tr2bl w:val="nil"/>
                  </w:tcBorders>
                  <w:vAlign w:val="center"/>
                </w:tcPr>
                <w:p>
                  <w:pPr>
                    <w:pStyle w:val="33"/>
                    <w:rPr>
                      <w:color w:val="auto"/>
                      <w:highlight w:val="none"/>
                    </w:rPr>
                  </w:pPr>
                  <w:r>
                    <w:rPr>
                      <w:color w:val="auto"/>
                      <w:highlight w:val="none"/>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688" w:type="dxa"/>
                  <w:vMerge w:val="continue"/>
                  <w:tcBorders>
                    <w:tl2br w:val="nil"/>
                    <w:tr2bl w:val="nil"/>
                  </w:tcBorders>
                  <w:vAlign w:val="center"/>
                </w:tcPr>
                <w:p>
                  <w:pPr>
                    <w:pStyle w:val="33"/>
                    <w:rPr>
                      <w:color w:val="auto"/>
                      <w:highlight w:val="none"/>
                    </w:rPr>
                  </w:pPr>
                </w:p>
              </w:tc>
              <w:tc>
                <w:tcPr>
                  <w:tcW w:w="929" w:type="dxa"/>
                  <w:vMerge w:val="continue"/>
                  <w:tcBorders>
                    <w:tl2br w:val="nil"/>
                    <w:tr2bl w:val="nil"/>
                  </w:tcBorders>
                  <w:vAlign w:val="center"/>
                </w:tcPr>
                <w:p>
                  <w:pPr>
                    <w:pStyle w:val="33"/>
                    <w:rPr>
                      <w:color w:val="auto"/>
                      <w:highlight w:val="none"/>
                    </w:rPr>
                  </w:pPr>
                </w:p>
              </w:tc>
              <w:tc>
                <w:tcPr>
                  <w:tcW w:w="1948" w:type="dxa"/>
                  <w:vMerge w:val="continue"/>
                  <w:tcBorders>
                    <w:tl2br w:val="nil"/>
                    <w:tr2bl w:val="nil"/>
                  </w:tcBorders>
                  <w:vAlign w:val="center"/>
                </w:tcPr>
                <w:p>
                  <w:pPr>
                    <w:pStyle w:val="33"/>
                    <w:rPr>
                      <w:color w:val="auto"/>
                      <w:highlight w:val="none"/>
                    </w:rPr>
                  </w:pPr>
                </w:p>
              </w:tc>
              <w:tc>
                <w:tcPr>
                  <w:tcW w:w="2428" w:type="dxa"/>
                  <w:tcBorders>
                    <w:tl2br w:val="nil"/>
                    <w:tr2bl w:val="nil"/>
                  </w:tcBorders>
                  <w:vAlign w:val="center"/>
                </w:tcPr>
                <w:p>
                  <w:pPr>
                    <w:pStyle w:val="33"/>
                    <w:rPr>
                      <w:color w:val="auto"/>
                      <w:highlight w:val="none"/>
                    </w:rPr>
                  </w:pPr>
                  <w:r>
                    <w:rPr>
                      <w:color w:val="auto"/>
                      <w:position w:val="2"/>
                      <w:highlight w:val="none"/>
                    </w:rPr>
                    <w:t>COD</w:t>
                  </w:r>
                  <w:r>
                    <w:rPr>
                      <w:color w:val="auto"/>
                      <w:position w:val="2"/>
                      <w:highlight w:val="none"/>
                      <w:vertAlign w:val="subscript"/>
                    </w:rPr>
                    <w:t>Cr</w:t>
                  </w:r>
                </w:p>
              </w:tc>
              <w:tc>
                <w:tcPr>
                  <w:tcW w:w="2283" w:type="dxa"/>
                  <w:tcBorders>
                    <w:tl2br w:val="nil"/>
                    <w:tr2bl w:val="nil"/>
                  </w:tcBorders>
                  <w:vAlign w:val="center"/>
                </w:tcPr>
                <w:p>
                  <w:pPr>
                    <w:pStyle w:val="33"/>
                    <w:rPr>
                      <w:color w:val="auto"/>
                      <w:highlight w:val="none"/>
                    </w:rPr>
                  </w:pPr>
                  <w:r>
                    <w:rPr>
                      <w:color w:val="auto"/>
                      <w:highlight w:val="none"/>
                    </w:rPr>
                    <w:t>≤80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jc w:val="center"/>
              </w:trPr>
              <w:tc>
                <w:tcPr>
                  <w:tcW w:w="688" w:type="dxa"/>
                  <w:vMerge w:val="continue"/>
                  <w:tcBorders>
                    <w:tl2br w:val="nil"/>
                    <w:tr2bl w:val="nil"/>
                  </w:tcBorders>
                  <w:vAlign w:val="center"/>
                </w:tcPr>
                <w:p>
                  <w:pPr>
                    <w:pStyle w:val="33"/>
                    <w:rPr>
                      <w:color w:val="auto"/>
                      <w:highlight w:val="none"/>
                    </w:rPr>
                  </w:pPr>
                </w:p>
              </w:tc>
              <w:tc>
                <w:tcPr>
                  <w:tcW w:w="929" w:type="dxa"/>
                  <w:vMerge w:val="continue"/>
                  <w:tcBorders>
                    <w:tl2br w:val="nil"/>
                    <w:tr2bl w:val="nil"/>
                  </w:tcBorders>
                  <w:vAlign w:val="center"/>
                </w:tcPr>
                <w:p>
                  <w:pPr>
                    <w:pStyle w:val="33"/>
                    <w:rPr>
                      <w:color w:val="auto"/>
                      <w:highlight w:val="none"/>
                    </w:rPr>
                  </w:pPr>
                </w:p>
              </w:tc>
              <w:tc>
                <w:tcPr>
                  <w:tcW w:w="1948" w:type="dxa"/>
                  <w:vMerge w:val="continue"/>
                  <w:tcBorders>
                    <w:tl2br w:val="nil"/>
                    <w:tr2bl w:val="nil"/>
                  </w:tcBorders>
                  <w:vAlign w:val="center"/>
                </w:tcPr>
                <w:p>
                  <w:pPr>
                    <w:pStyle w:val="33"/>
                    <w:rPr>
                      <w:color w:val="auto"/>
                      <w:highlight w:val="none"/>
                    </w:rPr>
                  </w:pPr>
                </w:p>
              </w:tc>
              <w:tc>
                <w:tcPr>
                  <w:tcW w:w="2428" w:type="dxa"/>
                  <w:tcBorders>
                    <w:tl2br w:val="nil"/>
                    <w:tr2bl w:val="nil"/>
                  </w:tcBorders>
                  <w:vAlign w:val="center"/>
                </w:tcPr>
                <w:p>
                  <w:pPr>
                    <w:pStyle w:val="33"/>
                    <w:rPr>
                      <w:color w:val="auto"/>
                      <w:highlight w:val="none"/>
                    </w:rPr>
                  </w:pPr>
                  <w:r>
                    <w:rPr>
                      <w:color w:val="auto"/>
                      <w:highlight w:val="none"/>
                    </w:rPr>
                    <w:t>NH</w:t>
                  </w:r>
                  <w:r>
                    <w:rPr>
                      <w:color w:val="auto"/>
                      <w:highlight w:val="none"/>
                      <w:vertAlign w:val="subscript"/>
                    </w:rPr>
                    <w:t>3</w:t>
                  </w:r>
                  <w:r>
                    <w:rPr>
                      <w:color w:val="auto"/>
                      <w:highlight w:val="none"/>
                    </w:rPr>
                    <w:t>-N</w:t>
                  </w:r>
                </w:p>
              </w:tc>
              <w:tc>
                <w:tcPr>
                  <w:tcW w:w="2283" w:type="dxa"/>
                  <w:tcBorders>
                    <w:tl2br w:val="nil"/>
                    <w:tr2bl w:val="nil"/>
                  </w:tcBorders>
                  <w:vAlign w:val="center"/>
                </w:tcPr>
                <w:p>
                  <w:pPr>
                    <w:pStyle w:val="33"/>
                    <w:rPr>
                      <w:color w:val="auto"/>
                      <w:highlight w:val="none"/>
                    </w:rPr>
                  </w:pPr>
                  <w:r>
                    <w:rPr>
                      <w:color w:val="auto"/>
                      <w:highlight w:val="none"/>
                    </w:rPr>
                    <w:t>≤10</w:t>
                  </w:r>
                </w:p>
              </w:tc>
            </w:tr>
          </w:tbl>
          <w:p>
            <w:pPr>
              <w:pStyle w:val="41"/>
              <w:rPr>
                <w:rFonts w:ascii="Times New Roman" w:hAnsi="Times New Roman" w:eastAsia="宋体" w:cs="Times New Roman"/>
                <w:b/>
                <w:bCs/>
                <w:color w:val="auto"/>
                <w:szCs w:val="22"/>
                <w:highlight w:val="none"/>
              </w:rPr>
            </w:pPr>
            <w:r>
              <w:rPr>
                <w:rFonts w:ascii="Times New Roman" w:hAnsi="Times New Roman" w:cs="Times New Roman"/>
                <w:b/>
                <w:bCs/>
                <w:color w:val="auto"/>
                <w:szCs w:val="22"/>
                <w:highlight w:val="none"/>
              </w:rPr>
              <w:t>表</w:t>
            </w:r>
            <w:r>
              <w:rPr>
                <w:rFonts w:hint="eastAsia" w:ascii="Times New Roman" w:hAnsi="Times New Roman" w:cs="Times New Roman"/>
                <w:b/>
                <w:bCs/>
                <w:color w:val="auto"/>
                <w:szCs w:val="22"/>
                <w:highlight w:val="none"/>
              </w:rPr>
              <w:t>7-</w:t>
            </w:r>
            <w:r>
              <w:rPr>
                <w:rFonts w:ascii="Times New Roman" w:hAnsi="Times New Roman" w:cs="Times New Roman"/>
                <w:b/>
                <w:bCs/>
                <w:color w:val="auto"/>
                <w:szCs w:val="22"/>
                <w:highlight w:val="none"/>
              </w:rPr>
              <w:t>6废水污染物排放信息表（新建项目）</w:t>
            </w:r>
          </w:p>
          <w:tbl>
            <w:tblPr>
              <w:tblStyle w:val="23"/>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3"/>
              <w:gridCol w:w="2287"/>
              <w:gridCol w:w="1379"/>
              <w:gridCol w:w="1379"/>
              <w:gridCol w:w="1379"/>
              <w:gridCol w:w="13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73" w:type="dxa"/>
                  <w:tcBorders>
                    <w:tl2br w:val="nil"/>
                    <w:tr2bl w:val="nil"/>
                  </w:tcBorders>
                  <w:vAlign w:val="center"/>
                </w:tcPr>
                <w:p>
                  <w:pPr>
                    <w:pStyle w:val="33"/>
                    <w:rPr>
                      <w:b/>
                      <w:bCs/>
                      <w:color w:val="auto"/>
                      <w:highlight w:val="none"/>
                    </w:rPr>
                  </w:pPr>
                  <w:r>
                    <w:rPr>
                      <w:b/>
                      <w:bCs/>
                      <w:color w:val="auto"/>
                      <w:highlight w:val="none"/>
                    </w:rPr>
                    <w:t>序号</w:t>
                  </w:r>
                </w:p>
              </w:tc>
              <w:tc>
                <w:tcPr>
                  <w:tcW w:w="2287" w:type="dxa"/>
                  <w:tcBorders>
                    <w:tl2br w:val="nil"/>
                    <w:tr2bl w:val="nil"/>
                  </w:tcBorders>
                  <w:vAlign w:val="center"/>
                </w:tcPr>
                <w:p>
                  <w:pPr>
                    <w:pStyle w:val="33"/>
                    <w:rPr>
                      <w:b/>
                      <w:bCs/>
                      <w:color w:val="auto"/>
                      <w:highlight w:val="none"/>
                    </w:rPr>
                  </w:pPr>
                  <w:r>
                    <w:rPr>
                      <w:b/>
                      <w:bCs/>
                      <w:color w:val="auto"/>
                      <w:highlight w:val="none"/>
                    </w:rPr>
                    <w:t>排放口编号</w:t>
                  </w:r>
                </w:p>
              </w:tc>
              <w:tc>
                <w:tcPr>
                  <w:tcW w:w="1379" w:type="dxa"/>
                  <w:tcBorders>
                    <w:tl2br w:val="nil"/>
                    <w:tr2bl w:val="nil"/>
                  </w:tcBorders>
                  <w:vAlign w:val="center"/>
                </w:tcPr>
                <w:p>
                  <w:pPr>
                    <w:pStyle w:val="33"/>
                    <w:rPr>
                      <w:b/>
                      <w:bCs/>
                      <w:color w:val="auto"/>
                      <w:highlight w:val="none"/>
                    </w:rPr>
                  </w:pPr>
                  <w:r>
                    <w:rPr>
                      <w:b/>
                      <w:bCs/>
                      <w:color w:val="auto"/>
                      <w:highlight w:val="none"/>
                    </w:rPr>
                    <w:t>污染物种类</w:t>
                  </w:r>
                </w:p>
              </w:tc>
              <w:tc>
                <w:tcPr>
                  <w:tcW w:w="1379" w:type="dxa"/>
                  <w:tcBorders>
                    <w:tl2br w:val="nil"/>
                    <w:tr2bl w:val="nil"/>
                  </w:tcBorders>
                  <w:vAlign w:val="center"/>
                </w:tcPr>
                <w:p>
                  <w:pPr>
                    <w:pStyle w:val="33"/>
                    <w:rPr>
                      <w:b/>
                      <w:bCs/>
                      <w:color w:val="auto"/>
                      <w:highlight w:val="none"/>
                    </w:rPr>
                  </w:pPr>
                  <w:r>
                    <w:rPr>
                      <w:b/>
                      <w:bCs/>
                      <w:color w:val="auto"/>
                      <w:highlight w:val="none"/>
                    </w:rPr>
                    <w:t>排放浓度/（mg/L）</w:t>
                  </w:r>
                </w:p>
              </w:tc>
              <w:tc>
                <w:tcPr>
                  <w:tcW w:w="1379" w:type="dxa"/>
                  <w:tcBorders>
                    <w:tl2br w:val="nil"/>
                    <w:tr2bl w:val="nil"/>
                  </w:tcBorders>
                  <w:vAlign w:val="center"/>
                </w:tcPr>
                <w:p>
                  <w:pPr>
                    <w:pStyle w:val="33"/>
                    <w:rPr>
                      <w:b/>
                      <w:bCs/>
                      <w:color w:val="auto"/>
                      <w:highlight w:val="none"/>
                    </w:rPr>
                  </w:pPr>
                  <w:r>
                    <w:rPr>
                      <w:b/>
                      <w:bCs/>
                      <w:color w:val="auto"/>
                      <w:highlight w:val="none"/>
                    </w:rPr>
                    <w:t>日</w:t>
                  </w:r>
                  <w:r>
                    <w:rPr>
                      <w:rFonts w:hint="eastAsia"/>
                      <w:b/>
                      <w:bCs/>
                      <w:color w:val="auto"/>
                      <w:highlight w:val="none"/>
                    </w:rPr>
                    <w:t>排放</w:t>
                  </w:r>
                  <w:r>
                    <w:rPr>
                      <w:b/>
                      <w:bCs/>
                      <w:color w:val="auto"/>
                      <w:highlight w:val="none"/>
                    </w:rPr>
                    <w:t>量/（t/d）</w:t>
                  </w:r>
                </w:p>
              </w:tc>
              <w:tc>
                <w:tcPr>
                  <w:tcW w:w="1379" w:type="dxa"/>
                  <w:tcBorders>
                    <w:tl2br w:val="nil"/>
                    <w:tr2bl w:val="nil"/>
                  </w:tcBorders>
                  <w:vAlign w:val="center"/>
                </w:tcPr>
                <w:p>
                  <w:pPr>
                    <w:pStyle w:val="33"/>
                    <w:rPr>
                      <w:b/>
                      <w:bCs/>
                      <w:color w:val="auto"/>
                      <w:highlight w:val="none"/>
                    </w:rPr>
                  </w:pPr>
                  <w:r>
                    <w:rPr>
                      <w:b/>
                      <w:bCs/>
                      <w:color w:val="auto"/>
                      <w:highlight w:val="none"/>
                    </w:rPr>
                    <w:t>年</w:t>
                  </w:r>
                  <w:r>
                    <w:rPr>
                      <w:rFonts w:hint="eastAsia"/>
                      <w:b/>
                      <w:bCs/>
                      <w:color w:val="auto"/>
                      <w:highlight w:val="none"/>
                    </w:rPr>
                    <w:t>排放</w:t>
                  </w:r>
                  <w:r>
                    <w:rPr>
                      <w:b/>
                      <w:bCs/>
                      <w:color w:val="auto"/>
                      <w:highlight w:val="none"/>
                    </w:rPr>
                    <w:t>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73" w:type="dxa"/>
                  <w:vMerge w:val="restart"/>
                  <w:tcBorders>
                    <w:tl2br w:val="nil"/>
                    <w:tr2bl w:val="nil"/>
                  </w:tcBorders>
                  <w:vAlign w:val="center"/>
                </w:tcPr>
                <w:p>
                  <w:pPr>
                    <w:pStyle w:val="33"/>
                    <w:rPr>
                      <w:color w:val="auto"/>
                      <w:highlight w:val="none"/>
                    </w:rPr>
                  </w:pPr>
                  <w:r>
                    <w:rPr>
                      <w:color w:val="auto"/>
                      <w:highlight w:val="none"/>
                    </w:rPr>
                    <w:t>1</w:t>
                  </w:r>
                </w:p>
              </w:tc>
              <w:tc>
                <w:tcPr>
                  <w:tcW w:w="2287" w:type="dxa"/>
                  <w:vMerge w:val="restart"/>
                  <w:tcBorders>
                    <w:tl2br w:val="nil"/>
                    <w:tr2bl w:val="nil"/>
                  </w:tcBorders>
                  <w:vAlign w:val="center"/>
                </w:tcPr>
                <w:p>
                  <w:pPr>
                    <w:pStyle w:val="33"/>
                    <w:rPr>
                      <w:color w:val="auto"/>
                      <w:highlight w:val="none"/>
                    </w:rPr>
                  </w:pPr>
                  <w:r>
                    <w:rPr>
                      <w:color w:val="auto"/>
                      <w:highlight w:val="none"/>
                    </w:rPr>
                    <w:t>A</w:t>
                  </w:r>
                </w:p>
              </w:tc>
              <w:tc>
                <w:tcPr>
                  <w:tcW w:w="1379" w:type="dxa"/>
                  <w:tcBorders>
                    <w:tl2br w:val="nil"/>
                    <w:tr2bl w:val="nil"/>
                  </w:tcBorders>
                  <w:vAlign w:val="center"/>
                </w:tcPr>
                <w:p>
                  <w:pPr>
                    <w:jc w:val="center"/>
                    <w:rPr>
                      <w:rFonts w:ascii="Times New Roman" w:hAnsi="Times New Roman" w:cs="Times New Roman"/>
                      <w:color w:val="auto"/>
                      <w:highlight w:val="none"/>
                    </w:rPr>
                  </w:pPr>
                  <w:r>
                    <w:rPr>
                      <w:rFonts w:ascii="Times New Roman" w:hAnsi="Times New Roman" w:eastAsia="宋体" w:cs="Times New Roman"/>
                      <w:bCs/>
                      <w:color w:val="auto"/>
                      <w:szCs w:val="21"/>
                      <w:highlight w:val="none"/>
                    </w:rPr>
                    <w:t>COD</w:t>
                  </w:r>
                  <w:r>
                    <w:rPr>
                      <w:rFonts w:ascii="Times New Roman" w:hAnsi="Times New Roman" w:eastAsia="宋体" w:cs="Times New Roman"/>
                      <w:bCs/>
                      <w:color w:val="auto"/>
                      <w:szCs w:val="21"/>
                      <w:highlight w:val="none"/>
                      <w:vertAlign w:val="subscript"/>
                    </w:rPr>
                    <w:t>cr</w:t>
                  </w:r>
                </w:p>
              </w:tc>
              <w:tc>
                <w:tcPr>
                  <w:tcW w:w="1379" w:type="dxa"/>
                  <w:tcBorders>
                    <w:tl2br w:val="nil"/>
                    <w:tr2bl w:val="nil"/>
                  </w:tcBorders>
                  <w:vAlign w:val="center"/>
                </w:tcPr>
                <w:p>
                  <w:pPr>
                    <w:jc w:val="center"/>
                    <w:rPr>
                      <w:rFonts w:ascii="Times New Roman" w:hAnsi="Times New Roman" w:cs="Times New Roman"/>
                      <w:color w:val="auto"/>
                      <w:highlight w:val="none"/>
                    </w:rPr>
                  </w:pPr>
                  <w:r>
                    <w:rPr>
                      <w:rFonts w:hint="eastAsia" w:ascii="Times New Roman" w:hAnsi="Times New Roman" w:cs="Times New Roman"/>
                      <w:color w:val="auto"/>
                      <w:highlight w:val="none"/>
                    </w:rPr>
                    <w:t>8</w:t>
                  </w:r>
                  <w:r>
                    <w:rPr>
                      <w:rFonts w:ascii="Times New Roman" w:hAnsi="Times New Roman" w:cs="Times New Roman"/>
                      <w:color w:val="auto"/>
                      <w:highlight w:val="none"/>
                    </w:rPr>
                    <w:t>0</w:t>
                  </w:r>
                </w:p>
              </w:tc>
              <w:tc>
                <w:tcPr>
                  <w:tcW w:w="1379" w:type="dxa"/>
                  <w:tcBorders>
                    <w:tl2br w:val="nil"/>
                    <w:tr2bl w:val="nil"/>
                  </w:tcBorders>
                  <w:vAlign w:val="center"/>
                </w:tcPr>
                <w:p>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0</w:t>
                  </w:r>
                  <w:r>
                    <w:rPr>
                      <w:rFonts w:ascii="Times New Roman" w:hAnsi="Times New Roman" w:eastAsia="宋体" w:cs="Times New Roman"/>
                      <w:color w:val="auto"/>
                      <w:highlight w:val="none"/>
                    </w:rPr>
                    <w:t>.102</w:t>
                  </w:r>
                </w:p>
              </w:tc>
              <w:tc>
                <w:tcPr>
                  <w:tcW w:w="1379" w:type="dxa"/>
                  <w:tcBorders>
                    <w:tl2br w:val="nil"/>
                    <w:tr2bl w:val="nil"/>
                  </w:tcBorders>
                  <w:vAlign w:val="center"/>
                </w:tcPr>
                <w:p>
                  <w:pPr>
                    <w:jc w:val="center"/>
                    <w:rPr>
                      <w:rFonts w:ascii="Times New Roman" w:hAnsi="Times New Roman" w:cs="Times New Roman"/>
                      <w:color w:val="auto"/>
                      <w:highlight w:val="none"/>
                    </w:rPr>
                  </w:pPr>
                  <w:r>
                    <w:rPr>
                      <w:rFonts w:hint="eastAsia" w:ascii="Times New Roman" w:hAnsi="Times New Roman" w:cs="Times New Roman"/>
                      <w:color w:val="auto"/>
                      <w:highlight w:val="none"/>
                    </w:rPr>
                    <w:t>3</w:t>
                  </w:r>
                  <w:r>
                    <w:rPr>
                      <w:rFonts w:ascii="Times New Roman" w:hAnsi="Times New Roman" w:cs="Times New Roman"/>
                      <w:color w:val="auto"/>
                      <w:highlight w:val="none"/>
                    </w:rPr>
                    <w:t>0.659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73" w:type="dxa"/>
                  <w:vMerge w:val="continue"/>
                  <w:tcBorders>
                    <w:tl2br w:val="nil"/>
                    <w:tr2bl w:val="nil"/>
                  </w:tcBorders>
                  <w:vAlign w:val="center"/>
                </w:tcPr>
                <w:p>
                  <w:pPr>
                    <w:pStyle w:val="33"/>
                    <w:rPr>
                      <w:color w:val="auto"/>
                      <w:highlight w:val="none"/>
                    </w:rPr>
                  </w:pPr>
                </w:p>
              </w:tc>
              <w:tc>
                <w:tcPr>
                  <w:tcW w:w="2287" w:type="dxa"/>
                  <w:vMerge w:val="continue"/>
                  <w:tcBorders>
                    <w:tl2br w:val="nil"/>
                    <w:tr2bl w:val="nil"/>
                  </w:tcBorders>
                  <w:vAlign w:val="center"/>
                </w:tcPr>
                <w:p>
                  <w:pPr>
                    <w:pStyle w:val="33"/>
                    <w:rPr>
                      <w:color w:val="auto"/>
                      <w:highlight w:val="none"/>
                    </w:rPr>
                  </w:pPr>
                </w:p>
              </w:tc>
              <w:tc>
                <w:tcPr>
                  <w:tcW w:w="1379" w:type="dxa"/>
                  <w:tcBorders>
                    <w:tl2br w:val="nil"/>
                    <w:tr2bl w:val="nil"/>
                  </w:tcBorders>
                  <w:vAlign w:val="center"/>
                </w:tcPr>
                <w:p>
                  <w:pPr>
                    <w:jc w:val="center"/>
                    <w:rPr>
                      <w:rFonts w:ascii="Times New Roman" w:hAnsi="Times New Roman" w:cs="Times New Roman"/>
                      <w:color w:val="auto"/>
                      <w:highlight w:val="none"/>
                    </w:rPr>
                  </w:pPr>
                  <w:r>
                    <w:rPr>
                      <w:rFonts w:ascii="Times New Roman" w:hAnsi="Times New Roman" w:eastAsia="宋体" w:cs="Times New Roman"/>
                      <w:bCs/>
                      <w:color w:val="auto"/>
                      <w:szCs w:val="21"/>
                      <w:highlight w:val="none"/>
                    </w:rPr>
                    <w:t>BOD</w:t>
                  </w:r>
                  <w:r>
                    <w:rPr>
                      <w:rFonts w:ascii="Times New Roman" w:hAnsi="Times New Roman" w:eastAsia="宋体" w:cs="Times New Roman"/>
                      <w:bCs/>
                      <w:color w:val="auto"/>
                      <w:szCs w:val="21"/>
                      <w:highlight w:val="none"/>
                      <w:vertAlign w:val="subscript"/>
                    </w:rPr>
                    <w:t>5</w:t>
                  </w:r>
                </w:p>
              </w:tc>
              <w:tc>
                <w:tcPr>
                  <w:tcW w:w="1379" w:type="dxa"/>
                  <w:tcBorders>
                    <w:tl2br w:val="nil"/>
                    <w:tr2bl w:val="nil"/>
                  </w:tcBorders>
                  <w:vAlign w:val="center"/>
                </w:tcPr>
                <w:p>
                  <w:pPr>
                    <w:jc w:val="center"/>
                    <w:rPr>
                      <w:rFonts w:ascii="Times New Roman" w:hAnsi="Times New Roman" w:cs="Times New Roman"/>
                      <w:color w:val="auto"/>
                      <w:highlight w:val="none"/>
                    </w:rPr>
                  </w:pPr>
                  <w:r>
                    <w:rPr>
                      <w:rFonts w:hint="eastAsia" w:ascii="Times New Roman" w:hAnsi="Times New Roman" w:cs="Times New Roman"/>
                      <w:color w:val="auto"/>
                      <w:highlight w:val="none"/>
                    </w:rPr>
                    <w:t>2</w:t>
                  </w:r>
                  <w:r>
                    <w:rPr>
                      <w:rFonts w:ascii="Times New Roman" w:hAnsi="Times New Roman" w:cs="Times New Roman"/>
                      <w:color w:val="auto"/>
                      <w:highlight w:val="none"/>
                    </w:rPr>
                    <w:t>0</w:t>
                  </w:r>
                </w:p>
              </w:tc>
              <w:tc>
                <w:tcPr>
                  <w:tcW w:w="1379" w:type="dxa"/>
                  <w:tcBorders>
                    <w:tl2br w:val="nil"/>
                    <w:tr2bl w:val="nil"/>
                  </w:tcBorders>
                  <w:vAlign w:val="center"/>
                </w:tcPr>
                <w:p>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0</w:t>
                  </w:r>
                  <w:r>
                    <w:rPr>
                      <w:rFonts w:ascii="Times New Roman" w:hAnsi="Times New Roman" w:eastAsia="宋体" w:cs="Times New Roman"/>
                      <w:color w:val="auto"/>
                      <w:highlight w:val="none"/>
                    </w:rPr>
                    <w:t>.026</w:t>
                  </w:r>
                </w:p>
              </w:tc>
              <w:tc>
                <w:tcPr>
                  <w:tcW w:w="1379" w:type="dxa"/>
                  <w:tcBorders>
                    <w:tl2br w:val="nil"/>
                    <w:tr2bl w:val="nil"/>
                  </w:tcBorders>
                  <w:vAlign w:val="center"/>
                </w:tcPr>
                <w:p>
                  <w:pPr>
                    <w:jc w:val="center"/>
                    <w:rPr>
                      <w:rFonts w:ascii="Times New Roman" w:hAnsi="Times New Roman" w:cs="Times New Roman"/>
                      <w:color w:val="auto"/>
                      <w:highlight w:val="none"/>
                    </w:rPr>
                  </w:pPr>
                  <w:r>
                    <w:rPr>
                      <w:rFonts w:hint="eastAsia" w:ascii="Times New Roman" w:hAnsi="Times New Roman" w:cs="Times New Roman"/>
                      <w:color w:val="auto"/>
                      <w:highlight w:val="none"/>
                    </w:rPr>
                    <w:t>7</w:t>
                  </w:r>
                  <w:r>
                    <w:rPr>
                      <w:rFonts w:ascii="Times New Roman" w:hAnsi="Times New Roman" w:cs="Times New Roman"/>
                      <w:color w:val="auto"/>
                      <w:highlight w:val="none"/>
                    </w:rPr>
                    <w:t>.665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73" w:type="dxa"/>
                  <w:vMerge w:val="continue"/>
                  <w:tcBorders>
                    <w:tl2br w:val="nil"/>
                    <w:tr2bl w:val="nil"/>
                  </w:tcBorders>
                  <w:vAlign w:val="center"/>
                </w:tcPr>
                <w:p>
                  <w:pPr>
                    <w:pStyle w:val="33"/>
                    <w:rPr>
                      <w:color w:val="auto"/>
                      <w:highlight w:val="none"/>
                    </w:rPr>
                  </w:pPr>
                </w:p>
              </w:tc>
              <w:tc>
                <w:tcPr>
                  <w:tcW w:w="2287" w:type="dxa"/>
                  <w:vMerge w:val="continue"/>
                  <w:tcBorders>
                    <w:tl2br w:val="nil"/>
                    <w:tr2bl w:val="nil"/>
                  </w:tcBorders>
                  <w:vAlign w:val="center"/>
                </w:tcPr>
                <w:p>
                  <w:pPr>
                    <w:pStyle w:val="33"/>
                    <w:rPr>
                      <w:color w:val="auto"/>
                      <w:highlight w:val="none"/>
                    </w:rPr>
                  </w:pPr>
                </w:p>
              </w:tc>
              <w:tc>
                <w:tcPr>
                  <w:tcW w:w="1379" w:type="dxa"/>
                  <w:tcBorders>
                    <w:tl2br w:val="nil"/>
                    <w:tr2bl w:val="nil"/>
                  </w:tcBorders>
                  <w:vAlign w:val="center"/>
                </w:tcPr>
                <w:p>
                  <w:pPr>
                    <w:jc w:val="center"/>
                    <w:rPr>
                      <w:rFonts w:ascii="Times New Roman" w:hAnsi="Times New Roman" w:cs="Times New Roman"/>
                      <w:color w:val="auto"/>
                      <w:highlight w:val="none"/>
                    </w:rPr>
                  </w:pPr>
                  <w:r>
                    <w:rPr>
                      <w:rFonts w:ascii="Times New Roman" w:hAnsi="Times New Roman" w:eastAsia="宋体" w:cs="Times New Roman"/>
                      <w:bCs/>
                      <w:color w:val="auto"/>
                      <w:szCs w:val="21"/>
                      <w:highlight w:val="none"/>
                    </w:rPr>
                    <w:t>SS</w:t>
                  </w:r>
                </w:p>
              </w:tc>
              <w:tc>
                <w:tcPr>
                  <w:tcW w:w="1379" w:type="dxa"/>
                  <w:tcBorders>
                    <w:tl2br w:val="nil"/>
                    <w:tr2bl w:val="nil"/>
                  </w:tcBorders>
                  <w:vAlign w:val="center"/>
                </w:tcPr>
                <w:p>
                  <w:pPr>
                    <w:jc w:val="center"/>
                    <w:rPr>
                      <w:rFonts w:ascii="Times New Roman" w:hAnsi="Times New Roman" w:cs="Times New Roman"/>
                      <w:color w:val="auto"/>
                      <w:highlight w:val="none"/>
                    </w:rPr>
                  </w:pPr>
                  <w:r>
                    <w:rPr>
                      <w:rFonts w:hint="eastAsia" w:ascii="Times New Roman" w:hAnsi="Times New Roman" w:cs="Times New Roman"/>
                      <w:color w:val="auto"/>
                      <w:highlight w:val="none"/>
                    </w:rPr>
                    <w:t>5</w:t>
                  </w:r>
                  <w:r>
                    <w:rPr>
                      <w:rFonts w:ascii="Times New Roman" w:hAnsi="Times New Roman" w:cs="Times New Roman"/>
                      <w:color w:val="auto"/>
                      <w:highlight w:val="none"/>
                    </w:rPr>
                    <w:t>0</w:t>
                  </w:r>
                </w:p>
              </w:tc>
              <w:tc>
                <w:tcPr>
                  <w:tcW w:w="1379" w:type="dxa"/>
                  <w:tcBorders>
                    <w:tl2br w:val="nil"/>
                    <w:tr2bl w:val="nil"/>
                  </w:tcBorders>
                  <w:vAlign w:val="center"/>
                </w:tcPr>
                <w:p>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0</w:t>
                  </w:r>
                  <w:r>
                    <w:rPr>
                      <w:rFonts w:ascii="Times New Roman" w:hAnsi="Times New Roman" w:eastAsia="宋体" w:cs="Times New Roman"/>
                      <w:color w:val="auto"/>
                      <w:highlight w:val="none"/>
                    </w:rPr>
                    <w:t>.064</w:t>
                  </w:r>
                </w:p>
              </w:tc>
              <w:tc>
                <w:tcPr>
                  <w:tcW w:w="1379" w:type="dxa"/>
                  <w:tcBorders>
                    <w:tl2br w:val="nil"/>
                    <w:tr2bl w:val="nil"/>
                  </w:tcBorders>
                  <w:vAlign w:val="center"/>
                </w:tcPr>
                <w:p>
                  <w:pPr>
                    <w:jc w:val="center"/>
                    <w:rPr>
                      <w:rFonts w:ascii="Times New Roman" w:hAnsi="Times New Roman" w:cs="Times New Roman"/>
                      <w:color w:val="auto"/>
                      <w:highlight w:val="none"/>
                    </w:rPr>
                  </w:pPr>
                  <w:r>
                    <w:rPr>
                      <w:rFonts w:hint="eastAsia" w:ascii="Times New Roman" w:hAnsi="Times New Roman" w:cs="Times New Roman"/>
                      <w:color w:val="auto"/>
                      <w:highlight w:val="none"/>
                    </w:rPr>
                    <w:t>1</w:t>
                  </w:r>
                  <w:r>
                    <w:rPr>
                      <w:rFonts w:ascii="Times New Roman" w:hAnsi="Times New Roman" w:cs="Times New Roman"/>
                      <w:color w:val="auto"/>
                      <w:highlight w:val="none"/>
                    </w:rPr>
                    <w:t>9.162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73" w:type="dxa"/>
                  <w:vMerge w:val="continue"/>
                  <w:tcBorders>
                    <w:tl2br w:val="nil"/>
                    <w:tr2bl w:val="nil"/>
                  </w:tcBorders>
                  <w:vAlign w:val="center"/>
                </w:tcPr>
                <w:p>
                  <w:pPr>
                    <w:pStyle w:val="33"/>
                    <w:rPr>
                      <w:color w:val="auto"/>
                      <w:highlight w:val="none"/>
                    </w:rPr>
                  </w:pPr>
                </w:p>
              </w:tc>
              <w:tc>
                <w:tcPr>
                  <w:tcW w:w="2287" w:type="dxa"/>
                  <w:vMerge w:val="continue"/>
                  <w:tcBorders>
                    <w:tl2br w:val="nil"/>
                    <w:tr2bl w:val="nil"/>
                  </w:tcBorders>
                  <w:vAlign w:val="center"/>
                </w:tcPr>
                <w:p>
                  <w:pPr>
                    <w:pStyle w:val="33"/>
                    <w:rPr>
                      <w:color w:val="auto"/>
                      <w:highlight w:val="none"/>
                    </w:rPr>
                  </w:pPr>
                </w:p>
              </w:tc>
              <w:tc>
                <w:tcPr>
                  <w:tcW w:w="1379" w:type="dxa"/>
                  <w:tcBorders>
                    <w:tl2br w:val="nil"/>
                    <w:tr2bl w:val="nil"/>
                  </w:tcBorders>
                  <w:vAlign w:val="center"/>
                </w:tcPr>
                <w:p>
                  <w:pPr>
                    <w:jc w:val="center"/>
                    <w:rPr>
                      <w:rFonts w:ascii="Times New Roman" w:hAnsi="Times New Roman" w:cs="Times New Roman"/>
                      <w:color w:val="auto"/>
                      <w:highlight w:val="none"/>
                    </w:rPr>
                  </w:pPr>
                  <w:r>
                    <w:rPr>
                      <w:rFonts w:ascii="Times New Roman" w:hAnsi="Times New Roman" w:cs="Times New Roman"/>
                      <w:color w:val="auto"/>
                      <w:highlight w:val="none"/>
                    </w:rPr>
                    <w:t>NH</w:t>
                  </w:r>
                  <w:r>
                    <w:rPr>
                      <w:rFonts w:ascii="Times New Roman" w:hAnsi="Times New Roman" w:cs="Times New Roman"/>
                      <w:color w:val="auto"/>
                      <w:highlight w:val="none"/>
                      <w:vertAlign w:val="subscript"/>
                    </w:rPr>
                    <w:t>3</w:t>
                  </w:r>
                  <w:r>
                    <w:rPr>
                      <w:rFonts w:ascii="Times New Roman" w:hAnsi="Times New Roman" w:cs="Times New Roman"/>
                      <w:color w:val="auto"/>
                      <w:highlight w:val="none"/>
                    </w:rPr>
                    <w:t>-N</w:t>
                  </w:r>
                </w:p>
              </w:tc>
              <w:tc>
                <w:tcPr>
                  <w:tcW w:w="1379" w:type="dxa"/>
                  <w:tcBorders>
                    <w:tl2br w:val="nil"/>
                    <w:tr2bl w:val="nil"/>
                  </w:tcBorders>
                  <w:vAlign w:val="center"/>
                </w:tcPr>
                <w:p>
                  <w:pPr>
                    <w:jc w:val="center"/>
                    <w:rPr>
                      <w:rFonts w:ascii="Times New Roman" w:hAnsi="Times New Roman" w:cs="Times New Roman"/>
                      <w:color w:val="auto"/>
                      <w:highlight w:val="none"/>
                    </w:rPr>
                  </w:pPr>
                  <w:r>
                    <w:rPr>
                      <w:rFonts w:hint="eastAsia" w:ascii="Times New Roman" w:hAnsi="Times New Roman" w:cs="Times New Roman"/>
                      <w:color w:val="auto"/>
                      <w:highlight w:val="none"/>
                    </w:rPr>
                    <w:t>1</w:t>
                  </w:r>
                  <w:r>
                    <w:rPr>
                      <w:rFonts w:ascii="Times New Roman" w:hAnsi="Times New Roman" w:cs="Times New Roman"/>
                      <w:color w:val="auto"/>
                      <w:highlight w:val="none"/>
                    </w:rPr>
                    <w:t>0</w:t>
                  </w:r>
                </w:p>
              </w:tc>
              <w:tc>
                <w:tcPr>
                  <w:tcW w:w="1379" w:type="dxa"/>
                  <w:tcBorders>
                    <w:tl2br w:val="nil"/>
                    <w:tr2bl w:val="nil"/>
                  </w:tcBorders>
                  <w:vAlign w:val="center"/>
                </w:tcPr>
                <w:p>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0</w:t>
                  </w:r>
                  <w:r>
                    <w:rPr>
                      <w:rFonts w:ascii="Times New Roman" w:hAnsi="Times New Roman" w:eastAsia="宋体" w:cs="Times New Roman"/>
                      <w:color w:val="auto"/>
                      <w:highlight w:val="none"/>
                    </w:rPr>
                    <w:t>.013</w:t>
                  </w:r>
                </w:p>
              </w:tc>
              <w:tc>
                <w:tcPr>
                  <w:tcW w:w="1379" w:type="dxa"/>
                  <w:tcBorders>
                    <w:tl2br w:val="nil"/>
                    <w:tr2bl w:val="nil"/>
                  </w:tcBorders>
                  <w:vAlign w:val="center"/>
                </w:tcPr>
                <w:p>
                  <w:pPr>
                    <w:jc w:val="center"/>
                    <w:rPr>
                      <w:rFonts w:ascii="Times New Roman" w:hAnsi="Times New Roman" w:cs="Times New Roman"/>
                      <w:color w:val="auto"/>
                      <w:highlight w:val="none"/>
                    </w:rPr>
                  </w:pPr>
                  <w:r>
                    <w:rPr>
                      <w:rFonts w:hint="eastAsia" w:ascii="Times New Roman" w:hAnsi="Times New Roman" w:cs="Times New Roman"/>
                      <w:color w:val="auto"/>
                      <w:highlight w:val="none"/>
                    </w:rPr>
                    <w:t>3</w:t>
                  </w:r>
                  <w:r>
                    <w:rPr>
                      <w:rFonts w:ascii="Times New Roman" w:hAnsi="Times New Roman" w:cs="Times New Roman"/>
                      <w:color w:val="auto"/>
                      <w:highlight w:val="none"/>
                    </w:rPr>
                    <w:t>.832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760" w:type="dxa"/>
                  <w:gridSpan w:val="2"/>
                  <w:vMerge w:val="restart"/>
                  <w:tcBorders>
                    <w:tl2br w:val="nil"/>
                    <w:tr2bl w:val="nil"/>
                  </w:tcBorders>
                  <w:vAlign w:val="center"/>
                </w:tcPr>
                <w:p>
                  <w:pPr>
                    <w:pStyle w:val="33"/>
                    <w:rPr>
                      <w:color w:val="auto"/>
                      <w:highlight w:val="none"/>
                    </w:rPr>
                  </w:pPr>
                  <w:r>
                    <w:rPr>
                      <w:color w:val="auto"/>
                      <w:highlight w:val="none"/>
                    </w:rPr>
                    <w:t>全厂排放口合计</w:t>
                  </w:r>
                </w:p>
              </w:tc>
              <w:tc>
                <w:tcPr>
                  <w:tcW w:w="1379" w:type="dxa"/>
                  <w:tcBorders>
                    <w:tl2br w:val="nil"/>
                    <w:tr2bl w:val="nil"/>
                  </w:tcBorders>
                  <w:vAlign w:val="center"/>
                </w:tcPr>
                <w:p>
                  <w:pPr>
                    <w:pStyle w:val="33"/>
                    <w:rPr>
                      <w:color w:val="auto"/>
                      <w:highlight w:val="none"/>
                    </w:rPr>
                  </w:pPr>
                  <w:r>
                    <w:rPr>
                      <w:color w:val="auto"/>
                      <w:highlight w:val="none"/>
                    </w:rPr>
                    <w:t>CODcr</w:t>
                  </w:r>
                </w:p>
              </w:tc>
              <w:tc>
                <w:tcPr>
                  <w:tcW w:w="1379" w:type="dxa"/>
                  <w:tcBorders>
                    <w:tl2br w:val="nil"/>
                    <w:tr2bl w:val="nil"/>
                  </w:tcBorders>
                  <w:vAlign w:val="center"/>
                </w:tcPr>
                <w:p>
                  <w:pPr>
                    <w:jc w:val="center"/>
                    <w:rPr>
                      <w:rFonts w:ascii="Times New Roman" w:hAnsi="Times New Roman" w:cs="Times New Roman"/>
                      <w:color w:val="auto"/>
                      <w:highlight w:val="none"/>
                    </w:rPr>
                  </w:pPr>
                  <w:r>
                    <w:rPr>
                      <w:rFonts w:hint="eastAsia" w:ascii="Times New Roman" w:hAnsi="Times New Roman" w:cs="Times New Roman"/>
                      <w:color w:val="auto"/>
                      <w:highlight w:val="none"/>
                    </w:rPr>
                    <w:t>8</w:t>
                  </w:r>
                  <w:r>
                    <w:rPr>
                      <w:rFonts w:ascii="Times New Roman" w:hAnsi="Times New Roman" w:cs="Times New Roman"/>
                      <w:color w:val="auto"/>
                      <w:highlight w:val="none"/>
                    </w:rPr>
                    <w:t>0</w:t>
                  </w:r>
                </w:p>
              </w:tc>
              <w:tc>
                <w:tcPr>
                  <w:tcW w:w="1379" w:type="dxa"/>
                  <w:tcBorders>
                    <w:tl2br w:val="nil"/>
                    <w:tr2bl w:val="nil"/>
                  </w:tcBorders>
                  <w:vAlign w:val="center"/>
                </w:tcPr>
                <w:p>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0</w:t>
                  </w:r>
                  <w:r>
                    <w:rPr>
                      <w:rFonts w:ascii="Times New Roman" w:hAnsi="Times New Roman" w:eastAsia="宋体" w:cs="Times New Roman"/>
                      <w:color w:val="auto"/>
                      <w:highlight w:val="none"/>
                    </w:rPr>
                    <w:t>.102</w:t>
                  </w:r>
                </w:p>
              </w:tc>
              <w:tc>
                <w:tcPr>
                  <w:tcW w:w="1379" w:type="dxa"/>
                  <w:tcBorders>
                    <w:tl2br w:val="nil"/>
                    <w:tr2bl w:val="nil"/>
                  </w:tcBorders>
                  <w:vAlign w:val="center"/>
                </w:tcPr>
                <w:p>
                  <w:pPr>
                    <w:jc w:val="center"/>
                    <w:rPr>
                      <w:rFonts w:ascii="Times New Roman" w:hAnsi="Times New Roman" w:cs="Times New Roman"/>
                      <w:color w:val="auto"/>
                      <w:highlight w:val="none"/>
                    </w:rPr>
                  </w:pPr>
                  <w:r>
                    <w:rPr>
                      <w:rFonts w:hint="eastAsia" w:ascii="Times New Roman" w:hAnsi="Times New Roman" w:cs="Times New Roman"/>
                      <w:color w:val="auto"/>
                      <w:highlight w:val="none"/>
                    </w:rPr>
                    <w:t>3</w:t>
                  </w:r>
                  <w:r>
                    <w:rPr>
                      <w:rFonts w:ascii="Times New Roman" w:hAnsi="Times New Roman" w:cs="Times New Roman"/>
                      <w:color w:val="auto"/>
                      <w:highlight w:val="none"/>
                    </w:rPr>
                    <w:t>0.659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760" w:type="dxa"/>
                  <w:gridSpan w:val="2"/>
                  <w:vMerge w:val="continue"/>
                  <w:tcBorders>
                    <w:tl2br w:val="nil"/>
                    <w:tr2bl w:val="nil"/>
                  </w:tcBorders>
                  <w:vAlign w:val="center"/>
                </w:tcPr>
                <w:p>
                  <w:pPr>
                    <w:pStyle w:val="33"/>
                    <w:rPr>
                      <w:color w:val="auto"/>
                      <w:highlight w:val="none"/>
                    </w:rPr>
                  </w:pPr>
                </w:p>
              </w:tc>
              <w:tc>
                <w:tcPr>
                  <w:tcW w:w="1379" w:type="dxa"/>
                  <w:tcBorders>
                    <w:tl2br w:val="nil"/>
                    <w:tr2bl w:val="nil"/>
                  </w:tcBorders>
                  <w:vAlign w:val="center"/>
                </w:tcPr>
                <w:p>
                  <w:pPr>
                    <w:pStyle w:val="33"/>
                    <w:rPr>
                      <w:color w:val="auto"/>
                      <w:highlight w:val="none"/>
                    </w:rPr>
                  </w:pPr>
                  <w:r>
                    <w:rPr>
                      <w:color w:val="auto"/>
                      <w:highlight w:val="none"/>
                    </w:rPr>
                    <w:t>BOD</w:t>
                  </w:r>
                  <w:r>
                    <w:rPr>
                      <w:color w:val="auto"/>
                      <w:highlight w:val="none"/>
                      <w:vertAlign w:val="subscript"/>
                    </w:rPr>
                    <w:t>5</w:t>
                  </w:r>
                </w:p>
              </w:tc>
              <w:tc>
                <w:tcPr>
                  <w:tcW w:w="1379" w:type="dxa"/>
                  <w:tcBorders>
                    <w:tl2br w:val="nil"/>
                    <w:tr2bl w:val="nil"/>
                  </w:tcBorders>
                  <w:vAlign w:val="center"/>
                </w:tcPr>
                <w:p>
                  <w:pPr>
                    <w:jc w:val="center"/>
                    <w:rPr>
                      <w:rFonts w:ascii="Times New Roman" w:hAnsi="Times New Roman" w:cs="Times New Roman"/>
                      <w:color w:val="auto"/>
                      <w:highlight w:val="none"/>
                    </w:rPr>
                  </w:pPr>
                  <w:r>
                    <w:rPr>
                      <w:rFonts w:hint="eastAsia" w:ascii="Times New Roman" w:hAnsi="Times New Roman" w:cs="Times New Roman"/>
                      <w:color w:val="auto"/>
                      <w:highlight w:val="none"/>
                    </w:rPr>
                    <w:t>2</w:t>
                  </w:r>
                  <w:r>
                    <w:rPr>
                      <w:rFonts w:ascii="Times New Roman" w:hAnsi="Times New Roman" w:cs="Times New Roman"/>
                      <w:color w:val="auto"/>
                      <w:highlight w:val="none"/>
                    </w:rPr>
                    <w:t>0</w:t>
                  </w:r>
                </w:p>
              </w:tc>
              <w:tc>
                <w:tcPr>
                  <w:tcW w:w="1379" w:type="dxa"/>
                  <w:tcBorders>
                    <w:tl2br w:val="nil"/>
                    <w:tr2bl w:val="nil"/>
                  </w:tcBorders>
                  <w:vAlign w:val="center"/>
                </w:tcPr>
                <w:p>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0</w:t>
                  </w:r>
                  <w:r>
                    <w:rPr>
                      <w:rFonts w:ascii="Times New Roman" w:hAnsi="Times New Roman" w:eastAsia="宋体" w:cs="Times New Roman"/>
                      <w:color w:val="auto"/>
                      <w:highlight w:val="none"/>
                    </w:rPr>
                    <w:t>.026</w:t>
                  </w:r>
                </w:p>
              </w:tc>
              <w:tc>
                <w:tcPr>
                  <w:tcW w:w="1379" w:type="dxa"/>
                  <w:tcBorders>
                    <w:tl2br w:val="nil"/>
                    <w:tr2bl w:val="nil"/>
                  </w:tcBorders>
                  <w:vAlign w:val="center"/>
                </w:tcPr>
                <w:p>
                  <w:pPr>
                    <w:jc w:val="center"/>
                    <w:rPr>
                      <w:rFonts w:ascii="Times New Roman" w:hAnsi="Times New Roman" w:cs="Times New Roman"/>
                      <w:color w:val="auto"/>
                      <w:highlight w:val="none"/>
                    </w:rPr>
                  </w:pPr>
                  <w:r>
                    <w:rPr>
                      <w:rFonts w:hint="eastAsia" w:ascii="Times New Roman" w:hAnsi="Times New Roman" w:cs="Times New Roman"/>
                      <w:color w:val="auto"/>
                      <w:highlight w:val="none"/>
                    </w:rPr>
                    <w:t>7</w:t>
                  </w:r>
                  <w:r>
                    <w:rPr>
                      <w:rFonts w:ascii="Times New Roman" w:hAnsi="Times New Roman" w:cs="Times New Roman"/>
                      <w:color w:val="auto"/>
                      <w:highlight w:val="none"/>
                    </w:rPr>
                    <w:t>.665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760" w:type="dxa"/>
                  <w:gridSpan w:val="2"/>
                  <w:vMerge w:val="continue"/>
                  <w:tcBorders>
                    <w:tl2br w:val="nil"/>
                    <w:tr2bl w:val="nil"/>
                  </w:tcBorders>
                  <w:vAlign w:val="center"/>
                </w:tcPr>
                <w:p>
                  <w:pPr>
                    <w:pStyle w:val="33"/>
                    <w:rPr>
                      <w:color w:val="auto"/>
                      <w:highlight w:val="none"/>
                    </w:rPr>
                  </w:pPr>
                </w:p>
              </w:tc>
              <w:tc>
                <w:tcPr>
                  <w:tcW w:w="1379" w:type="dxa"/>
                  <w:tcBorders>
                    <w:tl2br w:val="nil"/>
                    <w:tr2bl w:val="nil"/>
                  </w:tcBorders>
                  <w:vAlign w:val="center"/>
                </w:tcPr>
                <w:p>
                  <w:pPr>
                    <w:pStyle w:val="33"/>
                    <w:rPr>
                      <w:color w:val="auto"/>
                      <w:highlight w:val="none"/>
                    </w:rPr>
                  </w:pPr>
                  <w:r>
                    <w:rPr>
                      <w:color w:val="auto"/>
                      <w:highlight w:val="none"/>
                    </w:rPr>
                    <w:t>SS</w:t>
                  </w:r>
                </w:p>
              </w:tc>
              <w:tc>
                <w:tcPr>
                  <w:tcW w:w="1379" w:type="dxa"/>
                  <w:tcBorders>
                    <w:tl2br w:val="nil"/>
                    <w:tr2bl w:val="nil"/>
                  </w:tcBorders>
                  <w:vAlign w:val="center"/>
                </w:tcPr>
                <w:p>
                  <w:pPr>
                    <w:jc w:val="center"/>
                    <w:rPr>
                      <w:rFonts w:ascii="Times New Roman" w:hAnsi="Times New Roman" w:cs="Times New Roman"/>
                      <w:color w:val="auto"/>
                      <w:highlight w:val="none"/>
                    </w:rPr>
                  </w:pPr>
                  <w:r>
                    <w:rPr>
                      <w:rFonts w:hint="eastAsia" w:ascii="Times New Roman" w:hAnsi="Times New Roman" w:cs="Times New Roman"/>
                      <w:color w:val="auto"/>
                      <w:highlight w:val="none"/>
                    </w:rPr>
                    <w:t>5</w:t>
                  </w:r>
                  <w:r>
                    <w:rPr>
                      <w:rFonts w:ascii="Times New Roman" w:hAnsi="Times New Roman" w:cs="Times New Roman"/>
                      <w:color w:val="auto"/>
                      <w:highlight w:val="none"/>
                    </w:rPr>
                    <w:t>0</w:t>
                  </w:r>
                </w:p>
              </w:tc>
              <w:tc>
                <w:tcPr>
                  <w:tcW w:w="1379" w:type="dxa"/>
                  <w:tcBorders>
                    <w:tl2br w:val="nil"/>
                    <w:tr2bl w:val="nil"/>
                  </w:tcBorders>
                  <w:vAlign w:val="center"/>
                </w:tcPr>
                <w:p>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0</w:t>
                  </w:r>
                  <w:r>
                    <w:rPr>
                      <w:rFonts w:ascii="Times New Roman" w:hAnsi="Times New Roman" w:eastAsia="宋体" w:cs="Times New Roman"/>
                      <w:color w:val="auto"/>
                      <w:highlight w:val="none"/>
                    </w:rPr>
                    <w:t>.064</w:t>
                  </w:r>
                </w:p>
              </w:tc>
              <w:tc>
                <w:tcPr>
                  <w:tcW w:w="1379" w:type="dxa"/>
                  <w:tcBorders>
                    <w:tl2br w:val="nil"/>
                    <w:tr2bl w:val="nil"/>
                  </w:tcBorders>
                  <w:vAlign w:val="center"/>
                </w:tcPr>
                <w:p>
                  <w:pPr>
                    <w:jc w:val="center"/>
                    <w:rPr>
                      <w:rFonts w:ascii="Times New Roman" w:hAnsi="Times New Roman" w:cs="Times New Roman"/>
                      <w:color w:val="auto"/>
                      <w:highlight w:val="none"/>
                    </w:rPr>
                  </w:pPr>
                  <w:r>
                    <w:rPr>
                      <w:rFonts w:hint="eastAsia" w:ascii="Times New Roman" w:hAnsi="Times New Roman" w:cs="Times New Roman"/>
                      <w:color w:val="auto"/>
                      <w:highlight w:val="none"/>
                    </w:rPr>
                    <w:t>1</w:t>
                  </w:r>
                  <w:r>
                    <w:rPr>
                      <w:rFonts w:ascii="Times New Roman" w:hAnsi="Times New Roman" w:cs="Times New Roman"/>
                      <w:color w:val="auto"/>
                      <w:highlight w:val="none"/>
                    </w:rPr>
                    <w:t>9.162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jc w:val="center"/>
              </w:trPr>
              <w:tc>
                <w:tcPr>
                  <w:tcW w:w="2760" w:type="dxa"/>
                  <w:gridSpan w:val="2"/>
                  <w:vMerge w:val="continue"/>
                  <w:tcBorders>
                    <w:tl2br w:val="nil"/>
                    <w:tr2bl w:val="nil"/>
                  </w:tcBorders>
                  <w:vAlign w:val="center"/>
                </w:tcPr>
                <w:p>
                  <w:pPr>
                    <w:pStyle w:val="33"/>
                    <w:rPr>
                      <w:color w:val="auto"/>
                      <w:highlight w:val="none"/>
                    </w:rPr>
                  </w:pPr>
                </w:p>
              </w:tc>
              <w:tc>
                <w:tcPr>
                  <w:tcW w:w="1379" w:type="dxa"/>
                  <w:tcBorders>
                    <w:tl2br w:val="nil"/>
                    <w:tr2bl w:val="nil"/>
                  </w:tcBorders>
                  <w:vAlign w:val="center"/>
                </w:tcPr>
                <w:p>
                  <w:pPr>
                    <w:pStyle w:val="33"/>
                    <w:rPr>
                      <w:color w:val="auto"/>
                      <w:highlight w:val="none"/>
                    </w:rPr>
                  </w:pPr>
                  <w:r>
                    <w:rPr>
                      <w:color w:val="auto"/>
                      <w:highlight w:val="none"/>
                    </w:rPr>
                    <w:t>NH</w:t>
                  </w:r>
                  <w:r>
                    <w:rPr>
                      <w:color w:val="auto"/>
                      <w:highlight w:val="none"/>
                      <w:vertAlign w:val="subscript"/>
                    </w:rPr>
                    <w:t>3</w:t>
                  </w:r>
                  <w:r>
                    <w:rPr>
                      <w:color w:val="auto"/>
                      <w:highlight w:val="none"/>
                    </w:rPr>
                    <w:t>-N</w:t>
                  </w:r>
                </w:p>
              </w:tc>
              <w:tc>
                <w:tcPr>
                  <w:tcW w:w="1379" w:type="dxa"/>
                  <w:tcBorders>
                    <w:tl2br w:val="nil"/>
                    <w:tr2bl w:val="nil"/>
                  </w:tcBorders>
                  <w:vAlign w:val="center"/>
                </w:tcPr>
                <w:p>
                  <w:pPr>
                    <w:jc w:val="center"/>
                    <w:rPr>
                      <w:rFonts w:ascii="Times New Roman" w:hAnsi="Times New Roman" w:cs="Times New Roman"/>
                      <w:color w:val="auto"/>
                      <w:highlight w:val="none"/>
                    </w:rPr>
                  </w:pPr>
                  <w:r>
                    <w:rPr>
                      <w:rFonts w:hint="eastAsia" w:ascii="Times New Roman" w:hAnsi="Times New Roman" w:cs="Times New Roman"/>
                      <w:color w:val="auto"/>
                      <w:highlight w:val="none"/>
                    </w:rPr>
                    <w:t>1</w:t>
                  </w:r>
                  <w:r>
                    <w:rPr>
                      <w:rFonts w:ascii="Times New Roman" w:hAnsi="Times New Roman" w:cs="Times New Roman"/>
                      <w:color w:val="auto"/>
                      <w:highlight w:val="none"/>
                    </w:rPr>
                    <w:t>0</w:t>
                  </w:r>
                </w:p>
              </w:tc>
              <w:tc>
                <w:tcPr>
                  <w:tcW w:w="1379" w:type="dxa"/>
                  <w:tcBorders>
                    <w:tl2br w:val="nil"/>
                    <w:tr2bl w:val="nil"/>
                  </w:tcBorders>
                  <w:vAlign w:val="center"/>
                </w:tcPr>
                <w:p>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0</w:t>
                  </w:r>
                  <w:r>
                    <w:rPr>
                      <w:rFonts w:ascii="Times New Roman" w:hAnsi="Times New Roman" w:eastAsia="宋体" w:cs="Times New Roman"/>
                      <w:color w:val="auto"/>
                      <w:highlight w:val="none"/>
                    </w:rPr>
                    <w:t>.013</w:t>
                  </w:r>
                </w:p>
              </w:tc>
              <w:tc>
                <w:tcPr>
                  <w:tcW w:w="1379" w:type="dxa"/>
                  <w:tcBorders>
                    <w:tl2br w:val="nil"/>
                    <w:tr2bl w:val="nil"/>
                  </w:tcBorders>
                  <w:vAlign w:val="center"/>
                </w:tcPr>
                <w:p>
                  <w:pPr>
                    <w:jc w:val="center"/>
                    <w:rPr>
                      <w:rFonts w:ascii="Times New Roman" w:hAnsi="Times New Roman" w:cs="Times New Roman"/>
                      <w:color w:val="auto"/>
                      <w:highlight w:val="none"/>
                    </w:rPr>
                  </w:pPr>
                  <w:r>
                    <w:rPr>
                      <w:rFonts w:hint="eastAsia" w:ascii="Times New Roman" w:hAnsi="Times New Roman" w:cs="Times New Roman"/>
                      <w:color w:val="auto"/>
                      <w:highlight w:val="none"/>
                    </w:rPr>
                    <w:t>3</w:t>
                  </w:r>
                  <w:r>
                    <w:rPr>
                      <w:rFonts w:ascii="Times New Roman" w:hAnsi="Times New Roman" w:cs="Times New Roman"/>
                      <w:color w:val="auto"/>
                      <w:highlight w:val="none"/>
                    </w:rPr>
                    <w:t>.832</w:t>
                  </w:r>
                </w:p>
              </w:tc>
            </w:tr>
          </w:tbl>
          <w:p>
            <w:pPr>
              <w:numPr>
                <w:ilvl w:val="0"/>
                <w:numId w:val="5"/>
              </w:numPr>
              <w:spacing w:line="360" w:lineRule="auto"/>
              <w:ind w:firstLine="482" w:firstLineChars="200"/>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大气环境影响分析</w:t>
            </w:r>
          </w:p>
          <w:p>
            <w:pPr>
              <w:spacing w:line="360" w:lineRule="auto"/>
              <w:ind w:firstLine="480" w:firstLineChars="200"/>
              <w:rPr>
                <w:rFonts w:ascii="Times New Roman" w:hAnsi="Times New Roman" w:cs="Times New Roman"/>
                <w:bCs/>
                <w:color w:val="auto"/>
                <w:sz w:val="24"/>
                <w:szCs w:val="21"/>
                <w:highlight w:val="none"/>
              </w:rPr>
            </w:pPr>
            <w:r>
              <w:rPr>
                <w:rFonts w:ascii="Times New Roman" w:hAnsi="Times New Roman" w:cs="Times New Roman"/>
                <w:color w:val="auto"/>
                <w:sz w:val="24"/>
                <w:highlight w:val="none"/>
              </w:rPr>
              <w:t>本项目产生的大气污染物主要为发泡、成型、烘干</w:t>
            </w:r>
            <w:r>
              <w:rPr>
                <w:rFonts w:ascii="Times New Roman" w:hAnsi="Times New Roman" w:cs="Times New Roman"/>
                <w:bCs/>
                <w:color w:val="auto"/>
                <w:sz w:val="24"/>
                <w:szCs w:val="21"/>
                <w:highlight w:val="none"/>
              </w:rPr>
              <w:t>工序产生的非甲烷总烃；</w:t>
            </w:r>
            <w:r>
              <w:rPr>
                <w:rFonts w:ascii="Times New Roman" w:hAnsi="Times New Roman" w:cs="Times New Roman"/>
                <w:bCs/>
                <w:color w:val="auto"/>
                <w:sz w:val="24"/>
                <w:highlight w:val="none"/>
              </w:rPr>
              <w:t>食堂油烟废气</w:t>
            </w:r>
            <w:r>
              <w:rPr>
                <w:rFonts w:ascii="Times New Roman" w:hAnsi="Times New Roman" w:cs="Times New Roman"/>
                <w:bCs/>
                <w:color w:val="auto"/>
                <w:sz w:val="24"/>
                <w:szCs w:val="21"/>
                <w:highlight w:val="none"/>
              </w:rPr>
              <w:t>。</w:t>
            </w:r>
          </w:p>
          <w:p>
            <w:pPr>
              <w:spacing w:line="360" w:lineRule="auto"/>
              <w:ind w:firstLine="482" w:firstLineChars="200"/>
              <w:rPr>
                <w:rFonts w:ascii="Times New Roman" w:hAnsi="Times New Roman" w:cs="Times New Roman"/>
                <w:b/>
                <w:bCs/>
                <w:color w:val="auto"/>
                <w:sz w:val="24"/>
                <w:szCs w:val="21"/>
                <w:highlight w:val="none"/>
              </w:rPr>
            </w:pPr>
            <w:r>
              <w:rPr>
                <w:rFonts w:ascii="Times New Roman" w:hAnsi="Times New Roman" w:cs="Times New Roman"/>
                <w:b/>
                <w:bCs/>
                <w:color w:val="auto"/>
                <w:sz w:val="24"/>
                <w:szCs w:val="21"/>
                <w:highlight w:val="none"/>
              </w:rPr>
              <w:t>（1）</w:t>
            </w:r>
            <w:r>
              <w:rPr>
                <w:rFonts w:ascii="Times New Roman" w:hAnsi="Times New Roman" w:cs="Times New Roman"/>
                <w:b/>
                <w:bCs/>
                <w:color w:val="auto"/>
                <w:sz w:val="24"/>
                <w:szCs w:val="21"/>
                <w:highlight w:val="none"/>
              </w:rPr>
              <w:tab/>
            </w:r>
            <w:r>
              <w:rPr>
                <w:rFonts w:ascii="Times New Roman" w:hAnsi="Times New Roman" w:cs="Times New Roman"/>
                <w:b/>
                <w:bCs/>
                <w:color w:val="auto"/>
                <w:sz w:val="24"/>
                <w:szCs w:val="21"/>
                <w:highlight w:val="none"/>
              </w:rPr>
              <w:t>废气防治措施</w:t>
            </w:r>
          </w:p>
          <w:p>
            <w:pPr>
              <w:spacing w:line="360" w:lineRule="auto"/>
              <w:ind w:firstLine="480" w:firstLineChars="200"/>
              <w:rPr>
                <w:rFonts w:ascii="Times New Roman" w:hAnsi="Times New Roman" w:eastAsia="宋体" w:cs="Times New Roman"/>
                <w:color w:val="auto"/>
                <w:sz w:val="24"/>
                <w:highlight w:val="none"/>
              </w:rPr>
            </w:pPr>
            <w:r>
              <w:rPr>
                <w:rFonts w:hint="eastAsia" w:ascii="Times New Roman" w:hAnsi="Times New Roman" w:eastAsia="宋体" w:cs="Times New Roman"/>
                <w:bCs/>
                <w:color w:val="auto"/>
                <w:sz w:val="24"/>
                <w:highlight w:val="none"/>
              </w:rPr>
              <w:t>根据工程分析发泡工序产生的非甲烷总烃为</w:t>
            </w:r>
            <w:r>
              <w:rPr>
                <w:rFonts w:ascii="Times New Roman" w:hAnsi="Times New Roman" w:eastAsia="宋体" w:cs="Times New Roman"/>
                <w:bCs/>
                <w:color w:val="auto"/>
                <w:sz w:val="24"/>
                <w:highlight w:val="none"/>
              </w:rPr>
              <w:t>0.42</w:t>
            </w:r>
            <w:r>
              <w:rPr>
                <w:rFonts w:hint="eastAsia" w:ascii="Times New Roman" w:hAnsi="Times New Roman" w:eastAsia="宋体" w:cs="Times New Roman"/>
                <w:bCs/>
                <w:color w:val="auto"/>
                <w:sz w:val="24"/>
                <w:highlight w:val="none"/>
              </w:rPr>
              <w:t>t/a，该工序1小时最大非甲烷总烃产生量为</w:t>
            </w:r>
            <w:r>
              <w:rPr>
                <w:rFonts w:ascii="Times New Roman" w:hAnsi="Times New Roman" w:eastAsia="宋体" w:cs="Times New Roman"/>
                <w:bCs/>
                <w:color w:val="auto"/>
                <w:sz w:val="24"/>
                <w:highlight w:val="none"/>
              </w:rPr>
              <w:t>0.35</w:t>
            </w:r>
            <w:r>
              <w:rPr>
                <w:rFonts w:hint="eastAsia" w:ascii="Times New Roman" w:hAnsi="Times New Roman" w:eastAsia="宋体" w:cs="Times New Roman"/>
                <w:bCs/>
                <w:color w:val="auto"/>
                <w:sz w:val="24"/>
                <w:highlight w:val="none"/>
              </w:rPr>
              <w:t>kg/h；成型工序产生的非甲烷总烃为</w:t>
            </w:r>
            <w:r>
              <w:rPr>
                <w:rFonts w:ascii="Times New Roman" w:hAnsi="Times New Roman" w:eastAsia="宋体" w:cs="Times New Roman"/>
                <w:bCs/>
                <w:color w:val="auto"/>
                <w:sz w:val="24"/>
                <w:highlight w:val="none"/>
              </w:rPr>
              <w:t>2.268</w:t>
            </w:r>
            <w:r>
              <w:rPr>
                <w:rFonts w:hint="eastAsia" w:ascii="Times New Roman" w:hAnsi="Times New Roman" w:eastAsia="宋体" w:cs="Times New Roman"/>
                <w:bCs/>
                <w:color w:val="auto"/>
                <w:sz w:val="24"/>
                <w:highlight w:val="none"/>
              </w:rPr>
              <w:t>t/a，该工序1小时最大非甲烷总烃产生量为</w:t>
            </w:r>
            <w:r>
              <w:rPr>
                <w:rFonts w:ascii="Times New Roman" w:hAnsi="Times New Roman" w:eastAsia="宋体" w:cs="Times New Roman"/>
                <w:bCs/>
                <w:color w:val="auto"/>
                <w:sz w:val="24"/>
                <w:highlight w:val="none"/>
              </w:rPr>
              <w:t>0.945</w:t>
            </w:r>
            <w:r>
              <w:rPr>
                <w:rFonts w:hint="eastAsia" w:ascii="Times New Roman" w:hAnsi="Times New Roman" w:eastAsia="宋体" w:cs="Times New Roman"/>
                <w:bCs/>
                <w:color w:val="auto"/>
                <w:sz w:val="24"/>
                <w:highlight w:val="none"/>
              </w:rPr>
              <w:t>g/h。</w:t>
            </w:r>
            <w:r>
              <w:rPr>
                <w:rFonts w:hint="eastAsia" w:ascii="Times New Roman" w:hAnsi="Times New Roman" w:eastAsia="宋体" w:cs="Times New Roman"/>
                <w:color w:val="auto"/>
                <w:sz w:val="24"/>
                <w:highlight w:val="none"/>
              </w:rPr>
              <w:t>故本项目</w:t>
            </w:r>
            <w:r>
              <w:rPr>
                <w:rFonts w:ascii="Times New Roman" w:hAnsi="Times New Roman" w:eastAsia="宋体" w:cs="Times New Roman"/>
                <w:color w:val="auto"/>
                <w:sz w:val="24"/>
                <w:highlight w:val="none"/>
              </w:rPr>
              <w:t xml:space="preserve"> EPS 生产过程中产生的非甲烷</w:t>
            </w:r>
            <w:r>
              <w:rPr>
                <w:rFonts w:hint="eastAsia" w:ascii="Times New Roman" w:hAnsi="Times New Roman" w:eastAsia="宋体" w:cs="Times New Roman"/>
                <w:color w:val="auto"/>
                <w:sz w:val="24"/>
                <w:highlight w:val="none"/>
              </w:rPr>
              <w:t>总烃量共为</w:t>
            </w:r>
            <w:r>
              <w:rPr>
                <w:rFonts w:ascii="Times New Roman" w:hAnsi="Times New Roman" w:eastAsia="宋体" w:cs="Times New Roman"/>
                <w:color w:val="auto"/>
                <w:sz w:val="24"/>
                <w:highlight w:val="none"/>
              </w:rPr>
              <w:t>2.688t/a</w:t>
            </w:r>
            <w:r>
              <w:rPr>
                <w:rFonts w:hint="eastAsia" w:ascii="Times New Roman" w:hAnsi="Times New Roman" w:eastAsia="宋体" w:cs="Times New Roman"/>
                <w:color w:val="auto"/>
                <w:sz w:val="24"/>
                <w:highlight w:val="none"/>
              </w:rPr>
              <w:t>，</w:t>
            </w:r>
            <w:r>
              <w:rPr>
                <w:rFonts w:ascii="Times New Roman" w:hAnsi="Times New Roman" w:eastAsia="宋体" w:cs="Times New Roman"/>
                <w:color w:val="auto"/>
                <w:sz w:val="24"/>
                <w:highlight w:val="none"/>
              </w:rPr>
              <w:t>1kg产品产生的非甲烷总烃</w:t>
            </w:r>
            <w:r>
              <w:rPr>
                <w:rFonts w:hint="eastAsia" w:ascii="Times New Roman" w:hAnsi="Times New Roman" w:eastAsia="宋体" w:cs="Times New Roman"/>
                <w:color w:val="auto"/>
                <w:sz w:val="24"/>
                <w:highlight w:val="none"/>
              </w:rPr>
              <w:t>产生</w:t>
            </w:r>
            <w:r>
              <w:rPr>
                <w:rFonts w:ascii="Times New Roman" w:hAnsi="Times New Roman" w:eastAsia="宋体" w:cs="Times New Roman"/>
                <w:color w:val="auto"/>
                <w:sz w:val="24"/>
                <w:highlight w:val="none"/>
              </w:rPr>
              <w:t>量为0.0067</w:t>
            </w:r>
            <w:r>
              <w:rPr>
                <w:rFonts w:hint="eastAsia" w:ascii="Times New Roman" w:hAnsi="Times New Roman" w:eastAsia="宋体" w:cs="Times New Roman"/>
                <w:color w:val="auto"/>
                <w:sz w:val="24"/>
                <w:highlight w:val="none"/>
              </w:rPr>
              <w:t>kg。</w:t>
            </w:r>
          </w:p>
          <w:p>
            <w:pPr>
              <w:spacing w:line="360" w:lineRule="auto"/>
              <w:ind w:firstLine="480" w:firstLineChars="200"/>
              <w:rPr>
                <w:rFonts w:ascii="Times New Roman" w:hAnsi="Times New Roman" w:cs="Times New Roman"/>
                <w:bCs/>
                <w:color w:val="auto"/>
                <w:sz w:val="24"/>
                <w:highlight w:val="none"/>
              </w:rPr>
            </w:pPr>
            <w:r>
              <w:rPr>
                <w:rFonts w:ascii="Times New Roman" w:hAnsi="Times New Roman" w:cs="Times New Roman"/>
                <w:color w:val="auto"/>
                <w:kern w:val="0"/>
                <w:sz w:val="24"/>
                <w:highlight w:val="none"/>
              </w:rPr>
              <w:t>针对发泡</w:t>
            </w:r>
            <w:r>
              <w:rPr>
                <w:rFonts w:hint="eastAsia" w:ascii="Times New Roman" w:hAnsi="Times New Roman" w:cs="Times New Roman"/>
                <w:color w:val="auto"/>
                <w:kern w:val="0"/>
                <w:sz w:val="24"/>
                <w:highlight w:val="none"/>
              </w:rPr>
              <w:t>、成型</w:t>
            </w:r>
            <w:r>
              <w:rPr>
                <w:rFonts w:ascii="Times New Roman" w:hAnsi="Times New Roman" w:cs="Times New Roman"/>
                <w:bCs/>
                <w:color w:val="auto"/>
                <w:sz w:val="24"/>
                <w:szCs w:val="21"/>
                <w:highlight w:val="none"/>
              </w:rPr>
              <w:t>工序产生的非甲烷总烃，建议</w:t>
            </w:r>
            <w:r>
              <w:rPr>
                <w:rFonts w:ascii="Times New Roman" w:hAnsi="Times New Roman" w:cs="Times New Roman"/>
                <w:color w:val="auto"/>
                <w:kern w:val="18"/>
                <w:sz w:val="24"/>
                <w:highlight w:val="none"/>
              </w:rPr>
              <w:t>建设单位设置集气罩对废气进行收集，</w:t>
            </w:r>
            <w:r>
              <w:rPr>
                <w:rFonts w:ascii="Times New Roman" w:hAnsi="Times New Roman" w:cs="Times New Roman"/>
                <w:bCs/>
                <w:color w:val="auto"/>
                <w:sz w:val="24"/>
                <w:highlight w:val="none"/>
              </w:rPr>
              <w:t>废气收集效率按85%计。设备产生的废气经集气罩收集后共同引入</w:t>
            </w:r>
            <w:r>
              <w:rPr>
                <w:rFonts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rPr>
              <w:t>水雾分离器+</w:t>
            </w:r>
            <w:r>
              <w:rPr>
                <w:rFonts w:ascii="Times New Roman" w:hAnsi="Times New Roman" w:eastAsia="宋体" w:cs="Times New Roman"/>
                <w:color w:val="auto"/>
                <w:sz w:val="24"/>
                <w:highlight w:val="none"/>
              </w:rPr>
              <w:t>UV光解+活性炭吸附”</w:t>
            </w:r>
            <w:r>
              <w:rPr>
                <w:rFonts w:ascii="Times New Roman" w:hAnsi="Times New Roman" w:cs="Times New Roman"/>
                <w:bCs/>
                <w:color w:val="auto"/>
                <w:sz w:val="24"/>
                <w:highlight w:val="none"/>
              </w:rPr>
              <w:t>进行净化处理，处理效率约80%，处理达标后经15m高排气筒（G1）高空排放。</w:t>
            </w:r>
            <w:r>
              <w:rPr>
                <w:rFonts w:hint="eastAsia" w:ascii="Times New Roman" w:hAnsi="Times New Roman" w:cs="Times New Roman"/>
                <w:bCs/>
                <w:color w:val="auto"/>
                <w:sz w:val="24"/>
                <w:highlight w:val="none"/>
              </w:rPr>
              <w:t>则本项目发泡工序有组织排放的非甲烷总烃为</w:t>
            </w:r>
            <w:r>
              <w:rPr>
                <w:rFonts w:ascii="Times New Roman" w:hAnsi="Times New Roman" w:cs="Times New Roman"/>
                <w:bCs/>
                <w:color w:val="auto"/>
                <w:sz w:val="24"/>
                <w:highlight w:val="none"/>
              </w:rPr>
              <w:t>0.0714</w:t>
            </w:r>
            <w:r>
              <w:rPr>
                <w:rFonts w:hint="eastAsia" w:ascii="Times New Roman" w:hAnsi="Times New Roman" w:cs="Times New Roman"/>
                <w:bCs/>
                <w:color w:val="auto"/>
                <w:sz w:val="24"/>
                <w:highlight w:val="none"/>
              </w:rPr>
              <w:t>/a，排放速率为0.</w:t>
            </w:r>
            <w:r>
              <w:rPr>
                <w:rFonts w:ascii="Times New Roman" w:hAnsi="Times New Roman" w:cs="Times New Roman"/>
                <w:bCs/>
                <w:color w:val="auto"/>
                <w:sz w:val="24"/>
                <w:highlight w:val="none"/>
              </w:rPr>
              <w:t>0595</w:t>
            </w:r>
            <w:r>
              <w:rPr>
                <w:rFonts w:hint="eastAsia" w:ascii="Times New Roman" w:hAnsi="Times New Roman" w:cs="Times New Roman"/>
                <w:bCs/>
                <w:color w:val="auto"/>
                <w:sz w:val="24"/>
                <w:highlight w:val="none"/>
              </w:rPr>
              <w:t>kg/h，排放浓度为</w:t>
            </w:r>
            <w:r>
              <w:rPr>
                <w:rFonts w:ascii="Times New Roman" w:hAnsi="Times New Roman" w:cs="Times New Roman"/>
                <w:bCs/>
                <w:color w:val="auto"/>
                <w:sz w:val="24"/>
                <w:highlight w:val="none"/>
              </w:rPr>
              <w:t>4.5769</w:t>
            </w:r>
            <w:r>
              <w:rPr>
                <w:rFonts w:hint="eastAsia" w:ascii="Times New Roman" w:hAnsi="Times New Roman" w:cs="Times New Roman"/>
                <w:bCs/>
                <w:color w:val="auto"/>
                <w:sz w:val="24"/>
                <w:highlight w:val="none"/>
              </w:rPr>
              <w:t>mg/m</w:t>
            </w:r>
            <w:r>
              <w:rPr>
                <w:rFonts w:hint="eastAsia" w:ascii="Times New Roman" w:hAnsi="Times New Roman" w:cs="Times New Roman"/>
                <w:bCs/>
                <w:color w:val="auto"/>
                <w:sz w:val="24"/>
                <w:highlight w:val="none"/>
                <w:vertAlign w:val="superscript"/>
              </w:rPr>
              <w:t>3</w:t>
            </w:r>
            <w:r>
              <w:rPr>
                <w:rFonts w:hint="eastAsia" w:ascii="Times New Roman" w:hAnsi="Times New Roman" w:cs="Times New Roman"/>
                <w:bCs/>
                <w:color w:val="auto"/>
                <w:sz w:val="24"/>
                <w:highlight w:val="none"/>
              </w:rPr>
              <w:t>；无组织排放为0.</w:t>
            </w:r>
            <w:r>
              <w:rPr>
                <w:rFonts w:ascii="Times New Roman" w:hAnsi="Times New Roman" w:cs="Times New Roman"/>
                <w:bCs/>
                <w:color w:val="auto"/>
                <w:sz w:val="24"/>
                <w:highlight w:val="none"/>
              </w:rPr>
              <w:t>063</w:t>
            </w:r>
            <w:r>
              <w:rPr>
                <w:rFonts w:hint="eastAsia" w:ascii="Times New Roman" w:hAnsi="Times New Roman" w:cs="Times New Roman"/>
                <w:bCs/>
                <w:color w:val="auto"/>
                <w:sz w:val="24"/>
                <w:highlight w:val="none"/>
              </w:rPr>
              <w:t>t/a，排放速率为0.</w:t>
            </w:r>
            <w:r>
              <w:rPr>
                <w:rFonts w:ascii="Times New Roman" w:hAnsi="Times New Roman" w:cs="Times New Roman"/>
                <w:bCs/>
                <w:color w:val="auto"/>
                <w:sz w:val="24"/>
                <w:highlight w:val="none"/>
              </w:rPr>
              <w:t>0525</w:t>
            </w:r>
            <w:r>
              <w:rPr>
                <w:rFonts w:hint="eastAsia" w:ascii="Times New Roman" w:hAnsi="Times New Roman" w:cs="Times New Roman"/>
                <w:bCs/>
                <w:color w:val="auto"/>
                <w:sz w:val="24"/>
                <w:highlight w:val="none"/>
              </w:rPr>
              <w:t>kg/h</w:t>
            </w:r>
            <w:r>
              <w:rPr>
                <w:rFonts w:hint="eastAsia" w:ascii="Times New Roman" w:hAnsi="Times New Roman" w:eastAsia="宋体" w:cs="Times New Roman"/>
                <w:bCs/>
                <w:color w:val="auto"/>
                <w:sz w:val="24"/>
                <w:highlight w:val="none"/>
              </w:rPr>
              <w:t>；成型工序</w:t>
            </w:r>
            <w:r>
              <w:rPr>
                <w:rFonts w:hint="eastAsia" w:ascii="Times New Roman" w:hAnsi="Times New Roman" w:cs="Times New Roman"/>
                <w:bCs/>
                <w:color w:val="auto"/>
                <w:sz w:val="24"/>
                <w:highlight w:val="none"/>
              </w:rPr>
              <w:t>有组织排放的非甲烷总烃为</w:t>
            </w:r>
            <w:r>
              <w:rPr>
                <w:rFonts w:ascii="Times New Roman" w:hAnsi="Times New Roman" w:cs="Times New Roman"/>
                <w:bCs/>
                <w:color w:val="auto"/>
                <w:sz w:val="24"/>
                <w:highlight w:val="none"/>
              </w:rPr>
              <w:t>0.3856</w:t>
            </w:r>
            <w:r>
              <w:rPr>
                <w:rFonts w:hint="eastAsia" w:ascii="Times New Roman" w:hAnsi="Times New Roman" w:cs="Times New Roman"/>
                <w:bCs/>
                <w:color w:val="auto"/>
                <w:sz w:val="24"/>
                <w:highlight w:val="none"/>
              </w:rPr>
              <w:t>/a，排放速率为0.</w:t>
            </w:r>
            <w:r>
              <w:rPr>
                <w:rFonts w:ascii="Times New Roman" w:hAnsi="Times New Roman" w:cs="Times New Roman"/>
                <w:bCs/>
                <w:color w:val="auto"/>
                <w:sz w:val="24"/>
                <w:highlight w:val="none"/>
              </w:rPr>
              <w:t>1607</w:t>
            </w:r>
            <w:r>
              <w:rPr>
                <w:rFonts w:hint="eastAsia" w:ascii="Times New Roman" w:hAnsi="Times New Roman" w:cs="Times New Roman"/>
                <w:bCs/>
                <w:color w:val="auto"/>
                <w:sz w:val="24"/>
                <w:highlight w:val="none"/>
              </w:rPr>
              <w:t>kg/h，排放浓度为</w:t>
            </w:r>
            <w:r>
              <w:rPr>
                <w:rFonts w:ascii="Times New Roman" w:hAnsi="Times New Roman" w:cs="Times New Roman"/>
                <w:bCs/>
                <w:color w:val="auto"/>
                <w:sz w:val="24"/>
                <w:highlight w:val="none"/>
              </w:rPr>
              <w:t>12.3577</w:t>
            </w:r>
            <w:r>
              <w:rPr>
                <w:rFonts w:hint="eastAsia" w:ascii="Times New Roman" w:hAnsi="Times New Roman" w:cs="Times New Roman"/>
                <w:bCs/>
                <w:color w:val="auto"/>
                <w:sz w:val="24"/>
                <w:highlight w:val="none"/>
              </w:rPr>
              <w:t>mg/m</w:t>
            </w:r>
            <w:r>
              <w:rPr>
                <w:rFonts w:hint="eastAsia" w:ascii="Times New Roman" w:hAnsi="Times New Roman" w:cs="Times New Roman"/>
                <w:bCs/>
                <w:color w:val="auto"/>
                <w:sz w:val="24"/>
                <w:highlight w:val="none"/>
                <w:vertAlign w:val="superscript"/>
              </w:rPr>
              <w:t>3</w:t>
            </w:r>
            <w:r>
              <w:rPr>
                <w:rFonts w:hint="eastAsia" w:ascii="Times New Roman" w:hAnsi="Times New Roman" w:cs="Times New Roman"/>
                <w:bCs/>
                <w:color w:val="auto"/>
                <w:sz w:val="24"/>
                <w:highlight w:val="none"/>
              </w:rPr>
              <w:t>；无组织排放为0.</w:t>
            </w:r>
            <w:r>
              <w:rPr>
                <w:rFonts w:ascii="Times New Roman" w:hAnsi="Times New Roman" w:cs="Times New Roman"/>
                <w:bCs/>
                <w:color w:val="auto"/>
                <w:sz w:val="24"/>
                <w:highlight w:val="none"/>
              </w:rPr>
              <w:t>3402</w:t>
            </w:r>
            <w:r>
              <w:rPr>
                <w:rFonts w:hint="eastAsia" w:ascii="Times New Roman" w:hAnsi="Times New Roman" w:cs="Times New Roman"/>
                <w:bCs/>
                <w:color w:val="auto"/>
                <w:sz w:val="24"/>
                <w:highlight w:val="none"/>
              </w:rPr>
              <w:t>/a，排放速率为0.</w:t>
            </w:r>
            <w:r>
              <w:rPr>
                <w:rFonts w:ascii="Times New Roman" w:hAnsi="Times New Roman" w:cs="Times New Roman"/>
                <w:bCs/>
                <w:color w:val="auto"/>
                <w:sz w:val="24"/>
                <w:highlight w:val="none"/>
              </w:rPr>
              <w:t>1418</w:t>
            </w:r>
            <w:r>
              <w:rPr>
                <w:rFonts w:hint="eastAsia" w:ascii="Times New Roman" w:hAnsi="Times New Roman" w:cs="Times New Roman"/>
                <w:bCs/>
                <w:color w:val="auto"/>
                <w:sz w:val="24"/>
                <w:highlight w:val="none"/>
              </w:rPr>
              <w:t>kg/h。</w:t>
            </w:r>
            <w:r>
              <w:rPr>
                <w:rFonts w:ascii="Times New Roman" w:hAnsi="Times New Roman" w:eastAsia="宋体" w:cs="Times New Roman"/>
                <w:color w:val="auto"/>
                <w:sz w:val="24"/>
                <w:highlight w:val="none"/>
              </w:rPr>
              <w:t>1kg产品产生的非甲烷总烃</w:t>
            </w:r>
            <w:r>
              <w:rPr>
                <w:rFonts w:hint="eastAsia" w:ascii="Times New Roman" w:hAnsi="Times New Roman" w:eastAsia="宋体" w:cs="Times New Roman"/>
                <w:color w:val="auto"/>
                <w:sz w:val="24"/>
                <w:highlight w:val="none"/>
              </w:rPr>
              <w:t>排放</w:t>
            </w:r>
            <w:r>
              <w:rPr>
                <w:rFonts w:ascii="Times New Roman" w:hAnsi="Times New Roman" w:eastAsia="宋体" w:cs="Times New Roman"/>
                <w:color w:val="auto"/>
                <w:sz w:val="24"/>
                <w:highlight w:val="none"/>
              </w:rPr>
              <w:t>量</w:t>
            </w:r>
            <w:r>
              <w:rPr>
                <w:rFonts w:hint="eastAsia" w:ascii="Times New Roman" w:hAnsi="Times New Roman" w:eastAsia="宋体" w:cs="Times New Roman"/>
                <w:color w:val="auto"/>
                <w:sz w:val="24"/>
                <w:highlight w:val="none"/>
              </w:rPr>
              <w:t>约</w:t>
            </w:r>
            <w:r>
              <w:rPr>
                <w:rFonts w:ascii="Times New Roman" w:hAnsi="Times New Roman" w:eastAsia="宋体" w:cs="Times New Roman"/>
                <w:color w:val="auto"/>
                <w:sz w:val="24"/>
                <w:highlight w:val="none"/>
              </w:rPr>
              <w:t>为0.0022</w:t>
            </w:r>
            <w:r>
              <w:rPr>
                <w:rFonts w:hint="eastAsia" w:ascii="Times New Roman" w:hAnsi="Times New Roman" w:eastAsia="宋体" w:cs="Times New Roman"/>
                <w:color w:val="auto"/>
                <w:sz w:val="24"/>
                <w:highlight w:val="none"/>
              </w:rPr>
              <w:t>kg。</w:t>
            </w:r>
          </w:p>
          <w:p>
            <w:pPr>
              <w:spacing w:line="360" w:lineRule="auto"/>
              <w:ind w:firstLine="480" w:firstLineChars="200"/>
              <w:rPr>
                <w:rFonts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综上，</w:t>
            </w:r>
            <w:r>
              <w:rPr>
                <w:rFonts w:ascii="Times New Roman" w:hAnsi="Times New Roman" w:eastAsia="宋体" w:cs="Times New Roman"/>
                <w:color w:val="auto"/>
                <w:sz w:val="24"/>
                <w:highlight w:val="none"/>
              </w:rPr>
              <w:t>有组织排放的非甲烷总烃</w:t>
            </w:r>
            <w:r>
              <w:rPr>
                <w:rFonts w:hint="eastAsia" w:ascii="Times New Roman" w:hAnsi="Times New Roman" w:eastAsia="宋体" w:cs="Times New Roman"/>
                <w:color w:val="auto"/>
                <w:sz w:val="24"/>
                <w:highlight w:val="none"/>
              </w:rPr>
              <w:t>满足</w:t>
            </w:r>
            <w:r>
              <w:rPr>
                <w:rFonts w:ascii="Times New Roman" w:hAnsi="Times New Roman" w:eastAsia="宋体" w:cs="Times New Roman"/>
                <w:color w:val="auto"/>
                <w:sz w:val="24"/>
                <w:highlight w:val="none"/>
              </w:rPr>
              <w:t>《合成树脂工业污染物排放标准》（GB31572-2015）“表</w:t>
            </w:r>
            <w:r>
              <w:rPr>
                <w:rFonts w:hint="eastAsia" w:ascii="Times New Roman" w:hAnsi="Times New Roman" w:eastAsia="宋体" w:cs="Times New Roman"/>
                <w:color w:val="auto"/>
                <w:sz w:val="24"/>
                <w:highlight w:val="none"/>
              </w:rPr>
              <w:t>4</w:t>
            </w:r>
            <w:r>
              <w:rPr>
                <w:rFonts w:ascii="Times New Roman" w:hAnsi="Times New Roman" w:eastAsia="宋体" w:cs="Times New Roman"/>
                <w:color w:val="auto"/>
                <w:sz w:val="24"/>
                <w:highlight w:val="none"/>
              </w:rPr>
              <w:t>大气污染物排放限值”，非甲烷总烃</w:t>
            </w:r>
            <w:r>
              <w:rPr>
                <w:rFonts w:ascii="Times New Roman" w:hAnsi="Times New Roman" w:eastAsia="宋体" w:cs="Times New Roman"/>
                <w:bCs/>
                <w:color w:val="auto"/>
                <w:sz w:val="24"/>
                <w:highlight w:val="none"/>
              </w:rPr>
              <w:t>≤100</w:t>
            </w:r>
            <w:r>
              <w:rPr>
                <w:rFonts w:ascii="Times New Roman" w:hAnsi="Times New Roman" w:eastAsia="宋体" w:cs="Times New Roman"/>
                <w:color w:val="auto"/>
                <w:sz w:val="24"/>
                <w:highlight w:val="none"/>
              </w:rPr>
              <w:t>mg/m³； 无组织排放的非甲烷总烃</w:t>
            </w:r>
            <w:r>
              <w:rPr>
                <w:rFonts w:hint="eastAsia" w:ascii="Times New Roman" w:hAnsi="Times New Roman" w:eastAsia="宋体" w:cs="Times New Roman"/>
                <w:color w:val="auto"/>
                <w:sz w:val="24"/>
                <w:highlight w:val="none"/>
              </w:rPr>
              <w:t>满足</w:t>
            </w:r>
            <w:r>
              <w:rPr>
                <w:rFonts w:ascii="Times New Roman" w:hAnsi="Times New Roman" w:eastAsia="宋体" w:cs="Times New Roman"/>
                <w:color w:val="auto"/>
                <w:sz w:val="24"/>
                <w:highlight w:val="none"/>
              </w:rPr>
              <w:t>《合成树脂工业污染物排放标准》（GB31572-2015）“表9企业边界大气污染物浓度限值”，非甲烷总烃</w:t>
            </w:r>
            <w:r>
              <w:rPr>
                <w:rFonts w:ascii="Times New Roman" w:hAnsi="Times New Roman" w:eastAsia="宋体" w:cs="Times New Roman"/>
                <w:bCs/>
                <w:color w:val="auto"/>
                <w:sz w:val="24"/>
                <w:highlight w:val="none"/>
              </w:rPr>
              <w:t>≤</w:t>
            </w:r>
            <w:r>
              <w:rPr>
                <w:rFonts w:ascii="Times New Roman" w:hAnsi="Times New Roman" w:eastAsia="宋体" w:cs="Times New Roman"/>
                <w:color w:val="auto"/>
                <w:sz w:val="24"/>
                <w:highlight w:val="none"/>
              </w:rPr>
              <w:t>4.0mg/m³；</w:t>
            </w:r>
            <w:r>
              <w:rPr>
                <w:rFonts w:hint="eastAsia" w:ascii="Times New Roman" w:hAnsi="Times New Roman" w:eastAsia="宋体" w:cs="Times New Roman"/>
                <w:color w:val="auto"/>
                <w:sz w:val="24"/>
                <w:highlight w:val="none"/>
              </w:rPr>
              <w:t>单位产品排放量满足《合成树脂工业污染物排放标准》（GB31572-2015）表4单位产品非甲烷总烃排放量</w:t>
            </w:r>
            <w:r>
              <w:rPr>
                <w:rFonts w:hint="eastAsia" w:ascii="Times New Roman" w:hAnsi="Times New Roman" w:cs="Times New Roman"/>
                <w:bCs/>
                <w:color w:val="auto"/>
                <w:sz w:val="24"/>
                <w:highlight w:val="none"/>
              </w:rPr>
              <w:t>，</w:t>
            </w:r>
            <w:r>
              <w:rPr>
                <w:rFonts w:hint="eastAsia" w:ascii="Times New Roman" w:hAnsi="Times New Roman" w:eastAsia="宋体" w:cs="Times New Roman"/>
                <w:color w:val="auto"/>
                <w:sz w:val="24"/>
                <w:highlight w:val="none"/>
              </w:rPr>
              <w:t>对环境影响不大。</w:t>
            </w:r>
          </w:p>
          <w:p>
            <w:pPr>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cs="Times New Roman"/>
                <w:bCs/>
                <w:color w:val="auto"/>
                <w:sz w:val="24"/>
                <w:highlight w:val="none"/>
              </w:rPr>
              <w:t>针对食堂油烟废气</w:t>
            </w:r>
            <w:r>
              <w:rPr>
                <w:rFonts w:ascii="Times New Roman" w:hAnsi="Times New Roman" w:cs="Times New Roman"/>
                <w:b/>
                <w:color w:val="auto"/>
                <w:sz w:val="24"/>
                <w:highlight w:val="none"/>
              </w:rPr>
              <w:t>，</w:t>
            </w:r>
            <w:r>
              <w:rPr>
                <w:rFonts w:ascii="Times New Roman" w:hAnsi="Times New Roman" w:cs="Times New Roman"/>
                <w:bCs/>
                <w:color w:val="auto"/>
                <w:sz w:val="24"/>
                <w:szCs w:val="21"/>
                <w:highlight w:val="none"/>
              </w:rPr>
              <w:t>建议</w:t>
            </w:r>
            <w:r>
              <w:rPr>
                <w:rFonts w:ascii="Times New Roman" w:hAnsi="Times New Roman" w:cs="Times New Roman"/>
                <w:color w:val="auto"/>
                <w:kern w:val="18"/>
                <w:sz w:val="24"/>
                <w:highlight w:val="none"/>
              </w:rPr>
              <w:t>建设单位设置</w:t>
            </w:r>
            <w:r>
              <w:rPr>
                <w:rFonts w:ascii="Times New Roman" w:hAnsi="Times New Roman" w:cs="Times New Roman"/>
                <w:color w:val="auto"/>
                <w:sz w:val="24"/>
                <w:highlight w:val="none"/>
              </w:rPr>
              <w:t>油烟净化器（1个基准炉灶的总处理风量为3000m</w:t>
            </w:r>
            <w:r>
              <w:rPr>
                <w:rFonts w:ascii="Times New Roman" w:hAnsi="Times New Roman" w:cs="Times New Roman"/>
                <w:color w:val="auto"/>
                <w:sz w:val="24"/>
                <w:highlight w:val="none"/>
                <w:vertAlign w:val="superscript"/>
              </w:rPr>
              <w:t>3</w:t>
            </w:r>
            <w:r>
              <w:rPr>
                <w:rFonts w:ascii="Times New Roman" w:hAnsi="Times New Roman" w:cs="Times New Roman"/>
                <w:color w:val="auto"/>
                <w:sz w:val="24"/>
                <w:highlight w:val="none"/>
              </w:rPr>
              <w:t>/h，净化效率不小于60%），收集处理后经管道于厨房屋顶烟囱排放，</w:t>
            </w:r>
            <w:r>
              <w:rPr>
                <w:rFonts w:ascii="Times New Roman" w:hAnsi="Times New Roman" w:cs="Times New Roman"/>
                <w:bCs/>
                <w:color w:val="auto"/>
                <w:sz w:val="24"/>
                <w:highlight w:val="none"/>
              </w:rPr>
              <w:t>处理达标后经15m高排气筒（2#）高空排放。油烟废气</w:t>
            </w:r>
            <w:r>
              <w:rPr>
                <w:rFonts w:hint="eastAsia" w:ascii="Times New Roman" w:hAnsi="Times New Roman" w:cs="Times New Roman"/>
                <w:bCs/>
                <w:color w:val="auto"/>
                <w:sz w:val="24"/>
                <w:highlight w:val="none"/>
              </w:rPr>
              <w:t>排放浓度执行《饮食业油烟排放标准》GB18483-2001）的相关要求，</w:t>
            </w:r>
            <w:r>
              <w:rPr>
                <w:rFonts w:hint="eastAsia" w:ascii="Times New Roman" w:hAnsi="Times New Roman" w:eastAsia="宋体" w:cs="Times New Roman"/>
                <w:color w:val="auto"/>
                <w:sz w:val="24"/>
                <w:highlight w:val="none"/>
              </w:rPr>
              <w:t>对环境影响不大。</w:t>
            </w:r>
          </w:p>
          <w:p>
            <w:pPr>
              <w:spacing w:line="360" w:lineRule="auto"/>
              <w:ind w:firstLine="482" w:firstLineChars="200"/>
              <w:rPr>
                <w:rFonts w:ascii="Times New Roman" w:hAnsi="Times New Roman" w:cs="Times New Roman"/>
                <w:b/>
                <w:color w:val="auto"/>
                <w:sz w:val="24"/>
                <w:highlight w:val="none"/>
                <w:lang w:val="en-GB"/>
              </w:rPr>
            </w:pPr>
            <w:r>
              <w:rPr>
                <w:rFonts w:hint="eastAsia" w:ascii="Times New Roman" w:hAnsi="Times New Roman" w:cs="Times New Roman"/>
                <w:b/>
                <w:color w:val="auto"/>
                <w:sz w:val="24"/>
                <w:highlight w:val="none"/>
                <w:lang w:val="en-GB"/>
              </w:rPr>
              <w:t>废气处理可行性分析：</w:t>
            </w:r>
          </w:p>
          <w:p>
            <w:pPr>
              <w:spacing w:line="360" w:lineRule="auto"/>
              <w:ind w:firstLine="482" w:firstLineChars="200"/>
              <w:rPr>
                <w:rFonts w:ascii="Times New Roman" w:hAnsi="Times New Roman" w:cs="Times New Roman"/>
                <w:b/>
                <w:bCs/>
                <w:color w:val="auto"/>
                <w:sz w:val="24"/>
                <w:highlight w:val="none"/>
              </w:rPr>
            </w:pPr>
            <w:r>
              <w:rPr>
                <w:rFonts w:hint="eastAsia" w:ascii="Times New Roman" w:hAnsi="Times New Roman" w:cs="Times New Roman"/>
                <w:b/>
                <w:bCs/>
                <w:color w:val="auto"/>
                <w:sz w:val="24"/>
                <w:highlight w:val="none"/>
              </w:rPr>
              <w:t>水雾分离器：</w:t>
            </w:r>
          </w:p>
          <w:p>
            <w:pPr>
              <w:spacing w:line="360" w:lineRule="auto"/>
              <w:ind w:firstLine="480" w:firstLineChars="200"/>
              <w:rPr>
                <w:rFonts w:cs="Times New Roman" w:asciiTheme="minorEastAsia" w:hAnsiTheme="minorEastAsia"/>
                <w:color w:val="auto"/>
                <w:sz w:val="24"/>
                <w:highlight w:val="none"/>
              </w:rPr>
            </w:pPr>
            <w:r>
              <w:rPr>
                <w:rFonts w:cs="Times New Roman" w:asciiTheme="minorEastAsia" w:hAnsiTheme="minorEastAsia"/>
                <w:color w:val="auto"/>
                <w:sz w:val="24"/>
                <w:highlight w:val="none"/>
              </w:rPr>
              <w:t>压缩空气气水分离器是运用离心及集流相结合之原理,重力及碰撞等机理的完美结合,能有效地去除压缩空气中的液体态水雾.是压缩空气高效过滤器及冷冻式,吸附式压缩空气干燥机必要的预处理装置</w:t>
            </w:r>
            <w:r>
              <w:rPr>
                <w:rFonts w:hint="eastAsia" w:cs="Times New Roman" w:asciiTheme="minorEastAsia" w:hAnsiTheme="minorEastAsia"/>
                <w:color w:val="auto"/>
                <w:sz w:val="24"/>
                <w:highlight w:val="none"/>
              </w:rPr>
              <w:t>。</w:t>
            </w:r>
            <w:r>
              <w:rPr>
                <w:rFonts w:cs="Times New Roman" w:asciiTheme="minorEastAsia" w:hAnsiTheme="minorEastAsia"/>
                <w:color w:val="auto"/>
                <w:sz w:val="24"/>
                <w:highlight w:val="none"/>
              </w:rPr>
              <w:t>气水分离器,其外形小巧美观,经久耐用,压力损失小到可忽略.且内部带有进口自动的排污阀,无需要更换元件.不仅是螺杆式</w:t>
            </w:r>
            <w:r>
              <w:rPr>
                <w:rFonts w:cs="Times New Roman" w:asciiTheme="minorEastAsia" w:hAnsiTheme="minorEastAsia"/>
                <w:color w:val="auto"/>
                <w:sz w:val="24"/>
                <w:highlight w:val="none"/>
              </w:rPr>
              <w:fldChar w:fldCharType="begin"/>
            </w:r>
            <w:r>
              <w:rPr>
                <w:rFonts w:cs="Times New Roman" w:asciiTheme="minorEastAsia" w:hAnsiTheme="minorEastAsia"/>
                <w:color w:val="auto"/>
                <w:sz w:val="24"/>
                <w:highlight w:val="none"/>
              </w:rPr>
              <w:instrText xml:space="preserve"> HYPERLINK "http://www.to8to.com/baike/2105" \o "压缩机" \t "_blank" </w:instrText>
            </w:r>
            <w:r>
              <w:rPr>
                <w:rFonts w:cs="Times New Roman" w:asciiTheme="minorEastAsia" w:hAnsiTheme="minorEastAsia"/>
                <w:color w:val="auto"/>
                <w:sz w:val="24"/>
                <w:highlight w:val="none"/>
              </w:rPr>
              <w:fldChar w:fldCharType="separate"/>
            </w:r>
            <w:r>
              <w:rPr>
                <w:rStyle w:val="20"/>
                <w:rFonts w:cs="Times New Roman" w:asciiTheme="minorEastAsia" w:hAnsiTheme="minorEastAsia"/>
                <w:color w:val="auto"/>
                <w:sz w:val="24"/>
                <w:highlight w:val="none"/>
                <w:u w:val="none"/>
              </w:rPr>
              <w:t>压缩机</w:t>
            </w:r>
            <w:r>
              <w:rPr>
                <w:rFonts w:cs="Times New Roman" w:asciiTheme="minorEastAsia" w:hAnsiTheme="minorEastAsia"/>
                <w:color w:val="auto"/>
                <w:sz w:val="24"/>
                <w:highlight w:val="none"/>
              </w:rPr>
              <w:fldChar w:fldCharType="end"/>
            </w:r>
            <w:r>
              <w:rPr>
                <w:rFonts w:cs="Times New Roman" w:asciiTheme="minorEastAsia" w:hAnsiTheme="minorEastAsia"/>
                <w:color w:val="auto"/>
                <w:sz w:val="24"/>
                <w:highlight w:val="none"/>
              </w:rPr>
              <w:t>配套的理想元件,也是一般空压机后处理必不可少的除水装置</w:t>
            </w:r>
            <w:r>
              <w:rPr>
                <w:rFonts w:hint="eastAsia" w:cs="Times New Roman" w:asciiTheme="minorEastAsia" w:hAnsiTheme="minorEastAsia"/>
                <w:color w:val="auto"/>
                <w:sz w:val="24"/>
                <w:highlight w:val="none"/>
              </w:rPr>
              <w:t>。</w:t>
            </w:r>
          </w:p>
          <w:p>
            <w:pPr>
              <w:spacing w:line="360" w:lineRule="auto"/>
              <w:ind w:firstLine="482" w:firstLineChars="200"/>
              <w:rPr>
                <w:rFonts w:ascii="Times New Roman" w:hAnsi="Times New Roman" w:eastAsia="宋体" w:cs="Times New Roman"/>
                <w:b/>
                <w:bCs/>
                <w:color w:val="auto"/>
                <w:sz w:val="24"/>
                <w:highlight w:val="none"/>
              </w:rPr>
            </w:pPr>
            <w:r>
              <w:rPr>
                <w:rFonts w:hint="eastAsia" w:ascii="Times New Roman" w:hAnsi="Times New Roman" w:eastAsia="宋体" w:cs="Times New Roman"/>
                <w:b/>
                <w:bCs/>
                <w:color w:val="auto"/>
                <w:sz w:val="24"/>
                <w:highlight w:val="none"/>
              </w:rPr>
              <w:t>UV光解：</w:t>
            </w:r>
          </w:p>
          <w:p>
            <w:pPr>
              <w:spacing w:line="360" w:lineRule="auto"/>
              <w:ind w:firstLine="480" w:firstLineChars="200"/>
              <w:rPr>
                <w:rFonts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①利用特制的高能高臭氧UV紫外线光束照射恶臭气体，裂解恶臭气体如：硫化氢、氨、三甲胺、甲硫氢、甲硫醇、甲硫醚、二甲二硫、二硫化碳和苯乙烯，硫化物H2S、VOC类，苯、甲苯、二甲苯的分子链结构，使有机或无机高分子恶臭化合物分子链，在高能紫外线光束照射下，降解转变成低分子化合物，如CO2、H2O等。</w:t>
            </w:r>
          </w:p>
          <w:p>
            <w:pPr>
              <w:spacing w:line="360" w:lineRule="auto"/>
              <w:ind w:firstLine="480" w:firstLineChars="200"/>
              <w:rPr>
                <w:rFonts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②利用高能高臭氧UV紫外线光束分解空气中的氧分子产生游离氧，即活性氧，因游离氧所携正负电子不平衡所以需与氧分子结合，进而产生臭氧。UV＋O2→O-+O＊(活性氧)O+O2→O3(臭氧),众所周知臭氧对有机物具有极强的氧化作用，对恶臭气体及其它刺激性异味有立竿见影的清除效果。</w:t>
            </w:r>
          </w:p>
          <w:p>
            <w:pPr>
              <w:spacing w:line="360" w:lineRule="auto"/>
              <w:ind w:firstLine="480" w:firstLineChars="200"/>
              <w:rPr>
                <w:rFonts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③异味气体在引风机的作用下输入到净化设备后，净化设备运用高能UV紫外线光束及臭氧对异味气体进行协同分解氧化反应，使异味气体物质其降解转化成低分子化合物、水和二氧化碳，再通过排风管道排出室外。</w:t>
            </w:r>
          </w:p>
          <w:p>
            <w:pPr>
              <w:spacing w:line="360" w:lineRule="auto"/>
              <w:ind w:firstLine="480" w:firstLineChars="200"/>
              <w:rPr>
                <w:rFonts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④利用高能UV光束裂解恶臭气体中细菌的分子键，破坏细菌的核酸（DNA），再通过臭氧进行氧化反应，彻底达到脱臭及杀灭细菌的目的。</w:t>
            </w:r>
          </w:p>
          <w:p>
            <w:pPr>
              <w:spacing w:line="360" w:lineRule="auto"/>
              <w:ind w:firstLine="480" w:firstLineChars="200"/>
              <w:rPr>
                <w:rFonts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废气分子颗粒被送入到光解净化装置内，而光解照射净化具有对苯类物质极强的消减、分解功能；通过UV紫外线灯对废气进行照射、分解、裂解如硫化氢、氨，醇类、醚类及苯类等废气异味气体，使有机或无机高分子化合物分子链，在高能紫外线光束照射下，降解转变成低分子化合物，如CO2、H2O等，从而实现废气净化。</w:t>
            </w:r>
          </w:p>
          <w:p>
            <w:pPr>
              <w:spacing w:line="360" w:lineRule="auto"/>
              <w:ind w:firstLine="482" w:firstLineChars="200"/>
              <w:rPr>
                <w:rFonts w:ascii="Times New Roman" w:hAnsi="Times New Roman" w:eastAsia="宋体" w:cs="Times New Roman"/>
                <w:b/>
                <w:bCs/>
                <w:color w:val="auto"/>
                <w:sz w:val="24"/>
                <w:highlight w:val="none"/>
              </w:rPr>
            </w:pPr>
            <w:r>
              <w:rPr>
                <w:rFonts w:hint="eastAsia" w:ascii="Times New Roman" w:hAnsi="Times New Roman" w:eastAsia="宋体" w:cs="Times New Roman"/>
                <w:b/>
                <w:bCs/>
                <w:color w:val="auto"/>
                <w:sz w:val="24"/>
                <w:highlight w:val="none"/>
              </w:rPr>
              <w:t>活性炭吸附：</w:t>
            </w:r>
          </w:p>
          <w:p>
            <w:pPr>
              <w:spacing w:line="360" w:lineRule="auto"/>
              <w:ind w:firstLine="480" w:firstLineChars="200"/>
              <w:rPr>
                <w:rFonts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吸附现象是发生在两个不同相界面的现象，吸附过程就是在界面上的扩散过程，是发生在固体表面的吸附，这是由于固体表面存在着剩余的吸引力而引起的。吸附可分为物理吸附和化学吸附；物理吸附亦称范德华吸附，是由于吸附剂与吸附质分子之间的静电力或范德华引力导致物理吸附引起的，当固体和气体之间的分子引力大于气体分子之间的引力时，即使气体的压力低于与操作温度相对应的饱和蒸气压，气体分子也会冷凝在固体表面上，物理吸附是一种放热过程。化学吸附亦称活性吸附，是由于吸附剂表面与吸附质分子间的化学反应力导致化学吸附，它涉及分子中化学键的破坏和重新结合，因此，化学吸附过程的吸附热较物理吸附过程大。在吸附过程中，物理吸附和化学吸附之间没有严格的界限，同一物质在较低温度下可能发生物理吸附，而在较高温度下往往是化学吸附。活性炭纤维吸附以物理吸附为主，但由于表面活性剂的存在，也有一定的化学吸附作用。</w:t>
            </w:r>
          </w:p>
          <w:p>
            <w:pPr>
              <w:spacing w:line="360" w:lineRule="auto"/>
              <w:ind w:firstLine="480" w:firstLineChars="200"/>
              <w:rPr>
                <w:rFonts w:ascii="Times New Roman" w:hAnsi="Times New Roman" w:eastAsia="宋体" w:cs="Times New Roman"/>
                <w:bCs/>
                <w:color w:val="auto"/>
                <w:sz w:val="24"/>
                <w:highlight w:val="none"/>
              </w:rPr>
            </w:pPr>
            <w:r>
              <w:rPr>
                <w:rFonts w:hint="eastAsia"/>
                <w:color w:val="auto"/>
                <w:sz w:val="24"/>
                <w:highlight w:val="none"/>
              </w:rPr>
              <w:t>因此，本项目废气处理设施</w:t>
            </w:r>
            <w:r>
              <w:rPr>
                <w:rFonts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rPr>
              <w:t>水雾分离器+</w:t>
            </w:r>
            <w:r>
              <w:rPr>
                <w:rFonts w:ascii="Times New Roman" w:hAnsi="Times New Roman" w:eastAsia="宋体" w:cs="Times New Roman"/>
                <w:color w:val="auto"/>
                <w:sz w:val="24"/>
                <w:highlight w:val="none"/>
              </w:rPr>
              <w:t>UV光解+活性炭吸附”</w:t>
            </w:r>
            <w:r>
              <w:rPr>
                <w:rFonts w:hint="eastAsia"/>
                <w:color w:val="auto"/>
                <w:sz w:val="24"/>
                <w:highlight w:val="none"/>
              </w:rPr>
              <w:t>处理本项目废气是可行</w:t>
            </w:r>
            <w:r>
              <w:rPr>
                <w:rFonts w:hint="eastAsia" w:ascii="Times New Roman" w:hAnsi="Times New Roman" w:cs="Times New Roman"/>
                <w:color w:val="auto"/>
                <w:sz w:val="24"/>
                <w:highlight w:val="none"/>
                <w:lang w:val="en-GB"/>
              </w:rPr>
              <w:t>的。</w:t>
            </w:r>
          </w:p>
          <w:p>
            <w:pPr>
              <w:spacing w:line="360" w:lineRule="auto"/>
              <w:ind w:firstLine="482" w:firstLineChars="200"/>
              <w:rPr>
                <w:rFonts w:ascii="Times New Roman" w:hAnsi="Times New Roman" w:cs="Times New Roman"/>
                <w:b/>
                <w:color w:val="auto"/>
                <w:sz w:val="24"/>
                <w:highlight w:val="none"/>
                <w:lang w:val="en-GB"/>
              </w:rPr>
            </w:pPr>
            <w:r>
              <w:rPr>
                <w:rFonts w:hint="eastAsia" w:ascii="Times New Roman" w:hAnsi="Times New Roman" w:cs="Times New Roman"/>
                <w:b/>
                <w:color w:val="auto"/>
                <w:sz w:val="24"/>
                <w:highlight w:val="none"/>
                <w:lang w:val="en-GB"/>
              </w:rPr>
              <w:t>依托</w:t>
            </w:r>
            <w:r>
              <w:rPr>
                <w:rFonts w:ascii="Times New Roman" w:hAnsi="Times New Roman" w:cs="Times New Roman"/>
                <w:b/>
                <w:color w:val="auto"/>
                <w:sz w:val="24"/>
                <w:highlight w:val="none"/>
                <w:lang w:val="en-GB"/>
              </w:rPr>
              <w:t>开平裕进纺织厂有限公司</w:t>
            </w:r>
            <w:r>
              <w:rPr>
                <w:rFonts w:hint="eastAsia" w:ascii="Times New Roman" w:hAnsi="Times New Roman" w:cs="Times New Roman"/>
                <w:b/>
                <w:color w:val="auto"/>
                <w:sz w:val="24"/>
                <w:highlight w:val="none"/>
                <w:lang w:val="en-GB"/>
              </w:rPr>
              <w:t>锅炉可行性分析：</w:t>
            </w:r>
          </w:p>
          <w:p>
            <w:pPr>
              <w:spacing w:line="360" w:lineRule="auto"/>
              <w:ind w:firstLine="480" w:firstLineChars="200"/>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开平裕进纺织厂有限公司</w:t>
            </w:r>
            <w:r>
              <w:rPr>
                <w:rFonts w:hint="eastAsia" w:ascii="Times New Roman" w:hAnsi="Times New Roman" w:eastAsia="宋体" w:cs="Times New Roman"/>
                <w:bCs/>
                <w:color w:val="auto"/>
                <w:sz w:val="24"/>
                <w:highlight w:val="none"/>
              </w:rPr>
              <w:t>配有15t/h锅炉，日运行时间为16h，蒸汽产生量为7345万m</w:t>
            </w:r>
            <w:r>
              <w:rPr>
                <w:rFonts w:hint="eastAsia" w:ascii="Times New Roman" w:hAnsi="Times New Roman" w:eastAsia="宋体" w:cs="Times New Roman"/>
                <w:bCs/>
                <w:color w:val="auto"/>
                <w:sz w:val="24"/>
                <w:highlight w:val="none"/>
                <w:vertAlign w:val="superscript"/>
              </w:rPr>
              <w:t>3</w:t>
            </w:r>
            <w:r>
              <w:rPr>
                <w:rFonts w:hint="eastAsia" w:ascii="Times New Roman" w:hAnsi="Times New Roman" w:eastAsia="宋体" w:cs="Times New Roman"/>
                <w:bCs/>
                <w:color w:val="auto"/>
                <w:sz w:val="24"/>
                <w:highlight w:val="none"/>
              </w:rPr>
              <w:t>/a。</w:t>
            </w:r>
            <w:r>
              <w:rPr>
                <w:rFonts w:ascii="Times New Roman" w:hAnsi="Times New Roman" w:eastAsia="宋体" w:cs="Times New Roman"/>
                <w:bCs/>
                <w:color w:val="auto"/>
                <w:sz w:val="24"/>
                <w:highlight w:val="none"/>
              </w:rPr>
              <w:t>开平裕进纺织厂有限公司</w:t>
            </w:r>
            <w:r>
              <w:rPr>
                <w:rFonts w:hint="eastAsia" w:ascii="Times New Roman" w:hAnsi="Times New Roman" w:eastAsia="宋体" w:cs="Times New Roman"/>
                <w:bCs/>
                <w:color w:val="auto"/>
                <w:sz w:val="24"/>
                <w:highlight w:val="none"/>
              </w:rPr>
              <w:t>现蒸汽用量为7000万m</w:t>
            </w:r>
            <w:r>
              <w:rPr>
                <w:rFonts w:hint="eastAsia" w:ascii="Times New Roman" w:hAnsi="Times New Roman" w:eastAsia="宋体" w:cs="Times New Roman"/>
                <w:bCs/>
                <w:color w:val="auto"/>
                <w:sz w:val="24"/>
                <w:highlight w:val="none"/>
                <w:vertAlign w:val="superscript"/>
              </w:rPr>
              <w:t>3</w:t>
            </w:r>
            <w:r>
              <w:rPr>
                <w:rFonts w:hint="eastAsia" w:ascii="Times New Roman" w:hAnsi="Times New Roman" w:eastAsia="宋体" w:cs="Times New Roman"/>
                <w:bCs/>
                <w:color w:val="auto"/>
                <w:sz w:val="24"/>
                <w:highlight w:val="none"/>
              </w:rPr>
              <w:t>/a，本项目需蒸汽用量为150万m</w:t>
            </w:r>
            <w:r>
              <w:rPr>
                <w:rFonts w:hint="eastAsia" w:ascii="Times New Roman" w:hAnsi="Times New Roman" w:eastAsia="宋体" w:cs="Times New Roman"/>
                <w:bCs/>
                <w:color w:val="auto"/>
                <w:sz w:val="24"/>
                <w:highlight w:val="none"/>
                <w:vertAlign w:val="superscript"/>
              </w:rPr>
              <w:t>3</w:t>
            </w:r>
            <w:r>
              <w:rPr>
                <w:rFonts w:hint="eastAsia" w:ascii="Times New Roman" w:hAnsi="Times New Roman" w:eastAsia="宋体" w:cs="Times New Roman"/>
                <w:bCs/>
                <w:color w:val="auto"/>
                <w:sz w:val="24"/>
                <w:highlight w:val="none"/>
              </w:rPr>
              <w:t>/a，因此7000万m</w:t>
            </w:r>
            <w:r>
              <w:rPr>
                <w:rFonts w:hint="eastAsia" w:ascii="Times New Roman" w:hAnsi="Times New Roman" w:eastAsia="宋体" w:cs="Times New Roman"/>
                <w:bCs/>
                <w:color w:val="auto"/>
                <w:sz w:val="24"/>
                <w:highlight w:val="none"/>
                <w:vertAlign w:val="superscript"/>
              </w:rPr>
              <w:t>3</w:t>
            </w:r>
            <w:r>
              <w:rPr>
                <w:rFonts w:hint="eastAsia" w:ascii="Times New Roman" w:hAnsi="Times New Roman" w:eastAsia="宋体" w:cs="Times New Roman"/>
                <w:bCs/>
                <w:color w:val="auto"/>
                <w:sz w:val="24"/>
                <w:highlight w:val="none"/>
              </w:rPr>
              <w:t>/a+150万m</w:t>
            </w:r>
            <w:r>
              <w:rPr>
                <w:rFonts w:hint="eastAsia" w:ascii="Times New Roman" w:hAnsi="Times New Roman" w:eastAsia="宋体" w:cs="Times New Roman"/>
                <w:bCs/>
                <w:color w:val="auto"/>
                <w:sz w:val="24"/>
                <w:highlight w:val="none"/>
                <w:vertAlign w:val="superscript"/>
              </w:rPr>
              <w:t>3</w:t>
            </w:r>
            <w:r>
              <w:rPr>
                <w:rFonts w:hint="eastAsia" w:ascii="Times New Roman" w:hAnsi="Times New Roman" w:eastAsia="宋体" w:cs="Times New Roman"/>
                <w:bCs/>
                <w:color w:val="auto"/>
                <w:sz w:val="24"/>
                <w:highlight w:val="none"/>
              </w:rPr>
              <w:t>/a=7150万m</w:t>
            </w:r>
            <w:r>
              <w:rPr>
                <w:rFonts w:hint="eastAsia" w:ascii="Times New Roman" w:hAnsi="Times New Roman" w:eastAsia="宋体" w:cs="Times New Roman"/>
                <w:bCs/>
                <w:color w:val="auto"/>
                <w:sz w:val="24"/>
                <w:highlight w:val="none"/>
                <w:vertAlign w:val="superscript"/>
              </w:rPr>
              <w:t>3</w:t>
            </w:r>
            <w:r>
              <w:rPr>
                <w:rFonts w:hint="eastAsia" w:ascii="Times New Roman" w:hAnsi="Times New Roman" w:eastAsia="宋体" w:cs="Times New Roman"/>
                <w:bCs/>
                <w:color w:val="auto"/>
                <w:sz w:val="24"/>
                <w:highlight w:val="none"/>
              </w:rPr>
              <w:t>/a</w:t>
            </w:r>
            <w:r>
              <w:rPr>
                <w:rFonts w:hint="eastAsia" w:ascii="宋体" w:hAnsi="宋体" w:eastAsia="宋体" w:cs="Times New Roman"/>
                <w:bCs/>
                <w:color w:val="auto"/>
                <w:sz w:val="24"/>
                <w:highlight w:val="none"/>
              </w:rPr>
              <w:t>&lt;7345万</w:t>
            </w:r>
            <w:r>
              <w:rPr>
                <w:rFonts w:hint="eastAsia" w:ascii="Times New Roman" w:hAnsi="Times New Roman" w:eastAsia="宋体" w:cs="Times New Roman"/>
                <w:bCs/>
                <w:color w:val="auto"/>
                <w:sz w:val="24"/>
                <w:highlight w:val="none"/>
              </w:rPr>
              <w:t>m</w:t>
            </w:r>
            <w:r>
              <w:rPr>
                <w:rFonts w:hint="eastAsia" w:ascii="Times New Roman" w:hAnsi="Times New Roman" w:eastAsia="宋体" w:cs="Times New Roman"/>
                <w:bCs/>
                <w:color w:val="auto"/>
                <w:sz w:val="24"/>
                <w:highlight w:val="none"/>
                <w:vertAlign w:val="superscript"/>
              </w:rPr>
              <w:t>3</w:t>
            </w:r>
            <w:r>
              <w:rPr>
                <w:rFonts w:hint="eastAsia" w:ascii="Times New Roman" w:hAnsi="Times New Roman" w:eastAsia="宋体" w:cs="Times New Roman"/>
                <w:bCs/>
                <w:color w:val="auto"/>
                <w:sz w:val="24"/>
                <w:highlight w:val="none"/>
              </w:rPr>
              <w:t>/a，本项目依托开平裕进纺织厂有限公司锅炉可行。</w:t>
            </w:r>
          </w:p>
          <w:p>
            <w:pPr>
              <w:spacing w:line="360" w:lineRule="auto"/>
              <w:ind w:firstLine="482" w:firstLineChars="200"/>
              <w:rPr>
                <w:rFonts w:ascii="Times New Roman" w:hAnsi="Times New Roman" w:cs="Times New Roman"/>
                <w:color w:val="auto"/>
                <w:sz w:val="24"/>
                <w:highlight w:val="none"/>
              </w:rPr>
            </w:pPr>
            <w:r>
              <w:rPr>
                <w:rFonts w:ascii="Times New Roman" w:hAnsi="Times New Roman" w:cs="Times New Roman"/>
                <w:b/>
                <w:color w:val="auto"/>
                <w:sz w:val="24"/>
                <w:highlight w:val="none"/>
                <w:lang w:val="en-GB"/>
              </w:rPr>
              <w:t>（</w:t>
            </w:r>
            <w:r>
              <w:rPr>
                <w:rFonts w:ascii="Times New Roman" w:hAnsi="Times New Roman" w:cs="Times New Roman"/>
                <w:b/>
                <w:color w:val="auto"/>
                <w:sz w:val="24"/>
                <w:highlight w:val="none"/>
              </w:rPr>
              <w:t>2</w:t>
            </w:r>
            <w:r>
              <w:rPr>
                <w:rFonts w:ascii="Times New Roman" w:hAnsi="Times New Roman" w:cs="Times New Roman"/>
                <w:b/>
                <w:color w:val="auto"/>
                <w:sz w:val="24"/>
                <w:highlight w:val="none"/>
                <w:lang w:val="en-GB"/>
              </w:rPr>
              <w:t>）本项目大气环境影响预测分析与评价</w:t>
            </w:r>
          </w:p>
          <w:p>
            <w:pPr>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根据《环境影响评价技术导则（大气环境）（HJ2.2-2018）》的规定，选择项目污染源正常排放的主要污染物及排放系数，采用附录A推荐的AERSCREEN模式计算项目污染源的最大环境影响，然后按评价工作分级判据进行分级。评价等级按照表7-7的分级判据进行划分：</w:t>
            </w:r>
          </w:p>
          <w:p>
            <w:pPr>
              <w:pStyle w:val="24"/>
              <w:spacing w:line="276" w:lineRule="auto"/>
              <w:ind w:firstLine="422" w:firstLineChars="200"/>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表</w:t>
            </w:r>
            <w:r>
              <w:rPr>
                <w:rFonts w:hint="eastAsia" w:ascii="Times New Roman" w:hAnsi="Times New Roman" w:cs="Times New Roman"/>
                <w:b/>
                <w:color w:val="auto"/>
                <w:sz w:val="21"/>
                <w:szCs w:val="21"/>
                <w:highlight w:val="none"/>
              </w:rPr>
              <w:t>7-</w:t>
            </w:r>
            <w:r>
              <w:rPr>
                <w:rFonts w:ascii="Times New Roman" w:hAnsi="Times New Roman" w:cs="Times New Roman"/>
                <w:b/>
                <w:color w:val="auto"/>
                <w:sz w:val="21"/>
                <w:szCs w:val="21"/>
                <w:highlight w:val="none"/>
              </w:rPr>
              <w:t>7评价等级判别表</w:t>
            </w:r>
          </w:p>
          <w:tbl>
            <w:tblPr>
              <w:tblStyle w:val="23"/>
              <w:tblW w:w="8276"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254"/>
              <w:gridCol w:w="402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4254" w:type="dxa"/>
                  <w:tcBorders>
                    <w:tl2br w:val="nil"/>
                    <w:tr2bl w:val="nil"/>
                  </w:tcBorders>
                  <w:vAlign w:val="center"/>
                </w:tcPr>
                <w:p>
                  <w:pPr>
                    <w:jc w:val="center"/>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评价工作等级</w:t>
                  </w:r>
                </w:p>
              </w:tc>
              <w:tc>
                <w:tcPr>
                  <w:tcW w:w="4022" w:type="dxa"/>
                  <w:tcBorders>
                    <w:tl2br w:val="nil"/>
                    <w:tr2bl w:val="nil"/>
                  </w:tcBorders>
                  <w:vAlign w:val="center"/>
                </w:tcPr>
                <w:p>
                  <w:pPr>
                    <w:jc w:val="center"/>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评价工作等级判据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4254" w:type="dxa"/>
                  <w:tcBorders>
                    <w:tl2br w:val="nil"/>
                    <w:tr2bl w:val="nil"/>
                  </w:tcBorders>
                  <w:vAlign w:val="center"/>
                </w:tcPr>
                <w:p>
                  <w:pPr>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一级</w:t>
                  </w:r>
                </w:p>
              </w:tc>
              <w:tc>
                <w:tcPr>
                  <w:tcW w:w="4022" w:type="dxa"/>
                  <w:tcBorders>
                    <w:tl2br w:val="nil"/>
                    <w:tr2bl w:val="nil"/>
                  </w:tcBorders>
                  <w:vAlign w:val="center"/>
                </w:tcPr>
                <w:p>
                  <w:pPr>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Pmax≥10%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4254" w:type="dxa"/>
                  <w:tcBorders>
                    <w:tl2br w:val="nil"/>
                    <w:tr2bl w:val="nil"/>
                  </w:tcBorders>
                  <w:vAlign w:val="center"/>
                </w:tcPr>
                <w:p>
                  <w:pPr>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二级</w:t>
                  </w:r>
                </w:p>
              </w:tc>
              <w:tc>
                <w:tcPr>
                  <w:tcW w:w="4022" w:type="dxa"/>
                  <w:tcBorders>
                    <w:tl2br w:val="nil"/>
                    <w:tr2bl w:val="nil"/>
                  </w:tcBorders>
                  <w:vAlign w:val="center"/>
                </w:tcPr>
                <w:p>
                  <w:pPr>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1%≤Pmax&lt;10%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4254" w:type="dxa"/>
                  <w:tcBorders>
                    <w:tl2br w:val="nil"/>
                    <w:tr2bl w:val="nil"/>
                  </w:tcBorders>
                  <w:vAlign w:val="center"/>
                </w:tcPr>
                <w:p>
                  <w:pPr>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三级</w:t>
                  </w:r>
                </w:p>
              </w:tc>
              <w:tc>
                <w:tcPr>
                  <w:tcW w:w="4022" w:type="dxa"/>
                  <w:tcBorders>
                    <w:tl2br w:val="nil"/>
                    <w:tr2bl w:val="nil"/>
                  </w:tcBorders>
                  <w:vAlign w:val="center"/>
                </w:tcPr>
                <w:p>
                  <w:pPr>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Pmax&lt;1%</w:t>
                  </w:r>
                </w:p>
              </w:tc>
            </w:tr>
          </w:tbl>
          <w:p>
            <w:pPr>
              <w:spacing w:line="276" w:lineRule="auto"/>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表</w:t>
            </w:r>
            <w:r>
              <w:rPr>
                <w:rFonts w:hint="eastAsia" w:ascii="Times New Roman" w:hAnsi="Times New Roman" w:eastAsia="宋体" w:cs="Times New Roman"/>
                <w:b/>
                <w:bCs/>
                <w:color w:val="auto"/>
                <w:szCs w:val="21"/>
                <w:highlight w:val="none"/>
              </w:rPr>
              <w:t>7-</w:t>
            </w:r>
            <w:r>
              <w:rPr>
                <w:rFonts w:ascii="Times New Roman" w:hAnsi="Times New Roman" w:eastAsia="宋体" w:cs="Times New Roman"/>
                <w:b/>
                <w:bCs/>
                <w:color w:val="auto"/>
                <w:szCs w:val="21"/>
                <w:highlight w:val="none"/>
              </w:rPr>
              <w:t>8评价因子和评价标准表</w:t>
            </w:r>
          </w:p>
          <w:tbl>
            <w:tblPr>
              <w:tblStyle w:val="23"/>
              <w:tblW w:w="8276"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41"/>
              <w:gridCol w:w="1841"/>
              <w:gridCol w:w="2114"/>
              <w:gridCol w:w="258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1741" w:type="dxa"/>
                  <w:tcBorders>
                    <w:tl2br w:val="nil"/>
                    <w:tr2bl w:val="nil"/>
                  </w:tcBorders>
                  <w:vAlign w:val="center"/>
                </w:tcPr>
                <w:p>
                  <w:pPr>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评价因子</w:t>
                  </w:r>
                </w:p>
              </w:tc>
              <w:tc>
                <w:tcPr>
                  <w:tcW w:w="1841" w:type="dxa"/>
                  <w:tcBorders>
                    <w:tl2br w:val="nil"/>
                    <w:tr2bl w:val="nil"/>
                  </w:tcBorders>
                  <w:vAlign w:val="center"/>
                </w:tcPr>
                <w:p>
                  <w:pPr>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平均时段</w:t>
                  </w:r>
                </w:p>
              </w:tc>
              <w:tc>
                <w:tcPr>
                  <w:tcW w:w="2114" w:type="dxa"/>
                  <w:tcBorders>
                    <w:tl2br w:val="nil"/>
                    <w:tr2bl w:val="nil"/>
                  </w:tcBorders>
                  <w:vAlign w:val="center"/>
                </w:tcPr>
                <w:p>
                  <w:pPr>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标准值/（</w:t>
                  </w:r>
                  <w:r>
                    <w:rPr>
                      <w:rFonts w:hint="eastAsia" w:ascii="Times New Roman" w:hAnsi="Times New Roman" w:eastAsia="宋体" w:cs="Times New Roman"/>
                      <w:b/>
                      <w:bCs/>
                      <w:color w:val="auto"/>
                      <w:szCs w:val="21"/>
                      <w:highlight w:val="none"/>
                    </w:rPr>
                    <w:t>m</w:t>
                  </w:r>
                  <w:r>
                    <w:rPr>
                      <w:rFonts w:ascii="Times New Roman" w:hAnsi="Times New Roman" w:eastAsia="宋体" w:cs="Times New Roman"/>
                      <w:b/>
                      <w:bCs/>
                      <w:color w:val="auto"/>
                      <w:szCs w:val="21"/>
                      <w:highlight w:val="none"/>
                    </w:rPr>
                    <w:t>g/m³）</w:t>
                  </w:r>
                </w:p>
              </w:tc>
              <w:tc>
                <w:tcPr>
                  <w:tcW w:w="2580" w:type="dxa"/>
                  <w:tcBorders>
                    <w:tl2br w:val="nil"/>
                    <w:tr2bl w:val="nil"/>
                  </w:tcBorders>
                  <w:vAlign w:val="center"/>
                </w:tcPr>
                <w:p>
                  <w:pPr>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标准来源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1741" w:type="dxa"/>
                  <w:tcBorders>
                    <w:tl2br w:val="nil"/>
                    <w:tr2bl w:val="nil"/>
                  </w:tcBorders>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非甲烷总烃</w:t>
                  </w:r>
                </w:p>
              </w:tc>
              <w:tc>
                <w:tcPr>
                  <w:tcW w:w="1841" w:type="dxa"/>
                  <w:tcBorders>
                    <w:tl2br w:val="nil"/>
                    <w:tr2bl w:val="nil"/>
                  </w:tcBorders>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1小时平均</w:t>
                  </w:r>
                </w:p>
              </w:tc>
              <w:tc>
                <w:tcPr>
                  <w:tcW w:w="2114" w:type="dxa"/>
                  <w:tcBorders>
                    <w:tl2br w:val="nil"/>
                    <w:tr2bl w:val="nil"/>
                  </w:tcBorders>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2.0</w:t>
                  </w:r>
                </w:p>
              </w:tc>
              <w:tc>
                <w:tcPr>
                  <w:tcW w:w="2580" w:type="dxa"/>
                  <w:tcBorders>
                    <w:tl2br w:val="nil"/>
                    <w:tr2bl w:val="nil"/>
                  </w:tcBorders>
                  <w:vAlign w:val="center"/>
                </w:tcPr>
                <w:p>
                  <w:pPr>
                    <w:jc w:val="center"/>
                    <w:rPr>
                      <w:rFonts w:ascii="Times New Roman" w:hAnsi="Times New Roman" w:eastAsia="宋体" w:cs="Times New Roman"/>
                      <w:color w:val="auto"/>
                      <w:szCs w:val="21"/>
                      <w:highlight w:val="none"/>
                    </w:rPr>
                  </w:pPr>
                  <w:r>
                    <w:rPr>
                      <w:rFonts w:ascii="Times New Roman" w:hAnsi="Times New Roman" w:cs="Times New Roman"/>
                      <w:color w:val="auto"/>
                      <w:szCs w:val="21"/>
                      <w:highlight w:val="none"/>
                    </w:rPr>
                    <w:t>《</w:t>
                  </w:r>
                  <w:r>
                    <w:rPr>
                      <w:rFonts w:ascii="Times New Roman" w:hAnsi="Times New Roman" w:eastAsia="宋体" w:cs="Times New Roman"/>
                      <w:bCs/>
                      <w:color w:val="auto"/>
                      <w:szCs w:val="21"/>
                      <w:highlight w:val="none"/>
                    </w:rPr>
                    <w:t>大气污染物综合排放标准详解</w:t>
                  </w:r>
                  <w:r>
                    <w:rPr>
                      <w:rFonts w:ascii="Times New Roman" w:hAnsi="Times New Roman" w:cs="Times New Roman"/>
                      <w:color w:val="auto"/>
                      <w:szCs w:val="21"/>
                      <w:highlight w:val="none"/>
                    </w:rPr>
                    <w:t>》</w:t>
                  </w:r>
                </w:p>
              </w:tc>
            </w:tr>
          </w:tbl>
          <w:p>
            <w:pPr>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估算模型参数见表</w:t>
            </w:r>
            <w:r>
              <w:rPr>
                <w:rFonts w:hint="eastAsia" w:ascii="Times New Roman" w:hAnsi="Times New Roman" w:eastAsia="宋体" w:cs="Times New Roman"/>
                <w:color w:val="auto"/>
                <w:sz w:val="24"/>
                <w:highlight w:val="none"/>
              </w:rPr>
              <w:t>7-</w:t>
            </w:r>
            <w:r>
              <w:rPr>
                <w:rFonts w:ascii="Times New Roman" w:hAnsi="Times New Roman" w:eastAsia="宋体" w:cs="Times New Roman"/>
                <w:color w:val="auto"/>
                <w:sz w:val="24"/>
                <w:highlight w:val="none"/>
              </w:rPr>
              <w:t>9，污染源参数见表</w:t>
            </w:r>
            <w:r>
              <w:rPr>
                <w:rFonts w:hint="eastAsia" w:ascii="Times New Roman" w:hAnsi="Times New Roman" w:eastAsia="宋体" w:cs="Times New Roman"/>
                <w:color w:val="auto"/>
                <w:sz w:val="24"/>
                <w:highlight w:val="none"/>
              </w:rPr>
              <w:t>7-</w:t>
            </w:r>
            <w:r>
              <w:rPr>
                <w:rFonts w:ascii="Times New Roman" w:hAnsi="Times New Roman" w:eastAsia="宋体" w:cs="Times New Roman"/>
                <w:color w:val="auto"/>
                <w:sz w:val="24"/>
                <w:highlight w:val="none"/>
              </w:rPr>
              <w:t>10</w:t>
            </w:r>
            <w:r>
              <w:rPr>
                <w:rFonts w:hint="eastAsia" w:ascii="Times New Roman" w:hAnsi="Times New Roman" w:eastAsia="宋体" w:cs="Times New Roman"/>
                <w:color w:val="auto"/>
                <w:sz w:val="24"/>
                <w:highlight w:val="none"/>
              </w:rPr>
              <w:t>、7-</w:t>
            </w:r>
            <w:r>
              <w:rPr>
                <w:rFonts w:ascii="Times New Roman" w:hAnsi="Times New Roman" w:eastAsia="宋体" w:cs="Times New Roman"/>
                <w:color w:val="auto"/>
                <w:sz w:val="24"/>
                <w:highlight w:val="none"/>
              </w:rPr>
              <w:t>11，计算结果见表</w:t>
            </w:r>
            <w:r>
              <w:rPr>
                <w:rFonts w:hint="eastAsia" w:ascii="Times New Roman" w:hAnsi="Times New Roman" w:eastAsia="宋体" w:cs="Times New Roman"/>
                <w:color w:val="auto"/>
                <w:sz w:val="24"/>
                <w:highlight w:val="none"/>
              </w:rPr>
              <w:t>7-</w:t>
            </w:r>
            <w:r>
              <w:rPr>
                <w:rFonts w:ascii="Times New Roman" w:hAnsi="Times New Roman" w:eastAsia="宋体" w:cs="Times New Roman"/>
                <w:color w:val="auto"/>
                <w:sz w:val="24"/>
                <w:highlight w:val="none"/>
              </w:rPr>
              <w:t>12。</w:t>
            </w:r>
          </w:p>
          <w:p>
            <w:pPr>
              <w:spacing w:line="276" w:lineRule="auto"/>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表</w:t>
            </w:r>
            <w:r>
              <w:rPr>
                <w:rFonts w:hint="eastAsia" w:ascii="Times New Roman" w:hAnsi="Times New Roman" w:eastAsia="宋体" w:cs="Times New Roman"/>
                <w:b/>
                <w:bCs/>
                <w:color w:val="auto"/>
                <w:szCs w:val="21"/>
                <w:highlight w:val="none"/>
              </w:rPr>
              <w:t>7-</w:t>
            </w:r>
            <w:r>
              <w:rPr>
                <w:rFonts w:ascii="Times New Roman" w:hAnsi="Times New Roman" w:eastAsia="宋体" w:cs="Times New Roman"/>
                <w:b/>
                <w:bCs/>
                <w:color w:val="auto"/>
                <w:szCs w:val="21"/>
                <w:highlight w:val="none"/>
              </w:rPr>
              <w:t>9 估算模型参数表</w:t>
            </w:r>
          </w:p>
          <w:tbl>
            <w:tblPr>
              <w:tblStyle w:val="23"/>
              <w:tblW w:w="8276"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930"/>
              <w:gridCol w:w="2673"/>
              <w:gridCol w:w="267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35" w:hRule="atLeast"/>
                <w:jc w:val="center"/>
              </w:trPr>
              <w:tc>
                <w:tcPr>
                  <w:tcW w:w="5603" w:type="dxa"/>
                  <w:gridSpan w:val="2"/>
                  <w:tcBorders>
                    <w:tl2br w:val="nil"/>
                    <w:tr2bl w:val="nil"/>
                  </w:tcBorders>
                  <w:vAlign w:val="top"/>
                </w:tcPr>
                <w:p>
                  <w:pPr>
                    <w:spacing w:line="360" w:lineRule="auto"/>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参数</w:t>
                  </w:r>
                </w:p>
              </w:tc>
              <w:tc>
                <w:tcPr>
                  <w:tcW w:w="2673" w:type="dxa"/>
                  <w:tcBorders>
                    <w:tl2br w:val="nil"/>
                    <w:tr2bl w:val="nil"/>
                  </w:tcBorders>
                  <w:vAlign w:val="top"/>
                </w:tcPr>
                <w:p>
                  <w:pPr>
                    <w:spacing w:line="360" w:lineRule="auto"/>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取值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2930" w:type="dxa"/>
                  <w:vMerge w:val="restart"/>
                  <w:tcBorders>
                    <w:tl2br w:val="nil"/>
                    <w:tr2bl w:val="nil"/>
                  </w:tcBorders>
                  <w:vAlign w:val="top"/>
                </w:tcPr>
                <w:p>
                  <w:pPr>
                    <w:rPr>
                      <w:rFonts w:ascii="Times New Roman" w:hAnsi="Times New Roman" w:eastAsia="宋体" w:cs="Times New Roman"/>
                      <w:color w:val="auto"/>
                      <w:szCs w:val="21"/>
                      <w:highlight w:val="none"/>
                    </w:rPr>
                  </w:pPr>
                </w:p>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农村/城市选项</w:t>
                  </w:r>
                </w:p>
              </w:tc>
              <w:tc>
                <w:tcPr>
                  <w:tcW w:w="2673" w:type="dxa"/>
                  <w:tcBorders>
                    <w:tl2br w:val="nil"/>
                    <w:tr2bl w:val="nil"/>
                  </w:tcBorders>
                  <w:vAlign w:val="top"/>
                </w:tcPr>
                <w:p>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城市/农村</w:t>
                  </w:r>
                </w:p>
              </w:tc>
              <w:tc>
                <w:tcPr>
                  <w:tcW w:w="2673" w:type="dxa"/>
                  <w:tcBorders>
                    <w:tl2br w:val="nil"/>
                    <w:tr2bl w:val="nil"/>
                  </w:tcBorders>
                  <w:vAlign w:val="top"/>
                </w:tcPr>
                <w:p>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城市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2930" w:type="dxa"/>
                  <w:vMerge w:val="continue"/>
                  <w:tcBorders>
                    <w:tl2br w:val="nil"/>
                    <w:tr2bl w:val="nil"/>
                  </w:tcBorders>
                  <w:vAlign w:val="top"/>
                </w:tcPr>
                <w:p>
                  <w:pPr>
                    <w:spacing w:line="360" w:lineRule="auto"/>
                    <w:jc w:val="center"/>
                    <w:rPr>
                      <w:rFonts w:ascii="Times New Roman" w:hAnsi="Times New Roman" w:eastAsia="宋体" w:cs="Times New Roman"/>
                      <w:color w:val="auto"/>
                      <w:szCs w:val="21"/>
                      <w:highlight w:val="none"/>
                    </w:rPr>
                  </w:pPr>
                </w:p>
              </w:tc>
              <w:tc>
                <w:tcPr>
                  <w:tcW w:w="2673" w:type="dxa"/>
                  <w:tcBorders>
                    <w:tl2br w:val="nil"/>
                    <w:tr2bl w:val="nil"/>
                  </w:tcBorders>
                  <w:vAlign w:val="top"/>
                </w:tcPr>
                <w:p>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人口数（城市选项时）</w:t>
                  </w:r>
                </w:p>
              </w:tc>
              <w:tc>
                <w:tcPr>
                  <w:tcW w:w="2673" w:type="dxa"/>
                  <w:tcBorders>
                    <w:tl2br w:val="nil"/>
                    <w:tr2bl w:val="nil"/>
                  </w:tcBorders>
                  <w:vAlign w:val="top"/>
                </w:tcPr>
                <w:p>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40万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5603" w:type="dxa"/>
                  <w:gridSpan w:val="2"/>
                  <w:tcBorders>
                    <w:tl2br w:val="nil"/>
                    <w:tr2bl w:val="nil"/>
                  </w:tcBorders>
                  <w:vAlign w:val="top"/>
                </w:tcPr>
                <w:p>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最高环境温度/℃</w:t>
                  </w:r>
                </w:p>
              </w:tc>
              <w:tc>
                <w:tcPr>
                  <w:tcW w:w="2673" w:type="dxa"/>
                  <w:tcBorders>
                    <w:tl2br w:val="nil"/>
                    <w:tr2bl w:val="nil"/>
                  </w:tcBorders>
                  <w:vAlign w:val="top"/>
                </w:tcPr>
                <w:p>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39.4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5603" w:type="dxa"/>
                  <w:gridSpan w:val="2"/>
                  <w:tcBorders>
                    <w:tl2br w:val="nil"/>
                    <w:tr2bl w:val="nil"/>
                  </w:tcBorders>
                  <w:vAlign w:val="top"/>
                </w:tcPr>
                <w:p>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最低环境温度/℃</w:t>
                  </w:r>
                </w:p>
              </w:tc>
              <w:tc>
                <w:tcPr>
                  <w:tcW w:w="2673" w:type="dxa"/>
                  <w:tcBorders>
                    <w:tl2br w:val="nil"/>
                    <w:tr2bl w:val="nil"/>
                  </w:tcBorders>
                  <w:vAlign w:val="top"/>
                </w:tcPr>
                <w:p>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1.50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5603" w:type="dxa"/>
                  <w:gridSpan w:val="2"/>
                  <w:tcBorders>
                    <w:tl2br w:val="nil"/>
                    <w:tr2bl w:val="nil"/>
                  </w:tcBorders>
                  <w:vAlign w:val="top"/>
                </w:tcPr>
                <w:p>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土地利用类型</w:t>
                  </w:r>
                </w:p>
              </w:tc>
              <w:tc>
                <w:tcPr>
                  <w:tcW w:w="2673" w:type="dxa"/>
                  <w:tcBorders>
                    <w:tl2br w:val="nil"/>
                    <w:tr2bl w:val="nil"/>
                  </w:tcBorders>
                  <w:vAlign w:val="top"/>
                </w:tcPr>
                <w:p>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城市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5603" w:type="dxa"/>
                  <w:gridSpan w:val="2"/>
                  <w:tcBorders>
                    <w:tl2br w:val="nil"/>
                    <w:tr2bl w:val="nil"/>
                  </w:tcBorders>
                  <w:vAlign w:val="top"/>
                </w:tcPr>
                <w:p>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区域湿度条件</w:t>
                  </w:r>
                </w:p>
              </w:tc>
              <w:tc>
                <w:tcPr>
                  <w:tcW w:w="2673" w:type="dxa"/>
                  <w:tcBorders>
                    <w:tl2br w:val="nil"/>
                    <w:tr2bl w:val="nil"/>
                  </w:tcBorders>
                  <w:vAlign w:val="top"/>
                </w:tcPr>
                <w:p>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湿润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2930" w:type="dxa"/>
                  <w:vMerge w:val="restart"/>
                  <w:tcBorders>
                    <w:tl2br w:val="nil"/>
                    <w:tr2bl w:val="nil"/>
                  </w:tcBorders>
                  <w:vAlign w:val="top"/>
                </w:tcPr>
                <w:p>
                  <w:pPr>
                    <w:rPr>
                      <w:rFonts w:ascii="Times New Roman" w:hAnsi="Times New Roman" w:eastAsia="宋体" w:cs="Times New Roman"/>
                      <w:color w:val="auto"/>
                      <w:szCs w:val="21"/>
                      <w:highlight w:val="none"/>
                    </w:rPr>
                  </w:pPr>
                </w:p>
                <w:p>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是否考虑地形</w:t>
                  </w:r>
                </w:p>
              </w:tc>
              <w:tc>
                <w:tcPr>
                  <w:tcW w:w="2673" w:type="dxa"/>
                  <w:tcBorders>
                    <w:tl2br w:val="nil"/>
                    <w:tr2bl w:val="nil"/>
                  </w:tcBorders>
                  <w:vAlign w:val="top"/>
                </w:tcPr>
                <w:p>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考虑地形</w:t>
                  </w:r>
                </w:p>
              </w:tc>
              <w:tc>
                <w:tcPr>
                  <w:tcW w:w="2673" w:type="dxa"/>
                  <w:tcBorders>
                    <w:tl2br w:val="nil"/>
                    <w:tr2bl w:val="nil"/>
                  </w:tcBorders>
                  <w:vAlign w:val="top"/>
                </w:tcPr>
                <w:p>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2930" w:type="dxa"/>
                  <w:vMerge w:val="continue"/>
                  <w:tcBorders>
                    <w:tl2br w:val="nil"/>
                    <w:tr2bl w:val="nil"/>
                  </w:tcBorders>
                  <w:vAlign w:val="top"/>
                </w:tcPr>
                <w:p>
                  <w:pPr>
                    <w:spacing w:line="360" w:lineRule="auto"/>
                    <w:jc w:val="center"/>
                    <w:rPr>
                      <w:rFonts w:ascii="Times New Roman" w:hAnsi="Times New Roman" w:eastAsia="宋体" w:cs="Times New Roman"/>
                      <w:color w:val="auto"/>
                      <w:szCs w:val="21"/>
                      <w:highlight w:val="none"/>
                    </w:rPr>
                  </w:pPr>
                </w:p>
              </w:tc>
              <w:tc>
                <w:tcPr>
                  <w:tcW w:w="2673" w:type="dxa"/>
                  <w:tcBorders>
                    <w:tl2br w:val="nil"/>
                    <w:tr2bl w:val="nil"/>
                  </w:tcBorders>
                  <w:vAlign w:val="top"/>
                </w:tcPr>
                <w:p>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地形数据分辨率/m</w:t>
                  </w:r>
                </w:p>
              </w:tc>
              <w:tc>
                <w:tcPr>
                  <w:tcW w:w="2673" w:type="dxa"/>
                  <w:tcBorders>
                    <w:tl2br w:val="nil"/>
                    <w:tr2bl w:val="nil"/>
                  </w:tcBorders>
                  <w:vAlign w:val="top"/>
                </w:tcPr>
                <w:p>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2930" w:type="dxa"/>
                  <w:vMerge w:val="restart"/>
                  <w:tcBorders>
                    <w:tl2br w:val="nil"/>
                    <w:tr2bl w:val="nil"/>
                  </w:tcBorders>
                  <w:vAlign w:val="top"/>
                </w:tcPr>
                <w:p>
                  <w:pPr>
                    <w:spacing w:line="360" w:lineRule="auto"/>
                    <w:jc w:val="center"/>
                    <w:rPr>
                      <w:rFonts w:ascii="Times New Roman" w:hAnsi="Times New Roman" w:eastAsia="宋体" w:cs="Times New Roman"/>
                      <w:color w:val="auto"/>
                      <w:szCs w:val="21"/>
                      <w:highlight w:val="none"/>
                    </w:rPr>
                  </w:pPr>
                </w:p>
                <w:p>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是否考虑岸线熏烟</w:t>
                  </w:r>
                </w:p>
                <w:p>
                  <w:pPr>
                    <w:spacing w:line="360" w:lineRule="auto"/>
                    <w:jc w:val="center"/>
                    <w:rPr>
                      <w:rFonts w:ascii="Times New Roman" w:hAnsi="Times New Roman" w:eastAsia="宋体" w:cs="Times New Roman"/>
                      <w:color w:val="auto"/>
                      <w:szCs w:val="21"/>
                      <w:highlight w:val="none"/>
                    </w:rPr>
                  </w:pPr>
                </w:p>
              </w:tc>
              <w:tc>
                <w:tcPr>
                  <w:tcW w:w="2673" w:type="dxa"/>
                  <w:tcBorders>
                    <w:tl2br w:val="nil"/>
                    <w:tr2bl w:val="nil"/>
                  </w:tcBorders>
                  <w:vAlign w:val="top"/>
                </w:tcPr>
                <w:p>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考虑岸线熏烟</w:t>
                  </w:r>
                </w:p>
              </w:tc>
              <w:tc>
                <w:tcPr>
                  <w:tcW w:w="2673" w:type="dxa"/>
                  <w:tcBorders>
                    <w:tl2br w:val="nil"/>
                    <w:tr2bl w:val="nil"/>
                  </w:tcBorders>
                  <w:vAlign w:val="top"/>
                </w:tcPr>
                <w:p>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2930" w:type="dxa"/>
                  <w:vMerge w:val="continue"/>
                  <w:tcBorders>
                    <w:tl2br w:val="nil"/>
                    <w:tr2bl w:val="nil"/>
                  </w:tcBorders>
                  <w:vAlign w:val="top"/>
                </w:tcPr>
                <w:p>
                  <w:pPr>
                    <w:spacing w:line="360" w:lineRule="auto"/>
                    <w:jc w:val="center"/>
                    <w:rPr>
                      <w:rFonts w:ascii="Times New Roman" w:hAnsi="Times New Roman" w:eastAsia="宋体" w:cs="Times New Roman"/>
                      <w:color w:val="auto"/>
                      <w:szCs w:val="21"/>
                      <w:highlight w:val="none"/>
                    </w:rPr>
                  </w:pPr>
                </w:p>
              </w:tc>
              <w:tc>
                <w:tcPr>
                  <w:tcW w:w="2673" w:type="dxa"/>
                  <w:tcBorders>
                    <w:tl2br w:val="nil"/>
                    <w:tr2bl w:val="nil"/>
                  </w:tcBorders>
                  <w:vAlign w:val="top"/>
                </w:tcPr>
                <w:p>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岸线距离/km</w:t>
                  </w:r>
                </w:p>
              </w:tc>
              <w:tc>
                <w:tcPr>
                  <w:tcW w:w="2673" w:type="dxa"/>
                  <w:tcBorders>
                    <w:tl2br w:val="nil"/>
                    <w:tr2bl w:val="nil"/>
                  </w:tcBorders>
                  <w:vAlign w:val="top"/>
                </w:tcPr>
                <w:p>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2930" w:type="dxa"/>
                  <w:vMerge w:val="continue"/>
                  <w:tcBorders>
                    <w:tl2br w:val="nil"/>
                    <w:tr2bl w:val="nil"/>
                  </w:tcBorders>
                  <w:vAlign w:val="top"/>
                </w:tcPr>
                <w:p>
                  <w:pPr>
                    <w:spacing w:line="360" w:lineRule="auto"/>
                    <w:jc w:val="center"/>
                    <w:rPr>
                      <w:rFonts w:ascii="Times New Roman" w:hAnsi="Times New Roman" w:eastAsia="宋体" w:cs="Times New Roman"/>
                      <w:color w:val="auto"/>
                      <w:szCs w:val="21"/>
                      <w:highlight w:val="none"/>
                    </w:rPr>
                  </w:pPr>
                </w:p>
              </w:tc>
              <w:tc>
                <w:tcPr>
                  <w:tcW w:w="2673" w:type="dxa"/>
                  <w:tcBorders>
                    <w:tl2br w:val="nil"/>
                    <w:tr2bl w:val="nil"/>
                  </w:tcBorders>
                  <w:vAlign w:val="top"/>
                </w:tcPr>
                <w:p>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岸线方向/°</w:t>
                  </w:r>
                </w:p>
              </w:tc>
              <w:tc>
                <w:tcPr>
                  <w:tcW w:w="2673" w:type="dxa"/>
                  <w:tcBorders>
                    <w:tl2br w:val="nil"/>
                    <w:tr2bl w:val="nil"/>
                  </w:tcBorders>
                  <w:vAlign w:val="top"/>
                </w:tcPr>
                <w:p>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r>
          </w:tbl>
          <w:p>
            <w:pPr>
              <w:spacing w:line="276" w:lineRule="auto"/>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表</w:t>
            </w:r>
            <w:r>
              <w:rPr>
                <w:rFonts w:hint="eastAsia" w:ascii="Times New Roman" w:hAnsi="Times New Roman" w:eastAsia="宋体" w:cs="Times New Roman"/>
                <w:b/>
                <w:bCs/>
                <w:color w:val="auto"/>
                <w:szCs w:val="21"/>
                <w:highlight w:val="none"/>
              </w:rPr>
              <w:t>7-</w:t>
            </w:r>
            <w:r>
              <w:rPr>
                <w:rFonts w:ascii="Times New Roman" w:hAnsi="Times New Roman" w:eastAsia="宋体" w:cs="Times New Roman"/>
                <w:b/>
                <w:bCs/>
                <w:color w:val="auto"/>
                <w:szCs w:val="21"/>
                <w:highlight w:val="none"/>
              </w:rPr>
              <w:t>10项目排放源参数表（点源）</w:t>
            </w:r>
          </w:p>
          <w:tbl>
            <w:tblPr>
              <w:tblStyle w:val="22"/>
              <w:tblW w:w="8276"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38"/>
              <w:gridCol w:w="571"/>
              <w:gridCol w:w="458"/>
              <w:gridCol w:w="498"/>
              <w:gridCol w:w="517"/>
              <w:gridCol w:w="813"/>
              <w:gridCol w:w="813"/>
              <w:gridCol w:w="1058"/>
              <w:gridCol w:w="865"/>
              <w:gridCol w:w="755"/>
              <w:gridCol w:w="455"/>
              <w:gridCol w:w="103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638" w:hRule="atLeast"/>
                <w:jc w:val="center"/>
              </w:trPr>
              <w:tc>
                <w:tcPr>
                  <w:tcW w:w="438" w:type="dxa"/>
                  <w:vMerge w:val="restart"/>
                  <w:tcBorders>
                    <w:tl2br w:val="nil"/>
                    <w:tr2bl w:val="nil"/>
                  </w:tcBorders>
                  <w:vAlign w:val="center"/>
                </w:tcPr>
                <w:p>
                  <w:pPr>
                    <w:overflowPunct w:val="0"/>
                    <w:autoSpaceDE w:val="0"/>
                    <w:autoSpaceDN w:val="0"/>
                    <w:jc w:val="center"/>
                    <w:textAlignment w:val="baseline"/>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点源</w:t>
                  </w:r>
                </w:p>
                <w:p>
                  <w:pPr>
                    <w:overflowPunct w:val="0"/>
                    <w:autoSpaceDE w:val="0"/>
                    <w:autoSpaceDN w:val="0"/>
                    <w:jc w:val="center"/>
                    <w:textAlignment w:val="baseline"/>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编号</w:t>
                  </w:r>
                </w:p>
              </w:tc>
              <w:tc>
                <w:tcPr>
                  <w:tcW w:w="571" w:type="dxa"/>
                  <w:vMerge w:val="restart"/>
                  <w:tcBorders>
                    <w:tl2br w:val="nil"/>
                    <w:tr2bl w:val="nil"/>
                  </w:tcBorders>
                  <w:vAlign w:val="center"/>
                </w:tcPr>
                <w:p>
                  <w:pPr>
                    <w:overflowPunct w:val="0"/>
                    <w:autoSpaceDE w:val="0"/>
                    <w:autoSpaceDN w:val="0"/>
                    <w:jc w:val="center"/>
                    <w:textAlignment w:val="baseline"/>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点源</w:t>
                  </w:r>
                </w:p>
                <w:p>
                  <w:pPr>
                    <w:overflowPunct w:val="0"/>
                    <w:autoSpaceDE w:val="0"/>
                    <w:autoSpaceDN w:val="0"/>
                    <w:jc w:val="center"/>
                    <w:textAlignment w:val="baseline"/>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名称</w:t>
                  </w:r>
                </w:p>
              </w:tc>
              <w:tc>
                <w:tcPr>
                  <w:tcW w:w="956" w:type="dxa"/>
                  <w:gridSpan w:val="2"/>
                  <w:tcBorders>
                    <w:tl2br w:val="nil"/>
                    <w:tr2bl w:val="nil"/>
                  </w:tcBorders>
                </w:tcPr>
                <w:p>
                  <w:pPr>
                    <w:overflowPunct w:val="0"/>
                    <w:autoSpaceDE w:val="0"/>
                    <w:autoSpaceDN w:val="0"/>
                    <w:spacing w:before="156" w:beforeLines="50"/>
                    <w:jc w:val="center"/>
                    <w:textAlignment w:val="baseline"/>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排气筒底部中心坐标/m</w:t>
                  </w:r>
                </w:p>
              </w:tc>
              <w:tc>
                <w:tcPr>
                  <w:tcW w:w="517" w:type="dxa"/>
                  <w:vMerge w:val="restart"/>
                  <w:tcBorders>
                    <w:tl2br w:val="nil"/>
                    <w:tr2bl w:val="nil"/>
                  </w:tcBorders>
                </w:tcPr>
                <w:p>
                  <w:pPr>
                    <w:overflowPunct w:val="0"/>
                    <w:autoSpaceDE w:val="0"/>
                    <w:autoSpaceDN w:val="0"/>
                    <w:jc w:val="center"/>
                    <w:textAlignment w:val="baseline"/>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排气筒底部海拔高度/m</w:t>
                  </w:r>
                </w:p>
              </w:tc>
              <w:tc>
                <w:tcPr>
                  <w:tcW w:w="813" w:type="dxa"/>
                  <w:vMerge w:val="restart"/>
                  <w:tcBorders>
                    <w:tl2br w:val="nil"/>
                    <w:tr2bl w:val="nil"/>
                  </w:tcBorders>
                  <w:vAlign w:val="center"/>
                </w:tcPr>
                <w:p>
                  <w:pPr>
                    <w:overflowPunct w:val="0"/>
                    <w:autoSpaceDE w:val="0"/>
                    <w:autoSpaceDN w:val="0"/>
                    <w:jc w:val="center"/>
                    <w:textAlignment w:val="baseline"/>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排气筒</w:t>
                  </w:r>
                </w:p>
                <w:p>
                  <w:pPr>
                    <w:overflowPunct w:val="0"/>
                    <w:autoSpaceDE w:val="0"/>
                    <w:autoSpaceDN w:val="0"/>
                    <w:jc w:val="center"/>
                    <w:textAlignment w:val="baseline"/>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高度（m）</w:t>
                  </w:r>
                </w:p>
              </w:tc>
              <w:tc>
                <w:tcPr>
                  <w:tcW w:w="813" w:type="dxa"/>
                  <w:vMerge w:val="restart"/>
                  <w:tcBorders>
                    <w:tl2br w:val="nil"/>
                    <w:tr2bl w:val="nil"/>
                  </w:tcBorders>
                  <w:vAlign w:val="center"/>
                </w:tcPr>
                <w:p>
                  <w:pPr>
                    <w:overflowPunct w:val="0"/>
                    <w:autoSpaceDE w:val="0"/>
                    <w:autoSpaceDN w:val="0"/>
                    <w:jc w:val="center"/>
                    <w:textAlignment w:val="baseline"/>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排气筒出口内径（m）</w:t>
                  </w:r>
                </w:p>
              </w:tc>
              <w:tc>
                <w:tcPr>
                  <w:tcW w:w="1058" w:type="dxa"/>
                  <w:vMerge w:val="restart"/>
                  <w:tcBorders>
                    <w:tl2br w:val="nil"/>
                    <w:tr2bl w:val="nil"/>
                  </w:tcBorders>
                  <w:vAlign w:val="center"/>
                </w:tcPr>
                <w:p>
                  <w:pPr>
                    <w:widowControl/>
                    <w:overflowPunct w:val="0"/>
                    <w:autoSpaceDE w:val="0"/>
                    <w:autoSpaceDN w:val="0"/>
                    <w:jc w:val="left"/>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烟气</w:t>
                  </w:r>
                  <w:r>
                    <w:rPr>
                      <w:rFonts w:hint="eastAsia" w:ascii="Times New Roman" w:hAnsi="Times New Roman" w:eastAsia="宋体" w:cs="Times New Roman"/>
                      <w:b/>
                      <w:color w:val="auto"/>
                      <w:szCs w:val="21"/>
                      <w:highlight w:val="none"/>
                    </w:rPr>
                    <w:t>流量</w:t>
                  </w:r>
                  <w:r>
                    <w:rPr>
                      <w:rFonts w:ascii="Times New Roman" w:hAnsi="Times New Roman" w:eastAsia="宋体" w:cs="Times New Roman"/>
                      <w:b/>
                      <w:color w:val="auto"/>
                      <w:szCs w:val="21"/>
                      <w:highlight w:val="none"/>
                    </w:rPr>
                    <w:t>（m</w:t>
                  </w:r>
                  <w:r>
                    <w:rPr>
                      <w:rFonts w:ascii="Times New Roman" w:hAnsi="Times New Roman" w:eastAsia="宋体" w:cs="Times New Roman"/>
                      <w:b/>
                      <w:color w:val="auto"/>
                      <w:szCs w:val="21"/>
                      <w:highlight w:val="none"/>
                      <w:vertAlign w:val="superscript"/>
                    </w:rPr>
                    <w:t>3</w:t>
                  </w:r>
                  <w:r>
                    <w:rPr>
                      <w:rFonts w:ascii="Times New Roman" w:hAnsi="Times New Roman" w:eastAsia="宋体" w:cs="Times New Roman"/>
                      <w:b/>
                      <w:color w:val="auto"/>
                      <w:szCs w:val="21"/>
                      <w:highlight w:val="none"/>
                    </w:rPr>
                    <w:t>/</w:t>
                  </w:r>
                  <w:r>
                    <w:rPr>
                      <w:rFonts w:hint="eastAsia" w:ascii="Times New Roman" w:hAnsi="Times New Roman" w:eastAsia="宋体" w:cs="Times New Roman"/>
                      <w:b/>
                      <w:color w:val="auto"/>
                      <w:szCs w:val="21"/>
                      <w:highlight w:val="none"/>
                    </w:rPr>
                    <w:t>h</w:t>
                  </w:r>
                  <w:r>
                    <w:rPr>
                      <w:rFonts w:ascii="Times New Roman" w:hAnsi="Times New Roman" w:eastAsia="宋体" w:cs="Times New Roman"/>
                      <w:b/>
                      <w:color w:val="auto"/>
                      <w:szCs w:val="21"/>
                      <w:highlight w:val="none"/>
                    </w:rPr>
                    <w:t>）</w:t>
                  </w:r>
                </w:p>
              </w:tc>
              <w:tc>
                <w:tcPr>
                  <w:tcW w:w="865" w:type="dxa"/>
                  <w:vMerge w:val="restart"/>
                  <w:tcBorders>
                    <w:tl2br w:val="nil"/>
                    <w:tr2bl w:val="nil"/>
                  </w:tcBorders>
                  <w:vAlign w:val="center"/>
                </w:tcPr>
                <w:p>
                  <w:pPr>
                    <w:widowControl/>
                    <w:overflowPunct w:val="0"/>
                    <w:autoSpaceDE w:val="0"/>
                    <w:autoSpaceDN w:val="0"/>
                    <w:jc w:val="left"/>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烟气温度（℃）</w:t>
                  </w:r>
                </w:p>
              </w:tc>
              <w:tc>
                <w:tcPr>
                  <w:tcW w:w="755" w:type="dxa"/>
                  <w:vMerge w:val="restart"/>
                  <w:tcBorders>
                    <w:tl2br w:val="nil"/>
                    <w:tr2bl w:val="nil"/>
                  </w:tcBorders>
                  <w:vAlign w:val="center"/>
                </w:tcPr>
                <w:p>
                  <w:pPr>
                    <w:overflowPunct w:val="0"/>
                    <w:autoSpaceDE w:val="0"/>
                    <w:autoSpaceDN w:val="0"/>
                    <w:jc w:val="center"/>
                    <w:textAlignment w:val="baseline"/>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年排放小时数（h）</w:t>
                  </w:r>
                </w:p>
              </w:tc>
              <w:tc>
                <w:tcPr>
                  <w:tcW w:w="455" w:type="dxa"/>
                  <w:vMerge w:val="restart"/>
                  <w:tcBorders>
                    <w:tl2br w:val="nil"/>
                    <w:tr2bl w:val="nil"/>
                  </w:tcBorders>
                  <w:vAlign w:val="center"/>
                </w:tcPr>
                <w:p>
                  <w:pPr>
                    <w:overflowPunct w:val="0"/>
                    <w:autoSpaceDE w:val="0"/>
                    <w:autoSpaceDN w:val="0"/>
                    <w:jc w:val="center"/>
                    <w:textAlignment w:val="baseline"/>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排放</w:t>
                  </w:r>
                </w:p>
                <w:p>
                  <w:pPr>
                    <w:overflowPunct w:val="0"/>
                    <w:autoSpaceDE w:val="0"/>
                    <w:autoSpaceDN w:val="0"/>
                    <w:jc w:val="center"/>
                    <w:textAlignment w:val="baseline"/>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工况</w:t>
                  </w:r>
                </w:p>
              </w:tc>
              <w:tc>
                <w:tcPr>
                  <w:tcW w:w="1035" w:type="dxa"/>
                  <w:tcBorders>
                    <w:tl2br w:val="nil"/>
                    <w:tr2bl w:val="nil"/>
                  </w:tcBorders>
                  <w:vAlign w:val="center"/>
                </w:tcPr>
                <w:p>
                  <w:pPr>
                    <w:overflowPunct w:val="0"/>
                    <w:autoSpaceDE w:val="0"/>
                    <w:autoSpaceDN w:val="0"/>
                    <w:jc w:val="center"/>
                    <w:textAlignment w:val="baseline"/>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污染物排放速率（kg/h）</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9" w:hRule="atLeast"/>
                <w:jc w:val="center"/>
              </w:trPr>
              <w:tc>
                <w:tcPr>
                  <w:tcW w:w="438" w:type="dxa"/>
                  <w:vMerge w:val="continue"/>
                  <w:tcBorders>
                    <w:tl2br w:val="nil"/>
                    <w:tr2bl w:val="nil"/>
                  </w:tcBorders>
                  <w:vAlign w:val="center"/>
                </w:tcPr>
                <w:p>
                  <w:pPr>
                    <w:widowControl/>
                    <w:overflowPunct w:val="0"/>
                    <w:autoSpaceDE w:val="0"/>
                    <w:autoSpaceDN w:val="0"/>
                    <w:jc w:val="left"/>
                    <w:rPr>
                      <w:rFonts w:ascii="Times New Roman" w:hAnsi="Times New Roman" w:eastAsia="宋体" w:cs="Times New Roman"/>
                      <w:b/>
                      <w:color w:val="auto"/>
                      <w:szCs w:val="21"/>
                      <w:highlight w:val="none"/>
                    </w:rPr>
                  </w:pPr>
                </w:p>
              </w:tc>
              <w:tc>
                <w:tcPr>
                  <w:tcW w:w="571" w:type="dxa"/>
                  <w:vMerge w:val="continue"/>
                  <w:tcBorders>
                    <w:tl2br w:val="nil"/>
                    <w:tr2bl w:val="nil"/>
                  </w:tcBorders>
                  <w:vAlign w:val="center"/>
                </w:tcPr>
                <w:p>
                  <w:pPr>
                    <w:widowControl/>
                    <w:overflowPunct w:val="0"/>
                    <w:autoSpaceDE w:val="0"/>
                    <w:autoSpaceDN w:val="0"/>
                    <w:jc w:val="left"/>
                    <w:rPr>
                      <w:rFonts w:ascii="Times New Roman" w:hAnsi="Times New Roman" w:eastAsia="宋体" w:cs="Times New Roman"/>
                      <w:b/>
                      <w:color w:val="auto"/>
                      <w:szCs w:val="21"/>
                      <w:highlight w:val="none"/>
                    </w:rPr>
                  </w:pPr>
                </w:p>
              </w:tc>
              <w:tc>
                <w:tcPr>
                  <w:tcW w:w="458" w:type="dxa"/>
                  <w:tcBorders>
                    <w:tl2br w:val="nil"/>
                    <w:tr2bl w:val="nil"/>
                  </w:tcBorders>
                </w:tcPr>
                <w:p>
                  <w:pPr>
                    <w:overflowPunct w:val="0"/>
                    <w:autoSpaceDE w:val="0"/>
                    <w:autoSpaceDN w:val="0"/>
                    <w:spacing w:before="156" w:beforeLines="50"/>
                    <w:jc w:val="center"/>
                    <w:textAlignment w:val="baseline"/>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X</w:t>
                  </w:r>
                </w:p>
              </w:tc>
              <w:tc>
                <w:tcPr>
                  <w:tcW w:w="498" w:type="dxa"/>
                  <w:tcBorders>
                    <w:tl2br w:val="nil"/>
                    <w:tr2bl w:val="nil"/>
                  </w:tcBorders>
                </w:tcPr>
                <w:p>
                  <w:pPr>
                    <w:overflowPunct w:val="0"/>
                    <w:autoSpaceDE w:val="0"/>
                    <w:autoSpaceDN w:val="0"/>
                    <w:spacing w:before="156" w:beforeLines="50"/>
                    <w:jc w:val="center"/>
                    <w:textAlignment w:val="baseline"/>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Y</w:t>
                  </w:r>
                </w:p>
              </w:tc>
              <w:tc>
                <w:tcPr>
                  <w:tcW w:w="517" w:type="dxa"/>
                  <w:vMerge w:val="continue"/>
                  <w:tcBorders>
                    <w:tl2br w:val="nil"/>
                    <w:tr2bl w:val="nil"/>
                  </w:tcBorders>
                  <w:vAlign w:val="center"/>
                </w:tcPr>
                <w:p>
                  <w:pPr>
                    <w:widowControl/>
                    <w:overflowPunct w:val="0"/>
                    <w:autoSpaceDE w:val="0"/>
                    <w:autoSpaceDN w:val="0"/>
                    <w:jc w:val="left"/>
                    <w:rPr>
                      <w:rFonts w:ascii="Times New Roman" w:hAnsi="Times New Roman" w:eastAsia="宋体" w:cs="Times New Roman"/>
                      <w:b/>
                      <w:color w:val="auto"/>
                      <w:szCs w:val="21"/>
                      <w:highlight w:val="none"/>
                    </w:rPr>
                  </w:pPr>
                </w:p>
              </w:tc>
              <w:tc>
                <w:tcPr>
                  <w:tcW w:w="813" w:type="dxa"/>
                  <w:vMerge w:val="continue"/>
                  <w:tcBorders>
                    <w:tl2br w:val="nil"/>
                    <w:tr2bl w:val="nil"/>
                  </w:tcBorders>
                  <w:vAlign w:val="center"/>
                </w:tcPr>
                <w:p>
                  <w:pPr>
                    <w:widowControl/>
                    <w:overflowPunct w:val="0"/>
                    <w:autoSpaceDE w:val="0"/>
                    <w:autoSpaceDN w:val="0"/>
                    <w:jc w:val="left"/>
                    <w:rPr>
                      <w:rFonts w:ascii="Times New Roman" w:hAnsi="Times New Roman" w:eastAsia="宋体" w:cs="Times New Roman"/>
                      <w:b/>
                      <w:color w:val="auto"/>
                      <w:szCs w:val="21"/>
                      <w:highlight w:val="none"/>
                    </w:rPr>
                  </w:pPr>
                </w:p>
              </w:tc>
              <w:tc>
                <w:tcPr>
                  <w:tcW w:w="813" w:type="dxa"/>
                  <w:vMerge w:val="continue"/>
                  <w:tcBorders>
                    <w:tl2br w:val="nil"/>
                    <w:tr2bl w:val="nil"/>
                  </w:tcBorders>
                  <w:vAlign w:val="center"/>
                </w:tcPr>
                <w:p>
                  <w:pPr>
                    <w:widowControl/>
                    <w:overflowPunct w:val="0"/>
                    <w:autoSpaceDE w:val="0"/>
                    <w:autoSpaceDN w:val="0"/>
                    <w:jc w:val="left"/>
                    <w:rPr>
                      <w:rFonts w:ascii="Times New Roman" w:hAnsi="Times New Roman" w:eastAsia="宋体" w:cs="Times New Roman"/>
                      <w:b/>
                      <w:color w:val="auto"/>
                      <w:szCs w:val="21"/>
                      <w:highlight w:val="none"/>
                    </w:rPr>
                  </w:pPr>
                </w:p>
              </w:tc>
              <w:tc>
                <w:tcPr>
                  <w:tcW w:w="1058" w:type="dxa"/>
                  <w:vMerge w:val="continue"/>
                  <w:tcBorders>
                    <w:tl2br w:val="nil"/>
                    <w:tr2bl w:val="nil"/>
                  </w:tcBorders>
                  <w:vAlign w:val="center"/>
                </w:tcPr>
                <w:p>
                  <w:pPr>
                    <w:widowControl/>
                    <w:overflowPunct w:val="0"/>
                    <w:autoSpaceDE w:val="0"/>
                    <w:autoSpaceDN w:val="0"/>
                    <w:jc w:val="left"/>
                    <w:rPr>
                      <w:rFonts w:ascii="Times New Roman" w:hAnsi="Times New Roman" w:eastAsia="宋体" w:cs="Times New Roman"/>
                      <w:b/>
                      <w:color w:val="auto"/>
                      <w:szCs w:val="21"/>
                      <w:highlight w:val="none"/>
                    </w:rPr>
                  </w:pPr>
                </w:p>
              </w:tc>
              <w:tc>
                <w:tcPr>
                  <w:tcW w:w="865" w:type="dxa"/>
                  <w:vMerge w:val="continue"/>
                  <w:tcBorders>
                    <w:tl2br w:val="nil"/>
                    <w:tr2bl w:val="nil"/>
                  </w:tcBorders>
                  <w:vAlign w:val="center"/>
                </w:tcPr>
                <w:p>
                  <w:pPr>
                    <w:widowControl/>
                    <w:overflowPunct w:val="0"/>
                    <w:autoSpaceDE w:val="0"/>
                    <w:autoSpaceDN w:val="0"/>
                    <w:jc w:val="left"/>
                    <w:rPr>
                      <w:rFonts w:ascii="Times New Roman" w:hAnsi="Times New Roman" w:eastAsia="宋体" w:cs="Times New Roman"/>
                      <w:b/>
                      <w:color w:val="auto"/>
                      <w:szCs w:val="21"/>
                      <w:highlight w:val="none"/>
                    </w:rPr>
                  </w:pPr>
                </w:p>
              </w:tc>
              <w:tc>
                <w:tcPr>
                  <w:tcW w:w="755" w:type="dxa"/>
                  <w:vMerge w:val="continue"/>
                  <w:tcBorders>
                    <w:tl2br w:val="nil"/>
                    <w:tr2bl w:val="nil"/>
                  </w:tcBorders>
                  <w:vAlign w:val="center"/>
                </w:tcPr>
                <w:p>
                  <w:pPr>
                    <w:widowControl/>
                    <w:overflowPunct w:val="0"/>
                    <w:autoSpaceDE w:val="0"/>
                    <w:autoSpaceDN w:val="0"/>
                    <w:jc w:val="left"/>
                    <w:rPr>
                      <w:rFonts w:ascii="Times New Roman" w:hAnsi="Times New Roman" w:eastAsia="宋体" w:cs="Times New Roman"/>
                      <w:b/>
                      <w:color w:val="auto"/>
                      <w:szCs w:val="21"/>
                      <w:highlight w:val="none"/>
                    </w:rPr>
                  </w:pPr>
                </w:p>
              </w:tc>
              <w:tc>
                <w:tcPr>
                  <w:tcW w:w="455" w:type="dxa"/>
                  <w:vMerge w:val="continue"/>
                  <w:tcBorders>
                    <w:tl2br w:val="nil"/>
                    <w:tr2bl w:val="nil"/>
                  </w:tcBorders>
                  <w:vAlign w:val="center"/>
                </w:tcPr>
                <w:p>
                  <w:pPr>
                    <w:widowControl/>
                    <w:overflowPunct w:val="0"/>
                    <w:autoSpaceDE w:val="0"/>
                    <w:autoSpaceDN w:val="0"/>
                    <w:jc w:val="left"/>
                    <w:rPr>
                      <w:rFonts w:ascii="Times New Roman" w:hAnsi="Times New Roman" w:eastAsia="宋体" w:cs="Times New Roman"/>
                      <w:b/>
                      <w:color w:val="auto"/>
                      <w:szCs w:val="21"/>
                      <w:highlight w:val="none"/>
                    </w:rPr>
                  </w:pPr>
                </w:p>
              </w:tc>
              <w:tc>
                <w:tcPr>
                  <w:tcW w:w="1035" w:type="dxa"/>
                  <w:tcBorders>
                    <w:tl2br w:val="nil"/>
                    <w:tr2bl w:val="nil"/>
                  </w:tcBorders>
                  <w:vAlign w:val="center"/>
                </w:tcPr>
                <w:p>
                  <w:pPr>
                    <w:overflowPunct w:val="0"/>
                    <w:autoSpaceDE w:val="0"/>
                    <w:autoSpaceDN w:val="0"/>
                    <w:jc w:val="center"/>
                    <w:textAlignment w:val="baseline"/>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非甲烷总烃</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90" w:hRule="atLeast"/>
                <w:jc w:val="center"/>
              </w:trPr>
              <w:tc>
                <w:tcPr>
                  <w:tcW w:w="438" w:type="dxa"/>
                  <w:vMerge w:val="restart"/>
                  <w:tcBorders>
                    <w:tl2br w:val="nil"/>
                    <w:tr2bl w:val="nil"/>
                  </w:tcBorders>
                  <w:vAlign w:val="center"/>
                </w:tcPr>
                <w:p>
                  <w:pPr>
                    <w:overflowPunct w:val="0"/>
                    <w:autoSpaceDE w:val="0"/>
                    <w:autoSpaceDN w:val="0"/>
                    <w:jc w:val="center"/>
                    <w:textAlignment w:val="baseline"/>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P1</w:t>
                  </w:r>
                </w:p>
              </w:tc>
              <w:tc>
                <w:tcPr>
                  <w:tcW w:w="571" w:type="dxa"/>
                  <w:tcBorders>
                    <w:tl2br w:val="nil"/>
                    <w:tr2bl w:val="nil"/>
                  </w:tcBorders>
                  <w:vAlign w:val="center"/>
                </w:tcPr>
                <w:p>
                  <w:pPr>
                    <w:tabs>
                      <w:tab w:val="left" w:pos="480"/>
                    </w:tabs>
                    <w:overflowPunct w:val="0"/>
                    <w:autoSpaceDE w:val="0"/>
                    <w:autoSpaceDN w:val="0"/>
                    <w:adjustRightInd w:val="0"/>
                    <w:snapToGrid w:val="0"/>
                    <w:ind w:left="-59" w:leftChars="-28" w:right="-71" w:rightChars="-34"/>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发泡工序</w:t>
                  </w:r>
                </w:p>
              </w:tc>
              <w:tc>
                <w:tcPr>
                  <w:tcW w:w="458" w:type="dxa"/>
                  <w:vMerge w:val="restart"/>
                  <w:tcBorders>
                    <w:tl2br w:val="nil"/>
                    <w:tr2bl w:val="nil"/>
                  </w:tcBorders>
                  <w:vAlign w:val="center"/>
                </w:tcPr>
                <w:p>
                  <w:pPr>
                    <w:overflowPunct w:val="0"/>
                    <w:autoSpaceDE w:val="0"/>
                    <w:autoSpaceDN w:val="0"/>
                    <w:jc w:val="center"/>
                    <w:textAlignment w:val="baseline"/>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-3</w:t>
                  </w:r>
                </w:p>
              </w:tc>
              <w:tc>
                <w:tcPr>
                  <w:tcW w:w="498" w:type="dxa"/>
                  <w:vMerge w:val="restart"/>
                  <w:tcBorders>
                    <w:tl2br w:val="nil"/>
                    <w:tr2bl w:val="nil"/>
                  </w:tcBorders>
                  <w:vAlign w:val="center"/>
                </w:tcPr>
                <w:p>
                  <w:pPr>
                    <w:overflowPunct w:val="0"/>
                    <w:autoSpaceDE w:val="0"/>
                    <w:autoSpaceDN w:val="0"/>
                    <w:jc w:val="center"/>
                    <w:textAlignment w:val="baseline"/>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-3</w:t>
                  </w:r>
                  <w:r>
                    <w:rPr>
                      <w:rFonts w:hint="eastAsia" w:ascii="Times New Roman" w:hAnsi="Times New Roman" w:eastAsia="宋体" w:cs="Times New Roman"/>
                      <w:color w:val="auto"/>
                      <w:szCs w:val="21"/>
                      <w:highlight w:val="none"/>
                    </w:rPr>
                    <w:t>3</w:t>
                  </w:r>
                </w:p>
              </w:tc>
              <w:tc>
                <w:tcPr>
                  <w:tcW w:w="517" w:type="dxa"/>
                  <w:vMerge w:val="restart"/>
                  <w:tcBorders>
                    <w:tl2br w:val="nil"/>
                    <w:tr2bl w:val="nil"/>
                  </w:tcBorders>
                  <w:vAlign w:val="center"/>
                </w:tcPr>
                <w:p>
                  <w:pPr>
                    <w:overflowPunct w:val="0"/>
                    <w:autoSpaceDE w:val="0"/>
                    <w:autoSpaceDN w:val="0"/>
                    <w:jc w:val="center"/>
                    <w:textAlignment w:val="baseline"/>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0</w:t>
                  </w:r>
                </w:p>
              </w:tc>
              <w:tc>
                <w:tcPr>
                  <w:tcW w:w="813" w:type="dxa"/>
                  <w:vMerge w:val="restart"/>
                  <w:tcBorders>
                    <w:tl2br w:val="nil"/>
                    <w:tr2bl w:val="nil"/>
                  </w:tcBorders>
                  <w:vAlign w:val="center"/>
                </w:tcPr>
                <w:p>
                  <w:pPr>
                    <w:overflowPunct w:val="0"/>
                    <w:autoSpaceDE w:val="0"/>
                    <w:autoSpaceDN w:val="0"/>
                    <w:jc w:val="center"/>
                    <w:textAlignment w:val="baseline"/>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15</w:t>
                  </w:r>
                </w:p>
              </w:tc>
              <w:tc>
                <w:tcPr>
                  <w:tcW w:w="813" w:type="dxa"/>
                  <w:vMerge w:val="restart"/>
                  <w:tcBorders>
                    <w:tl2br w:val="nil"/>
                    <w:tr2bl w:val="nil"/>
                  </w:tcBorders>
                  <w:vAlign w:val="center"/>
                </w:tcPr>
                <w:p>
                  <w:pPr>
                    <w:overflowPunct w:val="0"/>
                    <w:autoSpaceDE w:val="0"/>
                    <w:autoSpaceDN w:val="0"/>
                    <w:jc w:val="center"/>
                    <w:rPr>
                      <w:rFonts w:hint="eastAsia" w:ascii="Times New Roman" w:hAnsi="Times New Roman" w:eastAsia="宋体" w:cs="Times New Roman"/>
                      <w:color w:val="auto"/>
                      <w:szCs w:val="21"/>
                      <w:highlight w:val="none"/>
                      <w:lang w:eastAsia="zh-CN"/>
                    </w:rPr>
                  </w:pPr>
                  <w:r>
                    <w:rPr>
                      <w:rFonts w:ascii="Times New Roman" w:hAnsi="Times New Roman" w:eastAsia="宋体" w:cs="Times New Roman"/>
                      <w:color w:val="auto"/>
                      <w:szCs w:val="21"/>
                      <w:highlight w:val="none"/>
                    </w:rPr>
                    <w:t>0.</w:t>
                  </w:r>
                  <w:r>
                    <w:rPr>
                      <w:rFonts w:hint="eastAsia" w:ascii="Times New Roman" w:hAnsi="Times New Roman" w:eastAsia="宋体" w:cs="Times New Roman"/>
                      <w:color w:val="auto"/>
                      <w:szCs w:val="21"/>
                      <w:highlight w:val="none"/>
                      <w:lang w:val="en-US" w:eastAsia="zh-CN"/>
                    </w:rPr>
                    <w:t>5</w:t>
                  </w:r>
                </w:p>
              </w:tc>
              <w:tc>
                <w:tcPr>
                  <w:tcW w:w="1058" w:type="dxa"/>
                  <w:vMerge w:val="restart"/>
                  <w:tcBorders>
                    <w:tl2br w:val="nil"/>
                    <w:tr2bl w:val="nil"/>
                  </w:tcBorders>
                  <w:vAlign w:val="center"/>
                </w:tcPr>
                <w:p>
                  <w:pPr>
                    <w:overflowPunct w:val="0"/>
                    <w:autoSpaceDE w:val="0"/>
                    <w:autoSpaceDN w:val="0"/>
                    <w:jc w:val="center"/>
                    <w:textAlignment w:val="baseline"/>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13000</w:t>
                  </w:r>
                </w:p>
              </w:tc>
              <w:tc>
                <w:tcPr>
                  <w:tcW w:w="865" w:type="dxa"/>
                  <w:vMerge w:val="restart"/>
                  <w:tcBorders>
                    <w:tl2br w:val="nil"/>
                    <w:tr2bl w:val="nil"/>
                  </w:tcBorders>
                  <w:vAlign w:val="center"/>
                </w:tcPr>
                <w:p>
                  <w:pPr>
                    <w:overflowPunct w:val="0"/>
                    <w:autoSpaceDE w:val="0"/>
                    <w:autoSpaceDN w:val="0"/>
                    <w:jc w:val="center"/>
                    <w:textAlignment w:val="baseline"/>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25</w:t>
                  </w:r>
                </w:p>
              </w:tc>
              <w:tc>
                <w:tcPr>
                  <w:tcW w:w="755" w:type="dxa"/>
                  <w:tcBorders>
                    <w:tl2br w:val="nil"/>
                    <w:tr2bl w:val="nil"/>
                  </w:tcBorders>
                  <w:vAlign w:val="center"/>
                </w:tcPr>
                <w:p>
                  <w:pPr>
                    <w:overflowPunct w:val="0"/>
                    <w:autoSpaceDE w:val="0"/>
                    <w:autoSpaceDN w:val="0"/>
                    <w:jc w:val="center"/>
                    <w:textAlignment w:val="baseline"/>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1200</w:t>
                  </w:r>
                </w:p>
              </w:tc>
              <w:tc>
                <w:tcPr>
                  <w:tcW w:w="455" w:type="dxa"/>
                  <w:tcBorders>
                    <w:tl2br w:val="nil"/>
                    <w:tr2bl w:val="nil"/>
                  </w:tcBorders>
                  <w:vAlign w:val="center"/>
                </w:tcPr>
                <w:p>
                  <w:pPr>
                    <w:overflowPunct w:val="0"/>
                    <w:autoSpaceDE w:val="0"/>
                    <w:autoSpaceDN w:val="0"/>
                    <w:jc w:val="center"/>
                    <w:textAlignment w:val="baseline"/>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正常</w:t>
                  </w:r>
                </w:p>
              </w:tc>
              <w:tc>
                <w:tcPr>
                  <w:tcW w:w="1035" w:type="dxa"/>
                  <w:tcBorders>
                    <w:tl2br w:val="nil"/>
                    <w:tr2bl w:val="nil"/>
                  </w:tcBorders>
                  <w:vAlign w:val="center"/>
                </w:tcPr>
                <w:p>
                  <w:pPr>
                    <w:overflowPunct w:val="0"/>
                    <w:autoSpaceDE w:val="0"/>
                    <w:autoSpaceDN w:val="0"/>
                    <w:jc w:val="center"/>
                    <w:textAlignment w:val="baseline"/>
                    <w:rPr>
                      <w:rFonts w:ascii="Times New Roman" w:hAnsi="Times New Roman" w:eastAsia="宋体" w:cs="Times New Roman"/>
                      <w:color w:val="auto"/>
                      <w:szCs w:val="21"/>
                      <w:highlight w:val="none"/>
                    </w:rPr>
                  </w:pPr>
                  <w:r>
                    <w:rPr>
                      <w:rFonts w:ascii="Times New Roman" w:hAnsi="Times New Roman" w:cs="Times New Roman"/>
                      <w:color w:val="auto"/>
                      <w:szCs w:val="21"/>
                      <w:highlight w:val="none"/>
                    </w:rPr>
                    <w:t>0.0595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97" w:hRule="atLeast"/>
                <w:jc w:val="center"/>
              </w:trPr>
              <w:tc>
                <w:tcPr>
                  <w:tcW w:w="438" w:type="dxa"/>
                  <w:vMerge w:val="continue"/>
                  <w:tcBorders>
                    <w:tl2br w:val="nil"/>
                    <w:tr2bl w:val="nil"/>
                  </w:tcBorders>
                  <w:vAlign w:val="center"/>
                </w:tcPr>
                <w:p>
                  <w:pPr>
                    <w:overflowPunct w:val="0"/>
                    <w:autoSpaceDE w:val="0"/>
                    <w:autoSpaceDN w:val="0"/>
                    <w:jc w:val="center"/>
                    <w:textAlignment w:val="baseline"/>
                    <w:rPr>
                      <w:rFonts w:ascii="Times New Roman" w:hAnsi="Times New Roman" w:eastAsia="宋体" w:cs="Times New Roman"/>
                      <w:color w:val="auto"/>
                      <w:szCs w:val="21"/>
                      <w:highlight w:val="none"/>
                    </w:rPr>
                  </w:pPr>
                </w:p>
              </w:tc>
              <w:tc>
                <w:tcPr>
                  <w:tcW w:w="571" w:type="dxa"/>
                  <w:tcBorders>
                    <w:tl2br w:val="nil"/>
                    <w:tr2bl w:val="nil"/>
                  </w:tcBorders>
                  <w:vAlign w:val="center"/>
                </w:tcPr>
                <w:p>
                  <w:pPr>
                    <w:tabs>
                      <w:tab w:val="left" w:pos="480"/>
                    </w:tabs>
                    <w:overflowPunct w:val="0"/>
                    <w:autoSpaceDE w:val="0"/>
                    <w:autoSpaceDN w:val="0"/>
                    <w:adjustRightInd w:val="0"/>
                    <w:snapToGrid w:val="0"/>
                    <w:ind w:left="-59" w:leftChars="-28" w:right="-71" w:rightChars="-34"/>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成型工序</w:t>
                  </w:r>
                </w:p>
              </w:tc>
              <w:tc>
                <w:tcPr>
                  <w:tcW w:w="458" w:type="dxa"/>
                  <w:vMerge w:val="continue"/>
                  <w:tcBorders>
                    <w:tl2br w:val="nil"/>
                    <w:tr2bl w:val="nil"/>
                  </w:tcBorders>
                  <w:vAlign w:val="center"/>
                </w:tcPr>
                <w:p>
                  <w:pPr>
                    <w:overflowPunct w:val="0"/>
                    <w:autoSpaceDE w:val="0"/>
                    <w:autoSpaceDN w:val="0"/>
                    <w:jc w:val="center"/>
                    <w:textAlignment w:val="baseline"/>
                    <w:rPr>
                      <w:rFonts w:ascii="Times New Roman" w:hAnsi="Times New Roman" w:eastAsia="宋体" w:cs="Times New Roman"/>
                      <w:color w:val="auto"/>
                      <w:szCs w:val="21"/>
                      <w:highlight w:val="none"/>
                    </w:rPr>
                  </w:pPr>
                </w:p>
              </w:tc>
              <w:tc>
                <w:tcPr>
                  <w:tcW w:w="498" w:type="dxa"/>
                  <w:vMerge w:val="continue"/>
                  <w:tcBorders>
                    <w:tl2br w:val="nil"/>
                    <w:tr2bl w:val="nil"/>
                  </w:tcBorders>
                  <w:vAlign w:val="center"/>
                </w:tcPr>
                <w:p>
                  <w:pPr>
                    <w:overflowPunct w:val="0"/>
                    <w:autoSpaceDE w:val="0"/>
                    <w:autoSpaceDN w:val="0"/>
                    <w:jc w:val="center"/>
                    <w:textAlignment w:val="baseline"/>
                    <w:rPr>
                      <w:rFonts w:ascii="Times New Roman" w:hAnsi="Times New Roman" w:eastAsia="宋体" w:cs="Times New Roman"/>
                      <w:color w:val="auto"/>
                      <w:szCs w:val="21"/>
                      <w:highlight w:val="none"/>
                    </w:rPr>
                  </w:pPr>
                </w:p>
              </w:tc>
              <w:tc>
                <w:tcPr>
                  <w:tcW w:w="517" w:type="dxa"/>
                  <w:vMerge w:val="continue"/>
                  <w:tcBorders>
                    <w:tl2br w:val="nil"/>
                    <w:tr2bl w:val="nil"/>
                  </w:tcBorders>
                  <w:vAlign w:val="center"/>
                </w:tcPr>
                <w:p>
                  <w:pPr>
                    <w:overflowPunct w:val="0"/>
                    <w:autoSpaceDE w:val="0"/>
                    <w:autoSpaceDN w:val="0"/>
                    <w:jc w:val="center"/>
                    <w:textAlignment w:val="baseline"/>
                    <w:rPr>
                      <w:rFonts w:ascii="Times New Roman" w:hAnsi="Times New Roman" w:eastAsia="宋体" w:cs="Times New Roman"/>
                      <w:color w:val="auto"/>
                      <w:szCs w:val="21"/>
                      <w:highlight w:val="none"/>
                    </w:rPr>
                  </w:pPr>
                </w:p>
              </w:tc>
              <w:tc>
                <w:tcPr>
                  <w:tcW w:w="813" w:type="dxa"/>
                  <w:vMerge w:val="continue"/>
                  <w:tcBorders>
                    <w:tl2br w:val="nil"/>
                    <w:tr2bl w:val="nil"/>
                  </w:tcBorders>
                  <w:vAlign w:val="center"/>
                </w:tcPr>
                <w:p>
                  <w:pPr>
                    <w:overflowPunct w:val="0"/>
                    <w:autoSpaceDE w:val="0"/>
                    <w:autoSpaceDN w:val="0"/>
                    <w:jc w:val="center"/>
                    <w:textAlignment w:val="baseline"/>
                    <w:rPr>
                      <w:rFonts w:ascii="Times New Roman" w:hAnsi="Times New Roman" w:eastAsia="宋体" w:cs="Times New Roman"/>
                      <w:color w:val="auto"/>
                      <w:szCs w:val="21"/>
                      <w:highlight w:val="none"/>
                    </w:rPr>
                  </w:pPr>
                </w:p>
              </w:tc>
              <w:tc>
                <w:tcPr>
                  <w:tcW w:w="813" w:type="dxa"/>
                  <w:vMerge w:val="continue"/>
                  <w:tcBorders>
                    <w:tl2br w:val="nil"/>
                    <w:tr2bl w:val="nil"/>
                  </w:tcBorders>
                  <w:vAlign w:val="center"/>
                </w:tcPr>
                <w:p>
                  <w:pPr>
                    <w:overflowPunct w:val="0"/>
                    <w:autoSpaceDE w:val="0"/>
                    <w:autoSpaceDN w:val="0"/>
                    <w:jc w:val="center"/>
                    <w:rPr>
                      <w:rFonts w:ascii="Times New Roman" w:hAnsi="Times New Roman" w:eastAsia="宋体" w:cs="Times New Roman"/>
                      <w:color w:val="auto"/>
                      <w:szCs w:val="21"/>
                      <w:highlight w:val="none"/>
                    </w:rPr>
                  </w:pPr>
                </w:p>
              </w:tc>
              <w:tc>
                <w:tcPr>
                  <w:tcW w:w="1058" w:type="dxa"/>
                  <w:vMerge w:val="continue"/>
                  <w:tcBorders>
                    <w:tl2br w:val="nil"/>
                    <w:tr2bl w:val="nil"/>
                  </w:tcBorders>
                  <w:vAlign w:val="center"/>
                </w:tcPr>
                <w:p>
                  <w:pPr>
                    <w:overflowPunct w:val="0"/>
                    <w:autoSpaceDE w:val="0"/>
                    <w:autoSpaceDN w:val="0"/>
                    <w:jc w:val="center"/>
                    <w:textAlignment w:val="baseline"/>
                    <w:rPr>
                      <w:rFonts w:ascii="Times New Roman" w:hAnsi="Times New Roman" w:eastAsia="宋体" w:cs="Times New Roman"/>
                      <w:color w:val="auto"/>
                      <w:szCs w:val="21"/>
                      <w:highlight w:val="none"/>
                    </w:rPr>
                  </w:pPr>
                </w:p>
              </w:tc>
              <w:tc>
                <w:tcPr>
                  <w:tcW w:w="865" w:type="dxa"/>
                  <w:vMerge w:val="continue"/>
                  <w:tcBorders>
                    <w:tl2br w:val="nil"/>
                    <w:tr2bl w:val="nil"/>
                  </w:tcBorders>
                  <w:vAlign w:val="center"/>
                </w:tcPr>
                <w:p>
                  <w:pPr>
                    <w:overflowPunct w:val="0"/>
                    <w:autoSpaceDE w:val="0"/>
                    <w:autoSpaceDN w:val="0"/>
                    <w:jc w:val="center"/>
                    <w:textAlignment w:val="baseline"/>
                    <w:rPr>
                      <w:rFonts w:ascii="Times New Roman" w:hAnsi="Times New Roman" w:eastAsia="宋体" w:cs="Times New Roman"/>
                      <w:color w:val="auto"/>
                      <w:szCs w:val="21"/>
                      <w:highlight w:val="none"/>
                    </w:rPr>
                  </w:pPr>
                </w:p>
              </w:tc>
              <w:tc>
                <w:tcPr>
                  <w:tcW w:w="755" w:type="dxa"/>
                  <w:tcBorders>
                    <w:tl2br w:val="nil"/>
                    <w:tr2bl w:val="nil"/>
                  </w:tcBorders>
                  <w:vAlign w:val="center"/>
                </w:tcPr>
                <w:p>
                  <w:pPr>
                    <w:overflowPunct w:val="0"/>
                    <w:autoSpaceDE w:val="0"/>
                    <w:autoSpaceDN w:val="0"/>
                    <w:jc w:val="center"/>
                    <w:textAlignment w:val="baseline"/>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2</w:t>
                  </w:r>
                  <w:r>
                    <w:rPr>
                      <w:rFonts w:ascii="Times New Roman" w:hAnsi="Times New Roman" w:eastAsia="宋体" w:cs="Times New Roman"/>
                      <w:color w:val="auto"/>
                      <w:szCs w:val="21"/>
                      <w:highlight w:val="none"/>
                    </w:rPr>
                    <w:t>400</w:t>
                  </w:r>
                </w:p>
              </w:tc>
              <w:tc>
                <w:tcPr>
                  <w:tcW w:w="455" w:type="dxa"/>
                  <w:tcBorders>
                    <w:tl2br w:val="nil"/>
                    <w:tr2bl w:val="nil"/>
                  </w:tcBorders>
                  <w:vAlign w:val="center"/>
                </w:tcPr>
                <w:p>
                  <w:pPr>
                    <w:overflowPunct w:val="0"/>
                    <w:autoSpaceDE w:val="0"/>
                    <w:autoSpaceDN w:val="0"/>
                    <w:jc w:val="center"/>
                    <w:textAlignment w:val="baseline"/>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正常</w:t>
                  </w:r>
                </w:p>
              </w:tc>
              <w:tc>
                <w:tcPr>
                  <w:tcW w:w="1035" w:type="dxa"/>
                  <w:tcBorders>
                    <w:tl2br w:val="nil"/>
                    <w:tr2bl w:val="nil"/>
                  </w:tcBorders>
                  <w:vAlign w:val="center"/>
                </w:tcPr>
                <w:p>
                  <w:pPr>
                    <w:overflowPunct w:val="0"/>
                    <w:autoSpaceDE w:val="0"/>
                    <w:autoSpaceDN w:val="0"/>
                    <w:jc w:val="center"/>
                    <w:textAlignment w:val="baseline"/>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0</w:t>
                  </w:r>
                  <w:r>
                    <w:rPr>
                      <w:rFonts w:ascii="Times New Roman" w:hAnsi="Times New Roman" w:cs="Times New Roman"/>
                      <w:color w:val="auto"/>
                      <w:szCs w:val="21"/>
                      <w:highlight w:val="none"/>
                    </w:rPr>
                    <w:t>.1607</w:t>
                  </w:r>
                </w:p>
              </w:tc>
            </w:tr>
          </w:tbl>
          <w:p>
            <w:pPr>
              <w:spacing w:line="276" w:lineRule="auto"/>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 xml:space="preserve">表 </w:t>
            </w:r>
            <w:r>
              <w:rPr>
                <w:rFonts w:hint="eastAsia" w:ascii="Times New Roman" w:hAnsi="Times New Roman" w:eastAsia="宋体" w:cs="Times New Roman"/>
                <w:b/>
                <w:bCs/>
                <w:color w:val="auto"/>
                <w:szCs w:val="21"/>
                <w:highlight w:val="none"/>
              </w:rPr>
              <w:t>7-</w:t>
            </w:r>
            <w:r>
              <w:rPr>
                <w:rFonts w:ascii="Times New Roman" w:hAnsi="Times New Roman" w:eastAsia="宋体" w:cs="Times New Roman"/>
                <w:b/>
                <w:bCs/>
                <w:color w:val="auto"/>
                <w:szCs w:val="21"/>
                <w:highlight w:val="none"/>
              </w:rPr>
              <w:t>11项目排放源参数表（面源）</w:t>
            </w:r>
          </w:p>
          <w:tbl>
            <w:tblPr>
              <w:tblStyle w:val="22"/>
              <w:tblW w:w="8276"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27"/>
              <w:gridCol w:w="620"/>
              <w:gridCol w:w="476"/>
              <w:gridCol w:w="481"/>
              <w:gridCol w:w="601"/>
              <w:gridCol w:w="813"/>
              <w:gridCol w:w="813"/>
              <w:gridCol w:w="611"/>
              <w:gridCol w:w="813"/>
              <w:gridCol w:w="755"/>
              <w:gridCol w:w="466"/>
              <w:gridCol w:w="140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60" w:hRule="atLeast"/>
                <w:jc w:val="center"/>
              </w:trPr>
              <w:tc>
                <w:tcPr>
                  <w:tcW w:w="427" w:type="dxa"/>
                  <w:vMerge w:val="restart"/>
                  <w:tcBorders>
                    <w:tl2br w:val="nil"/>
                    <w:tr2bl w:val="nil"/>
                  </w:tcBorders>
                  <w:vAlign w:val="center"/>
                </w:tcPr>
                <w:p>
                  <w:pPr>
                    <w:overflowPunct w:val="0"/>
                    <w:autoSpaceDE w:val="0"/>
                    <w:autoSpaceDN w:val="0"/>
                    <w:jc w:val="center"/>
                    <w:textAlignment w:val="baseline"/>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面源</w:t>
                  </w:r>
                </w:p>
                <w:p>
                  <w:pPr>
                    <w:overflowPunct w:val="0"/>
                    <w:autoSpaceDE w:val="0"/>
                    <w:autoSpaceDN w:val="0"/>
                    <w:jc w:val="center"/>
                    <w:textAlignment w:val="baseline"/>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编号</w:t>
                  </w:r>
                </w:p>
              </w:tc>
              <w:tc>
                <w:tcPr>
                  <w:tcW w:w="620" w:type="dxa"/>
                  <w:vMerge w:val="restart"/>
                  <w:tcBorders>
                    <w:tl2br w:val="nil"/>
                    <w:tr2bl w:val="nil"/>
                  </w:tcBorders>
                  <w:vAlign w:val="center"/>
                </w:tcPr>
                <w:p>
                  <w:pPr>
                    <w:overflowPunct w:val="0"/>
                    <w:autoSpaceDE w:val="0"/>
                    <w:autoSpaceDN w:val="0"/>
                    <w:jc w:val="center"/>
                    <w:textAlignment w:val="baseline"/>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面源</w:t>
                  </w:r>
                </w:p>
                <w:p>
                  <w:pPr>
                    <w:overflowPunct w:val="0"/>
                    <w:autoSpaceDE w:val="0"/>
                    <w:autoSpaceDN w:val="0"/>
                    <w:jc w:val="center"/>
                    <w:textAlignment w:val="baseline"/>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名称</w:t>
                  </w:r>
                </w:p>
              </w:tc>
              <w:tc>
                <w:tcPr>
                  <w:tcW w:w="957" w:type="dxa"/>
                  <w:gridSpan w:val="2"/>
                  <w:tcBorders>
                    <w:tl2br w:val="nil"/>
                    <w:tr2bl w:val="nil"/>
                  </w:tcBorders>
                  <w:vAlign w:val="center"/>
                </w:tcPr>
                <w:p>
                  <w:pPr>
                    <w:overflowPunct w:val="0"/>
                    <w:autoSpaceDE w:val="0"/>
                    <w:autoSpaceDN w:val="0"/>
                    <w:spacing w:before="156" w:beforeLines="50"/>
                    <w:jc w:val="center"/>
                    <w:textAlignment w:val="baseline"/>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面源起点</w:t>
                  </w:r>
                </w:p>
                <w:p>
                  <w:pPr>
                    <w:overflowPunct w:val="0"/>
                    <w:autoSpaceDE w:val="0"/>
                    <w:autoSpaceDN w:val="0"/>
                    <w:jc w:val="center"/>
                    <w:textAlignment w:val="baseline"/>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坐标/m</w:t>
                  </w:r>
                </w:p>
              </w:tc>
              <w:tc>
                <w:tcPr>
                  <w:tcW w:w="601" w:type="dxa"/>
                  <w:vMerge w:val="restart"/>
                  <w:tcBorders>
                    <w:tl2br w:val="nil"/>
                    <w:tr2bl w:val="nil"/>
                  </w:tcBorders>
                  <w:vAlign w:val="center"/>
                </w:tcPr>
                <w:p>
                  <w:pPr>
                    <w:overflowPunct w:val="0"/>
                    <w:autoSpaceDE w:val="0"/>
                    <w:autoSpaceDN w:val="0"/>
                    <w:jc w:val="center"/>
                    <w:textAlignment w:val="baseline"/>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面源海拔高度/m</w:t>
                  </w:r>
                </w:p>
              </w:tc>
              <w:tc>
                <w:tcPr>
                  <w:tcW w:w="813" w:type="dxa"/>
                  <w:vMerge w:val="restart"/>
                  <w:tcBorders>
                    <w:tl2br w:val="nil"/>
                    <w:tr2bl w:val="nil"/>
                  </w:tcBorders>
                  <w:vAlign w:val="center"/>
                </w:tcPr>
                <w:p>
                  <w:pPr>
                    <w:overflowPunct w:val="0"/>
                    <w:autoSpaceDE w:val="0"/>
                    <w:autoSpaceDN w:val="0"/>
                    <w:jc w:val="center"/>
                    <w:textAlignment w:val="baseline"/>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面源</w:t>
                  </w:r>
                </w:p>
                <w:p>
                  <w:pPr>
                    <w:overflowPunct w:val="0"/>
                    <w:autoSpaceDE w:val="0"/>
                    <w:autoSpaceDN w:val="0"/>
                    <w:jc w:val="center"/>
                    <w:textAlignment w:val="baseline"/>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长度（m）</w:t>
                  </w:r>
                </w:p>
              </w:tc>
              <w:tc>
                <w:tcPr>
                  <w:tcW w:w="813" w:type="dxa"/>
                  <w:vMerge w:val="restart"/>
                  <w:tcBorders>
                    <w:tl2br w:val="nil"/>
                    <w:tr2bl w:val="nil"/>
                  </w:tcBorders>
                  <w:vAlign w:val="center"/>
                </w:tcPr>
                <w:p>
                  <w:pPr>
                    <w:overflowPunct w:val="0"/>
                    <w:autoSpaceDE w:val="0"/>
                    <w:autoSpaceDN w:val="0"/>
                    <w:jc w:val="center"/>
                    <w:textAlignment w:val="baseline"/>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面源</w:t>
                  </w:r>
                </w:p>
                <w:p>
                  <w:pPr>
                    <w:overflowPunct w:val="0"/>
                    <w:autoSpaceDE w:val="0"/>
                    <w:autoSpaceDN w:val="0"/>
                    <w:jc w:val="center"/>
                    <w:textAlignment w:val="baseline"/>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宽度（m）</w:t>
                  </w:r>
                </w:p>
              </w:tc>
              <w:tc>
                <w:tcPr>
                  <w:tcW w:w="611" w:type="dxa"/>
                  <w:vMerge w:val="restart"/>
                  <w:tcBorders>
                    <w:tl2br w:val="nil"/>
                    <w:tr2bl w:val="nil"/>
                  </w:tcBorders>
                  <w:vAlign w:val="center"/>
                </w:tcPr>
                <w:p>
                  <w:pPr>
                    <w:overflowPunct w:val="0"/>
                    <w:autoSpaceDE w:val="0"/>
                    <w:autoSpaceDN w:val="0"/>
                    <w:jc w:val="center"/>
                    <w:textAlignment w:val="baseline"/>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与正北向夹角/°</w:t>
                  </w:r>
                </w:p>
              </w:tc>
              <w:tc>
                <w:tcPr>
                  <w:tcW w:w="813" w:type="dxa"/>
                  <w:vMerge w:val="restart"/>
                  <w:tcBorders>
                    <w:tl2br w:val="nil"/>
                    <w:tr2bl w:val="nil"/>
                  </w:tcBorders>
                  <w:vAlign w:val="center"/>
                </w:tcPr>
                <w:p>
                  <w:pPr>
                    <w:overflowPunct w:val="0"/>
                    <w:autoSpaceDE w:val="0"/>
                    <w:autoSpaceDN w:val="0"/>
                    <w:jc w:val="center"/>
                    <w:textAlignment w:val="baseline"/>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面源有效排放高度（m）</w:t>
                  </w:r>
                </w:p>
              </w:tc>
              <w:tc>
                <w:tcPr>
                  <w:tcW w:w="755" w:type="dxa"/>
                  <w:vMerge w:val="restart"/>
                  <w:tcBorders>
                    <w:tl2br w:val="nil"/>
                    <w:tr2bl w:val="nil"/>
                  </w:tcBorders>
                  <w:vAlign w:val="center"/>
                </w:tcPr>
                <w:p>
                  <w:pPr>
                    <w:overflowPunct w:val="0"/>
                    <w:autoSpaceDE w:val="0"/>
                    <w:autoSpaceDN w:val="0"/>
                    <w:jc w:val="center"/>
                    <w:textAlignment w:val="baseline"/>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年排放小时数</w:t>
                  </w:r>
                </w:p>
                <w:p>
                  <w:pPr>
                    <w:overflowPunct w:val="0"/>
                    <w:autoSpaceDE w:val="0"/>
                    <w:autoSpaceDN w:val="0"/>
                    <w:jc w:val="center"/>
                    <w:textAlignment w:val="baseline"/>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（h）</w:t>
                  </w:r>
                </w:p>
              </w:tc>
              <w:tc>
                <w:tcPr>
                  <w:tcW w:w="466" w:type="dxa"/>
                  <w:vMerge w:val="restart"/>
                  <w:tcBorders>
                    <w:tl2br w:val="nil"/>
                    <w:tr2bl w:val="nil"/>
                  </w:tcBorders>
                  <w:vAlign w:val="center"/>
                </w:tcPr>
                <w:p>
                  <w:pPr>
                    <w:overflowPunct w:val="0"/>
                    <w:autoSpaceDE w:val="0"/>
                    <w:autoSpaceDN w:val="0"/>
                    <w:jc w:val="center"/>
                    <w:textAlignment w:val="baseline"/>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排放</w:t>
                  </w:r>
                </w:p>
                <w:p>
                  <w:pPr>
                    <w:overflowPunct w:val="0"/>
                    <w:autoSpaceDE w:val="0"/>
                    <w:autoSpaceDN w:val="0"/>
                    <w:jc w:val="center"/>
                    <w:textAlignment w:val="baseline"/>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工况</w:t>
                  </w:r>
                </w:p>
              </w:tc>
              <w:tc>
                <w:tcPr>
                  <w:tcW w:w="1400" w:type="dxa"/>
                  <w:tcBorders>
                    <w:tl2br w:val="nil"/>
                    <w:tr2bl w:val="nil"/>
                  </w:tcBorders>
                  <w:vAlign w:val="center"/>
                </w:tcPr>
                <w:p>
                  <w:pPr>
                    <w:overflowPunct w:val="0"/>
                    <w:autoSpaceDE w:val="0"/>
                    <w:autoSpaceDN w:val="0"/>
                    <w:jc w:val="center"/>
                    <w:textAlignment w:val="baseline"/>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污染物排放速率（kg/h）</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90" w:hRule="atLeast"/>
                <w:jc w:val="center"/>
              </w:trPr>
              <w:tc>
                <w:tcPr>
                  <w:tcW w:w="427" w:type="dxa"/>
                  <w:vMerge w:val="continue"/>
                  <w:tcBorders>
                    <w:tl2br w:val="nil"/>
                    <w:tr2bl w:val="nil"/>
                  </w:tcBorders>
                  <w:vAlign w:val="center"/>
                </w:tcPr>
                <w:p>
                  <w:pPr>
                    <w:widowControl/>
                    <w:overflowPunct w:val="0"/>
                    <w:autoSpaceDE w:val="0"/>
                    <w:autoSpaceDN w:val="0"/>
                    <w:jc w:val="center"/>
                    <w:rPr>
                      <w:rFonts w:ascii="Times New Roman" w:hAnsi="Times New Roman" w:eastAsia="宋体" w:cs="Times New Roman"/>
                      <w:b/>
                      <w:color w:val="auto"/>
                      <w:szCs w:val="21"/>
                      <w:highlight w:val="none"/>
                    </w:rPr>
                  </w:pPr>
                </w:p>
              </w:tc>
              <w:tc>
                <w:tcPr>
                  <w:tcW w:w="620" w:type="dxa"/>
                  <w:vMerge w:val="continue"/>
                  <w:tcBorders>
                    <w:tl2br w:val="nil"/>
                    <w:tr2bl w:val="nil"/>
                  </w:tcBorders>
                  <w:vAlign w:val="center"/>
                </w:tcPr>
                <w:p>
                  <w:pPr>
                    <w:widowControl/>
                    <w:overflowPunct w:val="0"/>
                    <w:autoSpaceDE w:val="0"/>
                    <w:autoSpaceDN w:val="0"/>
                    <w:jc w:val="center"/>
                    <w:rPr>
                      <w:rFonts w:ascii="Times New Roman" w:hAnsi="Times New Roman" w:eastAsia="宋体" w:cs="Times New Roman"/>
                      <w:b/>
                      <w:color w:val="auto"/>
                      <w:szCs w:val="21"/>
                      <w:highlight w:val="none"/>
                    </w:rPr>
                  </w:pPr>
                </w:p>
              </w:tc>
              <w:tc>
                <w:tcPr>
                  <w:tcW w:w="476" w:type="dxa"/>
                  <w:tcBorders>
                    <w:tl2br w:val="nil"/>
                    <w:tr2bl w:val="nil"/>
                  </w:tcBorders>
                  <w:vAlign w:val="center"/>
                </w:tcPr>
                <w:p>
                  <w:pPr>
                    <w:overflowPunct w:val="0"/>
                    <w:autoSpaceDE w:val="0"/>
                    <w:autoSpaceDN w:val="0"/>
                    <w:spacing w:before="156" w:beforeLines="50"/>
                    <w:jc w:val="center"/>
                    <w:textAlignment w:val="baseline"/>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X</w:t>
                  </w:r>
                </w:p>
              </w:tc>
              <w:tc>
                <w:tcPr>
                  <w:tcW w:w="481" w:type="dxa"/>
                  <w:tcBorders>
                    <w:tl2br w:val="nil"/>
                    <w:tr2bl w:val="nil"/>
                  </w:tcBorders>
                  <w:vAlign w:val="center"/>
                </w:tcPr>
                <w:p>
                  <w:pPr>
                    <w:overflowPunct w:val="0"/>
                    <w:autoSpaceDE w:val="0"/>
                    <w:autoSpaceDN w:val="0"/>
                    <w:spacing w:before="156" w:beforeLines="50"/>
                    <w:jc w:val="center"/>
                    <w:textAlignment w:val="baseline"/>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Y</w:t>
                  </w:r>
                </w:p>
              </w:tc>
              <w:tc>
                <w:tcPr>
                  <w:tcW w:w="601" w:type="dxa"/>
                  <w:vMerge w:val="continue"/>
                  <w:tcBorders>
                    <w:tl2br w:val="nil"/>
                    <w:tr2bl w:val="nil"/>
                  </w:tcBorders>
                  <w:vAlign w:val="center"/>
                </w:tcPr>
                <w:p>
                  <w:pPr>
                    <w:widowControl/>
                    <w:overflowPunct w:val="0"/>
                    <w:autoSpaceDE w:val="0"/>
                    <w:autoSpaceDN w:val="0"/>
                    <w:jc w:val="center"/>
                    <w:rPr>
                      <w:rFonts w:ascii="Times New Roman" w:hAnsi="Times New Roman" w:eastAsia="宋体" w:cs="Times New Roman"/>
                      <w:b/>
                      <w:color w:val="auto"/>
                      <w:szCs w:val="21"/>
                      <w:highlight w:val="none"/>
                    </w:rPr>
                  </w:pPr>
                </w:p>
              </w:tc>
              <w:tc>
                <w:tcPr>
                  <w:tcW w:w="813" w:type="dxa"/>
                  <w:vMerge w:val="continue"/>
                  <w:tcBorders>
                    <w:tl2br w:val="nil"/>
                    <w:tr2bl w:val="nil"/>
                  </w:tcBorders>
                  <w:vAlign w:val="center"/>
                </w:tcPr>
                <w:p>
                  <w:pPr>
                    <w:widowControl/>
                    <w:overflowPunct w:val="0"/>
                    <w:autoSpaceDE w:val="0"/>
                    <w:autoSpaceDN w:val="0"/>
                    <w:jc w:val="center"/>
                    <w:rPr>
                      <w:rFonts w:ascii="Times New Roman" w:hAnsi="Times New Roman" w:eastAsia="宋体" w:cs="Times New Roman"/>
                      <w:b/>
                      <w:color w:val="auto"/>
                      <w:szCs w:val="21"/>
                      <w:highlight w:val="none"/>
                    </w:rPr>
                  </w:pPr>
                </w:p>
              </w:tc>
              <w:tc>
                <w:tcPr>
                  <w:tcW w:w="813" w:type="dxa"/>
                  <w:vMerge w:val="continue"/>
                  <w:tcBorders>
                    <w:tl2br w:val="nil"/>
                    <w:tr2bl w:val="nil"/>
                  </w:tcBorders>
                  <w:vAlign w:val="center"/>
                </w:tcPr>
                <w:p>
                  <w:pPr>
                    <w:widowControl/>
                    <w:overflowPunct w:val="0"/>
                    <w:autoSpaceDE w:val="0"/>
                    <w:autoSpaceDN w:val="0"/>
                    <w:jc w:val="center"/>
                    <w:rPr>
                      <w:rFonts w:ascii="Times New Roman" w:hAnsi="Times New Roman" w:eastAsia="宋体" w:cs="Times New Roman"/>
                      <w:b/>
                      <w:color w:val="auto"/>
                      <w:szCs w:val="21"/>
                      <w:highlight w:val="none"/>
                    </w:rPr>
                  </w:pPr>
                </w:p>
              </w:tc>
              <w:tc>
                <w:tcPr>
                  <w:tcW w:w="611" w:type="dxa"/>
                  <w:vMerge w:val="continue"/>
                  <w:tcBorders>
                    <w:tl2br w:val="nil"/>
                    <w:tr2bl w:val="nil"/>
                  </w:tcBorders>
                  <w:vAlign w:val="center"/>
                </w:tcPr>
                <w:p>
                  <w:pPr>
                    <w:widowControl/>
                    <w:overflowPunct w:val="0"/>
                    <w:autoSpaceDE w:val="0"/>
                    <w:autoSpaceDN w:val="0"/>
                    <w:jc w:val="center"/>
                    <w:rPr>
                      <w:rFonts w:ascii="Times New Roman" w:hAnsi="Times New Roman" w:eastAsia="宋体" w:cs="Times New Roman"/>
                      <w:b/>
                      <w:color w:val="auto"/>
                      <w:szCs w:val="21"/>
                      <w:highlight w:val="none"/>
                    </w:rPr>
                  </w:pPr>
                </w:p>
              </w:tc>
              <w:tc>
                <w:tcPr>
                  <w:tcW w:w="813" w:type="dxa"/>
                  <w:vMerge w:val="continue"/>
                  <w:tcBorders>
                    <w:tl2br w:val="nil"/>
                    <w:tr2bl w:val="nil"/>
                  </w:tcBorders>
                  <w:vAlign w:val="center"/>
                </w:tcPr>
                <w:p>
                  <w:pPr>
                    <w:widowControl/>
                    <w:overflowPunct w:val="0"/>
                    <w:autoSpaceDE w:val="0"/>
                    <w:autoSpaceDN w:val="0"/>
                    <w:jc w:val="center"/>
                    <w:rPr>
                      <w:rFonts w:ascii="Times New Roman" w:hAnsi="Times New Roman" w:eastAsia="宋体" w:cs="Times New Roman"/>
                      <w:b/>
                      <w:color w:val="auto"/>
                      <w:szCs w:val="21"/>
                      <w:highlight w:val="none"/>
                    </w:rPr>
                  </w:pPr>
                </w:p>
              </w:tc>
              <w:tc>
                <w:tcPr>
                  <w:tcW w:w="755" w:type="dxa"/>
                  <w:vMerge w:val="continue"/>
                  <w:tcBorders>
                    <w:tl2br w:val="nil"/>
                    <w:tr2bl w:val="nil"/>
                  </w:tcBorders>
                  <w:vAlign w:val="center"/>
                </w:tcPr>
                <w:p>
                  <w:pPr>
                    <w:widowControl/>
                    <w:overflowPunct w:val="0"/>
                    <w:autoSpaceDE w:val="0"/>
                    <w:autoSpaceDN w:val="0"/>
                    <w:jc w:val="center"/>
                    <w:rPr>
                      <w:rFonts w:ascii="Times New Roman" w:hAnsi="Times New Roman" w:eastAsia="宋体" w:cs="Times New Roman"/>
                      <w:b/>
                      <w:color w:val="auto"/>
                      <w:szCs w:val="21"/>
                      <w:highlight w:val="none"/>
                    </w:rPr>
                  </w:pPr>
                </w:p>
              </w:tc>
              <w:tc>
                <w:tcPr>
                  <w:tcW w:w="466" w:type="dxa"/>
                  <w:vMerge w:val="continue"/>
                  <w:tcBorders>
                    <w:tl2br w:val="nil"/>
                    <w:tr2bl w:val="nil"/>
                  </w:tcBorders>
                  <w:vAlign w:val="center"/>
                </w:tcPr>
                <w:p>
                  <w:pPr>
                    <w:widowControl/>
                    <w:overflowPunct w:val="0"/>
                    <w:autoSpaceDE w:val="0"/>
                    <w:autoSpaceDN w:val="0"/>
                    <w:jc w:val="center"/>
                    <w:rPr>
                      <w:rFonts w:ascii="Times New Roman" w:hAnsi="Times New Roman" w:eastAsia="宋体" w:cs="Times New Roman"/>
                      <w:b/>
                      <w:color w:val="auto"/>
                      <w:szCs w:val="21"/>
                      <w:highlight w:val="none"/>
                    </w:rPr>
                  </w:pPr>
                </w:p>
              </w:tc>
              <w:tc>
                <w:tcPr>
                  <w:tcW w:w="1400" w:type="dxa"/>
                  <w:tcBorders>
                    <w:tl2br w:val="nil"/>
                    <w:tr2bl w:val="nil"/>
                  </w:tcBorders>
                  <w:vAlign w:val="center"/>
                </w:tcPr>
                <w:p>
                  <w:pPr>
                    <w:overflowPunct w:val="0"/>
                    <w:autoSpaceDE w:val="0"/>
                    <w:autoSpaceDN w:val="0"/>
                    <w:jc w:val="center"/>
                    <w:textAlignment w:val="baseline"/>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非甲烷总烃</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995" w:hRule="atLeast"/>
                <w:jc w:val="center"/>
              </w:trPr>
              <w:tc>
                <w:tcPr>
                  <w:tcW w:w="427" w:type="dxa"/>
                  <w:vMerge w:val="restart"/>
                  <w:tcBorders>
                    <w:tl2br w:val="nil"/>
                    <w:tr2bl w:val="nil"/>
                  </w:tcBorders>
                  <w:vAlign w:val="center"/>
                </w:tcPr>
                <w:p>
                  <w:pPr>
                    <w:overflowPunct w:val="0"/>
                    <w:autoSpaceDE w:val="0"/>
                    <w:autoSpaceDN w:val="0"/>
                    <w:jc w:val="center"/>
                    <w:textAlignment w:val="baseline"/>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w:t>
                  </w:r>
                </w:p>
              </w:tc>
              <w:tc>
                <w:tcPr>
                  <w:tcW w:w="620" w:type="dxa"/>
                  <w:tcBorders>
                    <w:tl2br w:val="nil"/>
                    <w:tr2bl w:val="nil"/>
                  </w:tcBorders>
                  <w:vAlign w:val="center"/>
                </w:tcPr>
                <w:p>
                  <w:pPr>
                    <w:overflowPunct w:val="0"/>
                    <w:autoSpaceDE w:val="0"/>
                    <w:autoSpaceDN w:val="0"/>
                    <w:jc w:val="center"/>
                    <w:textAlignment w:val="baseline"/>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发泡工序</w:t>
                  </w:r>
                </w:p>
              </w:tc>
              <w:tc>
                <w:tcPr>
                  <w:tcW w:w="476" w:type="dxa"/>
                  <w:vMerge w:val="restart"/>
                  <w:tcBorders>
                    <w:tl2br w:val="nil"/>
                    <w:tr2bl w:val="nil"/>
                  </w:tcBorders>
                  <w:vAlign w:val="center"/>
                </w:tcPr>
                <w:p>
                  <w:pPr>
                    <w:overflowPunct w:val="0"/>
                    <w:autoSpaceDE w:val="0"/>
                    <w:autoSpaceDN w:val="0"/>
                    <w:spacing w:before="120"/>
                    <w:jc w:val="center"/>
                    <w:textAlignment w:val="baseline"/>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w:t>
                  </w:r>
                </w:p>
              </w:tc>
              <w:tc>
                <w:tcPr>
                  <w:tcW w:w="481" w:type="dxa"/>
                  <w:vMerge w:val="restart"/>
                  <w:tcBorders>
                    <w:tl2br w:val="nil"/>
                    <w:tr2bl w:val="nil"/>
                  </w:tcBorders>
                  <w:vAlign w:val="center"/>
                </w:tcPr>
                <w:p>
                  <w:pPr>
                    <w:overflowPunct w:val="0"/>
                    <w:autoSpaceDE w:val="0"/>
                    <w:autoSpaceDN w:val="0"/>
                    <w:spacing w:before="120"/>
                    <w:jc w:val="center"/>
                    <w:textAlignment w:val="baseline"/>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19</w:t>
                  </w:r>
                </w:p>
              </w:tc>
              <w:tc>
                <w:tcPr>
                  <w:tcW w:w="601" w:type="dxa"/>
                  <w:vMerge w:val="restart"/>
                  <w:tcBorders>
                    <w:tl2br w:val="nil"/>
                    <w:tr2bl w:val="nil"/>
                  </w:tcBorders>
                  <w:vAlign w:val="center"/>
                </w:tcPr>
                <w:p>
                  <w:pPr>
                    <w:overflowPunct w:val="0"/>
                    <w:autoSpaceDE w:val="0"/>
                    <w:autoSpaceDN w:val="0"/>
                    <w:jc w:val="center"/>
                    <w:textAlignment w:val="baseline"/>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0</w:t>
                  </w:r>
                </w:p>
              </w:tc>
              <w:tc>
                <w:tcPr>
                  <w:tcW w:w="813" w:type="dxa"/>
                  <w:vMerge w:val="restart"/>
                  <w:tcBorders>
                    <w:tl2br w:val="nil"/>
                    <w:tr2bl w:val="nil"/>
                  </w:tcBorders>
                  <w:vAlign w:val="center"/>
                </w:tcPr>
                <w:p>
                  <w:pPr>
                    <w:overflowPunct w:val="0"/>
                    <w:autoSpaceDE w:val="0"/>
                    <w:autoSpaceDN w:val="0"/>
                    <w:spacing w:before="120"/>
                    <w:jc w:val="center"/>
                    <w:textAlignment w:val="baseline"/>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80</w:t>
                  </w:r>
                </w:p>
              </w:tc>
              <w:tc>
                <w:tcPr>
                  <w:tcW w:w="813" w:type="dxa"/>
                  <w:vMerge w:val="restart"/>
                  <w:tcBorders>
                    <w:tl2br w:val="nil"/>
                    <w:tr2bl w:val="nil"/>
                  </w:tcBorders>
                  <w:vAlign w:val="center"/>
                </w:tcPr>
                <w:p>
                  <w:pPr>
                    <w:overflowPunct w:val="0"/>
                    <w:autoSpaceDE w:val="0"/>
                    <w:autoSpaceDN w:val="0"/>
                    <w:jc w:val="center"/>
                    <w:textAlignment w:val="baseline"/>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31</w:t>
                  </w:r>
                </w:p>
              </w:tc>
              <w:tc>
                <w:tcPr>
                  <w:tcW w:w="611" w:type="dxa"/>
                  <w:vMerge w:val="restart"/>
                  <w:tcBorders>
                    <w:tl2br w:val="nil"/>
                    <w:tr2bl w:val="nil"/>
                  </w:tcBorders>
                  <w:vAlign w:val="center"/>
                </w:tcPr>
                <w:p>
                  <w:pPr>
                    <w:overflowPunct w:val="0"/>
                    <w:autoSpaceDE w:val="0"/>
                    <w:autoSpaceDN w:val="0"/>
                    <w:spacing w:before="120"/>
                    <w:jc w:val="center"/>
                    <w:textAlignment w:val="baseline"/>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0</w:t>
                  </w:r>
                </w:p>
              </w:tc>
              <w:tc>
                <w:tcPr>
                  <w:tcW w:w="813" w:type="dxa"/>
                  <w:vMerge w:val="restart"/>
                  <w:tcBorders>
                    <w:tl2br w:val="nil"/>
                    <w:tr2bl w:val="nil"/>
                  </w:tcBorders>
                  <w:vAlign w:val="center"/>
                </w:tcPr>
                <w:p>
                  <w:pPr>
                    <w:overflowPunct w:val="0"/>
                    <w:autoSpaceDE w:val="0"/>
                    <w:autoSpaceDN w:val="0"/>
                    <w:spacing w:before="120"/>
                    <w:jc w:val="center"/>
                    <w:textAlignment w:val="baseline"/>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7</w:t>
                  </w:r>
                </w:p>
              </w:tc>
              <w:tc>
                <w:tcPr>
                  <w:tcW w:w="755" w:type="dxa"/>
                  <w:tcBorders>
                    <w:tl2br w:val="nil"/>
                    <w:tr2bl w:val="nil"/>
                  </w:tcBorders>
                  <w:vAlign w:val="center"/>
                </w:tcPr>
                <w:p>
                  <w:pPr>
                    <w:overflowPunct w:val="0"/>
                    <w:autoSpaceDE w:val="0"/>
                    <w:autoSpaceDN w:val="0"/>
                    <w:jc w:val="center"/>
                    <w:textAlignment w:val="baseline"/>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1200</w:t>
                  </w:r>
                </w:p>
              </w:tc>
              <w:tc>
                <w:tcPr>
                  <w:tcW w:w="466" w:type="dxa"/>
                  <w:tcBorders>
                    <w:tl2br w:val="nil"/>
                    <w:tr2bl w:val="nil"/>
                  </w:tcBorders>
                  <w:vAlign w:val="center"/>
                </w:tcPr>
                <w:p>
                  <w:pPr>
                    <w:overflowPunct w:val="0"/>
                    <w:autoSpaceDE w:val="0"/>
                    <w:autoSpaceDN w:val="0"/>
                    <w:jc w:val="center"/>
                    <w:textAlignment w:val="baseline"/>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正常</w:t>
                  </w:r>
                </w:p>
              </w:tc>
              <w:tc>
                <w:tcPr>
                  <w:tcW w:w="1400" w:type="dxa"/>
                  <w:tcBorders>
                    <w:tl2br w:val="nil"/>
                    <w:tr2bl w:val="nil"/>
                  </w:tcBorders>
                  <w:vAlign w:val="center"/>
                </w:tcPr>
                <w:p>
                  <w:pPr>
                    <w:overflowPunct w:val="0"/>
                    <w:autoSpaceDE w:val="0"/>
                    <w:autoSpaceDN w:val="0"/>
                    <w:jc w:val="center"/>
                    <w:textAlignment w:val="baseline"/>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0.0525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995" w:hRule="atLeast"/>
                <w:jc w:val="center"/>
              </w:trPr>
              <w:tc>
                <w:tcPr>
                  <w:tcW w:w="427" w:type="dxa"/>
                  <w:vMerge w:val="continue"/>
                  <w:tcBorders>
                    <w:tl2br w:val="nil"/>
                    <w:tr2bl w:val="nil"/>
                  </w:tcBorders>
                  <w:vAlign w:val="center"/>
                </w:tcPr>
                <w:p>
                  <w:pPr>
                    <w:overflowPunct w:val="0"/>
                    <w:autoSpaceDE w:val="0"/>
                    <w:autoSpaceDN w:val="0"/>
                    <w:jc w:val="center"/>
                    <w:textAlignment w:val="baseline"/>
                    <w:rPr>
                      <w:rFonts w:ascii="Times New Roman" w:hAnsi="Times New Roman" w:eastAsia="宋体" w:cs="Times New Roman"/>
                      <w:color w:val="auto"/>
                      <w:szCs w:val="21"/>
                      <w:highlight w:val="none"/>
                    </w:rPr>
                  </w:pPr>
                </w:p>
              </w:tc>
              <w:tc>
                <w:tcPr>
                  <w:tcW w:w="620" w:type="dxa"/>
                  <w:tcBorders>
                    <w:tl2br w:val="nil"/>
                    <w:tr2bl w:val="nil"/>
                  </w:tcBorders>
                  <w:vAlign w:val="center"/>
                </w:tcPr>
                <w:p>
                  <w:pPr>
                    <w:overflowPunct w:val="0"/>
                    <w:autoSpaceDE w:val="0"/>
                    <w:autoSpaceDN w:val="0"/>
                    <w:jc w:val="center"/>
                    <w:textAlignment w:val="baseline"/>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成型工序</w:t>
                  </w:r>
                </w:p>
              </w:tc>
              <w:tc>
                <w:tcPr>
                  <w:tcW w:w="476" w:type="dxa"/>
                  <w:vMerge w:val="continue"/>
                  <w:tcBorders>
                    <w:tl2br w:val="nil"/>
                    <w:tr2bl w:val="nil"/>
                  </w:tcBorders>
                  <w:vAlign w:val="center"/>
                </w:tcPr>
                <w:p>
                  <w:pPr>
                    <w:overflowPunct w:val="0"/>
                    <w:autoSpaceDE w:val="0"/>
                    <w:autoSpaceDN w:val="0"/>
                    <w:spacing w:before="120"/>
                    <w:jc w:val="center"/>
                    <w:textAlignment w:val="baseline"/>
                    <w:rPr>
                      <w:rFonts w:ascii="Times New Roman" w:hAnsi="Times New Roman" w:eastAsia="宋体" w:cs="Times New Roman"/>
                      <w:color w:val="auto"/>
                      <w:szCs w:val="21"/>
                      <w:highlight w:val="none"/>
                    </w:rPr>
                  </w:pPr>
                </w:p>
              </w:tc>
              <w:tc>
                <w:tcPr>
                  <w:tcW w:w="481" w:type="dxa"/>
                  <w:vMerge w:val="continue"/>
                  <w:tcBorders>
                    <w:tl2br w:val="nil"/>
                    <w:tr2bl w:val="nil"/>
                  </w:tcBorders>
                  <w:vAlign w:val="center"/>
                </w:tcPr>
                <w:p>
                  <w:pPr>
                    <w:overflowPunct w:val="0"/>
                    <w:autoSpaceDE w:val="0"/>
                    <w:autoSpaceDN w:val="0"/>
                    <w:spacing w:before="120"/>
                    <w:jc w:val="center"/>
                    <w:textAlignment w:val="baseline"/>
                    <w:rPr>
                      <w:rFonts w:ascii="Times New Roman" w:hAnsi="Times New Roman" w:eastAsia="宋体" w:cs="Times New Roman"/>
                      <w:color w:val="auto"/>
                      <w:szCs w:val="21"/>
                      <w:highlight w:val="none"/>
                    </w:rPr>
                  </w:pPr>
                </w:p>
              </w:tc>
              <w:tc>
                <w:tcPr>
                  <w:tcW w:w="601" w:type="dxa"/>
                  <w:vMerge w:val="continue"/>
                  <w:tcBorders>
                    <w:tl2br w:val="nil"/>
                    <w:tr2bl w:val="nil"/>
                  </w:tcBorders>
                  <w:vAlign w:val="center"/>
                </w:tcPr>
                <w:p>
                  <w:pPr>
                    <w:overflowPunct w:val="0"/>
                    <w:autoSpaceDE w:val="0"/>
                    <w:autoSpaceDN w:val="0"/>
                    <w:jc w:val="center"/>
                    <w:textAlignment w:val="baseline"/>
                    <w:rPr>
                      <w:rFonts w:ascii="Times New Roman" w:hAnsi="Times New Roman" w:eastAsia="宋体" w:cs="Times New Roman"/>
                      <w:color w:val="auto"/>
                      <w:szCs w:val="21"/>
                      <w:highlight w:val="none"/>
                    </w:rPr>
                  </w:pPr>
                </w:p>
              </w:tc>
              <w:tc>
                <w:tcPr>
                  <w:tcW w:w="813" w:type="dxa"/>
                  <w:vMerge w:val="continue"/>
                  <w:tcBorders>
                    <w:tl2br w:val="nil"/>
                    <w:tr2bl w:val="nil"/>
                  </w:tcBorders>
                  <w:vAlign w:val="center"/>
                </w:tcPr>
                <w:p>
                  <w:pPr>
                    <w:overflowPunct w:val="0"/>
                    <w:autoSpaceDE w:val="0"/>
                    <w:autoSpaceDN w:val="0"/>
                    <w:spacing w:before="120"/>
                    <w:jc w:val="center"/>
                    <w:textAlignment w:val="baseline"/>
                    <w:rPr>
                      <w:rFonts w:ascii="Times New Roman" w:hAnsi="Times New Roman" w:eastAsia="宋体" w:cs="Times New Roman"/>
                      <w:color w:val="auto"/>
                      <w:szCs w:val="21"/>
                      <w:highlight w:val="none"/>
                    </w:rPr>
                  </w:pPr>
                </w:p>
              </w:tc>
              <w:tc>
                <w:tcPr>
                  <w:tcW w:w="813" w:type="dxa"/>
                  <w:vMerge w:val="continue"/>
                  <w:tcBorders>
                    <w:tl2br w:val="nil"/>
                    <w:tr2bl w:val="nil"/>
                  </w:tcBorders>
                  <w:vAlign w:val="center"/>
                </w:tcPr>
                <w:p>
                  <w:pPr>
                    <w:overflowPunct w:val="0"/>
                    <w:autoSpaceDE w:val="0"/>
                    <w:autoSpaceDN w:val="0"/>
                    <w:jc w:val="center"/>
                    <w:textAlignment w:val="baseline"/>
                    <w:rPr>
                      <w:rFonts w:ascii="Times New Roman" w:hAnsi="Times New Roman" w:eastAsia="宋体" w:cs="Times New Roman"/>
                      <w:color w:val="auto"/>
                      <w:szCs w:val="21"/>
                      <w:highlight w:val="none"/>
                    </w:rPr>
                  </w:pPr>
                </w:p>
              </w:tc>
              <w:tc>
                <w:tcPr>
                  <w:tcW w:w="611" w:type="dxa"/>
                  <w:vMerge w:val="continue"/>
                  <w:tcBorders>
                    <w:tl2br w:val="nil"/>
                    <w:tr2bl w:val="nil"/>
                  </w:tcBorders>
                  <w:vAlign w:val="center"/>
                </w:tcPr>
                <w:p>
                  <w:pPr>
                    <w:overflowPunct w:val="0"/>
                    <w:autoSpaceDE w:val="0"/>
                    <w:autoSpaceDN w:val="0"/>
                    <w:spacing w:before="120"/>
                    <w:jc w:val="center"/>
                    <w:textAlignment w:val="baseline"/>
                    <w:rPr>
                      <w:rFonts w:ascii="Times New Roman" w:hAnsi="Times New Roman" w:eastAsia="宋体" w:cs="Times New Roman"/>
                      <w:color w:val="auto"/>
                      <w:szCs w:val="21"/>
                      <w:highlight w:val="none"/>
                    </w:rPr>
                  </w:pPr>
                </w:p>
              </w:tc>
              <w:tc>
                <w:tcPr>
                  <w:tcW w:w="813" w:type="dxa"/>
                  <w:vMerge w:val="continue"/>
                  <w:tcBorders>
                    <w:tl2br w:val="nil"/>
                    <w:tr2bl w:val="nil"/>
                  </w:tcBorders>
                  <w:vAlign w:val="center"/>
                </w:tcPr>
                <w:p>
                  <w:pPr>
                    <w:overflowPunct w:val="0"/>
                    <w:autoSpaceDE w:val="0"/>
                    <w:autoSpaceDN w:val="0"/>
                    <w:spacing w:before="120"/>
                    <w:jc w:val="center"/>
                    <w:textAlignment w:val="baseline"/>
                    <w:rPr>
                      <w:rFonts w:ascii="Times New Roman" w:hAnsi="Times New Roman" w:eastAsia="宋体" w:cs="Times New Roman"/>
                      <w:color w:val="auto"/>
                      <w:szCs w:val="21"/>
                      <w:highlight w:val="none"/>
                    </w:rPr>
                  </w:pPr>
                </w:p>
              </w:tc>
              <w:tc>
                <w:tcPr>
                  <w:tcW w:w="755" w:type="dxa"/>
                  <w:tcBorders>
                    <w:tl2br w:val="nil"/>
                    <w:tr2bl w:val="nil"/>
                  </w:tcBorders>
                  <w:vAlign w:val="center"/>
                </w:tcPr>
                <w:p>
                  <w:pPr>
                    <w:overflowPunct w:val="0"/>
                    <w:autoSpaceDE w:val="0"/>
                    <w:autoSpaceDN w:val="0"/>
                    <w:jc w:val="center"/>
                    <w:textAlignment w:val="baseline"/>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2</w:t>
                  </w:r>
                  <w:r>
                    <w:rPr>
                      <w:rFonts w:ascii="Times New Roman" w:hAnsi="Times New Roman" w:eastAsia="宋体" w:cs="Times New Roman"/>
                      <w:color w:val="auto"/>
                      <w:szCs w:val="21"/>
                      <w:highlight w:val="none"/>
                    </w:rPr>
                    <w:t>400</w:t>
                  </w:r>
                </w:p>
              </w:tc>
              <w:tc>
                <w:tcPr>
                  <w:tcW w:w="466" w:type="dxa"/>
                  <w:tcBorders>
                    <w:tl2br w:val="nil"/>
                    <w:tr2bl w:val="nil"/>
                  </w:tcBorders>
                  <w:vAlign w:val="center"/>
                </w:tcPr>
                <w:p>
                  <w:pPr>
                    <w:overflowPunct w:val="0"/>
                    <w:autoSpaceDE w:val="0"/>
                    <w:autoSpaceDN w:val="0"/>
                    <w:jc w:val="center"/>
                    <w:textAlignment w:val="baseline"/>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正常</w:t>
                  </w:r>
                </w:p>
              </w:tc>
              <w:tc>
                <w:tcPr>
                  <w:tcW w:w="1400" w:type="dxa"/>
                  <w:tcBorders>
                    <w:tl2br w:val="nil"/>
                    <w:tr2bl w:val="nil"/>
                  </w:tcBorders>
                  <w:vAlign w:val="center"/>
                </w:tcPr>
                <w:p>
                  <w:pPr>
                    <w:overflowPunct w:val="0"/>
                    <w:autoSpaceDE w:val="0"/>
                    <w:autoSpaceDN w:val="0"/>
                    <w:jc w:val="center"/>
                    <w:textAlignment w:val="baseline"/>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.1418</w:t>
                  </w:r>
                </w:p>
              </w:tc>
            </w:tr>
          </w:tbl>
          <w:p>
            <w:pPr>
              <w:spacing w:line="276" w:lineRule="auto"/>
              <w:jc w:val="left"/>
              <w:rPr>
                <w:rFonts w:ascii="Times New Roman" w:hAnsi="Times New Roman" w:eastAsia="宋体" w:cs="Times New Roman"/>
                <w:b/>
                <w:bCs/>
                <w:color w:val="auto"/>
                <w:szCs w:val="21"/>
                <w:highlight w:val="none"/>
              </w:rPr>
            </w:pPr>
            <w:r>
              <w:rPr>
                <w:rFonts w:hint="eastAsia" w:ascii="Times New Roman" w:hAnsi="Times New Roman" w:eastAsia="宋体" w:cs="Times New Roman"/>
                <w:b/>
                <w:bCs/>
                <w:color w:val="auto"/>
                <w:szCs w:val="21"/>
                <w:highlight w:val="none"/>
              </w:rPr>
              <w:t>备注：有效高度取换气扇的高度</w:t>
            </w:r>
            <w:r>
              <w:rPr>
                <w:rFonts w:ascii="Times New Roman" w:hAnsi="Times New Roman" w:eastAsia="宋体" w:cs="Times New Roman"/>
                <w:b/>
                <w:bCs/>
                <w:color w:val="auto"/>
                <w:szCs w:val="21"/>
                <w:highlight w:val="none"/>
              </w:rPr>
              <w:t>7</w:t>
            </w:r>
            <w:r>
              <w:rPr>
                <w:rFonts w:hint="eastAsia" w:ascii="Times New Roman" w:hAnsi="Times New Roman" w:eastAsia="宋体" w:cs="Times New Roman"/>
                <w:b/>
                <w:bCs/>
                <w:color w:val="auto"/>
                <w:szCs w:val="21"/>
                <w:highlight w:val="none"/>
              </w:rPr>
              <w:t>m。</w:t>
            </w:r>
          </w:p>
          <w:p>
            <w:pPr>
              <w:pStyle w:val="24"/>
              <w:jc w:val="both"/>
              <w:rPr>
                <w:color w:val="auto"/>
                <w:highlight w:val="none"/>
              </w:rPr>
            </w:pPr>
            <w:r>
              <w:rPr>
                <w:color w:val="auto"/>
                <w:highlight w:val="none"/>
              </w:rPr>
              <w:drawing>
                <wp:inline distT="0" distB="0" distL="114300" distR="114300">
                  <wp:extent cx="5264785" cy="3030220"/>
                  <wp:effectExtent l="0" t="0" r="8255" b="254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17"/>
                          <a:stretch>
                            <a:fillRect/>
                          </a:stretch>
                        </pic:blipFill>
                        <pic:spPr>
                          <a:xfrm>
                            <a:off x="0" y="0"/>
                            <a:ext cx="5264785" cy="3030220"/>
                          </a:xfrm>
                          <a:prstGeom prst="rect">
                            <a:avLst/>
                          </a:prstGeom>
                          <a:noFill/>
                          <a:ln>
                            <a:noFill/>
                          </a:ln>
                        </pic:spPr>
                      </pic:pic>
                    </a:graphicData>
                  </a:graphic>
                </wp:inline>
              </w:drawing>
            </w:r>
          </w:p>
          <w:p>
            <w:pPr>
              <w:spacing w:line="360" w:lineRule="auto"/>
              <w:rPr>
                <w:color w:val="auto"/>
                <w:highlight w:val="none"/>
              </w:rPr>
            </w:pPr>
            <w:r>
              <w:rPr>
                <w:color w:val="auto"/>
                <w:highlight w:val="none"/>
              </w:rPr>
              <w:drawing>
                <wp:inline distT="0" distB="0" distL="114300" distR="114300">
                  <wp:extent cx="5264785" cy="3030220"/>
                  <wp:effectExtent l="0" t="0" r="8255" b="2540"/>
                  <wp:docPr id="1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
                          <pic:cNvPicPr>
                            <a:picLocks noChangeAspect="1"/>
                          </pic:cNvPicPr>
                        </pic:nvPicPr>
                        <pic:blipFill>
                          <a:blip r:embed="rId18"/>
                          <a:stretch>
                            <a:fillRect/>
                          </a:stretch>
                        </pic:blipFill>
                        <pic:spPr>
                          <a:xfrm>
                            <a:off x="0" y="0"/>
                            <a:ext cx="5264785" cy="3030220"/>
                          </a:xfrm>
                          <a:prstGeom prst="rect">
                            <a:avLst/>
                          </a:prstGeom>
                          <a:noFill/>
                          <a:ln>
                            <a:noFill/>
                          </a:ln>
                        </pic:spPr>
                      </pic:pic>
                    </a:graphicData>
                  </a:graphic>
                </wp:inline>
              </w:drawing>
            </w:r>
          </w:p>
          <w:p>
            <w:pPr>
              <w:jc w:val="center"/>
              <w:rPr>
                <w:b/>
                <w:bCs/>
                <w:color w:val="auto"/>
                <w:highlight w:val="none"/>
              </w:rPr>
            </w:pPr>
            <w:r>
              <w:rPr>
                <w:color w:val="auto"/>
                <w:highlight w:val="none"/>
              </w:rPr>
              <w:drawing>
                <wp:inline distT="0" distB="0" distL="114300" distR="114300">
                  <wp:extent cx="5264785" cy="3030220"/>
                  <wp:effectExtent l="0" t="0" r="8255" b="2540"/>
                  <wp:docPr id="1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6"/>
                          <pic:cNvPicPr>
                            <a:picLocks noChangeAspect="1"/>
                          </pic:cNvPicPr>
                        </pic:nvPicPr>
                        <pic:blipFill>
                          <a:blip r:embed="rId19"/>
                          <a:stretch>
                            <a:fillRect/>
                          </a:stretch>
                        </pic:blipFill>
                        <pic:spPr>
                          <a:xfrm>
                            <a:off x="0" y="0"/>
                            <a:ext cx="5264785" cy="3030220"/>
                          </a:xfrm>
                          <a:prstGeom prst="rect">
                            <a:avLst/>
                          </a:prstGeom>
                          <a:noFill/>
                          <a:ln>
                            <a:noFill/>
                          </a:ln>
                        </pic:spPr>
                      </pic:pic>
                    </a:graphicData>
                  </a:graphic>
                </wp:inline>
              </w:drawing>
            </w:r>
          </w:p>
          <w:p>
            <w:pPr>
              <w:jc w:val="center"/>
              <w:rPr>
                <w:b/>
                <w:bCs/>
                <w:color w:val="auto"/>
                <w:highlight w:val="none"/>
              </w:rPr>
            </w:pPr>
            <w:r>
              <w:rPr>
                <w:color w:val="auto"/>
                <w:highlight w:val="none"/>
              </w:rPr>
              <w:drawing>
                <wp:inline distT="0" distB="0" distL="114300" distR="114300">
                  <wp:extent cx="5264785" cy="3030220"/>
                  <wp:effectExtent l="0" t="0" r="8255" b="2540"/>
                  <wp:docPr id="1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5"/>
                          <pic:cNvPicPr>
                            <a:picLocks noChangeAspect="1"/>
                          </pic:cNvPicPr>
                        </pic:nvPicPr>
                        <pic:blipFill>
                          <a:blip r:embed="rId20"/>
                          <a:stretch>
                            <a:fillRect/>
                          </a:stretch>
                        </pic:blipFill>
                        <pic:spPr>
                          <a:xfrm>
                            <a:off x="0" y="0"/>
                            <a:ext cx="5264785" cy="3030220"/>
                          </a:xfrm>
                          <a:prstGeom prst="rect">
                            <a:avLst/>
                          </a:prstGeom>
                          <a:noFill/>
                          <a:ln>
                            <a:noFill/>
                          </a:ln>
                        </pic:spPr>
                      </pic:pic>
                    </a:graphicData>
                  </a:graphic>
                </wp:inline>
              </w:drawing>
            </w:r>
          </w:p>
          <w:p>
            <w:pPr>
              <w:jc w:val="center"/>
              <w:rPr>
                <w:rFonts w:hint="eastAsia"/>
                <w:b/>
                <w:bCs/>
                <w:color w:val="auto"/>
                <w:highlight w:val="none"/>
              </w:rPr>
            </w:pPr>
            <w:r>
              <w:rPr>
                <w:rFonts w:hint="eastAsia"/>
                <w:b/>
                <w:bCs/>
                <w:color w:val="auto"/>
                <w:highlight w:val="none"/>
              </w:rPr>
              <w:t>图7-2</w:t>
            </w:r>
            <w:r>
              <w:rPr>
                <w:b/>
                <w:bCs/>
                <w:color w:val="auto"/>
                <w:highlight w:val="none"/>
              </w:rPr>
              <w:t>大气环境影响评价工作等级结果</w:t>
            </w:r>
            <w:r>
              <w:rPr>
                <w:rFonts w:hint="eastAsia"/>
                <w:b/>
                <w:bCs/>
                <w:color w:val="auto"/>
                <w:highlight w:val="none"/>
              </w:rPr>
              <w:t>截图</w:t>
            </w:r>
          </w:p>
          <w:p>
            <w:pPr>
              <w:pStyle w:val="2"/>
              <w:rPr>
                <w:rFonts w:hint="eastAsia"/>
                <w:b/>
                <w:bCs/>
                <w:color w:val="auto"/>
                <w:highlight w:val="none"/>
              </w:rPr>
            </w:pPr>
          </w:p>
          <w:p>
            <w:pPr>
              <w:rPr>
                <w:rFonts w:hint="eastAsia"/>
                <w:b/>
                <w:bCs/>
                <w:color w:val="auto"/>
                <w:highlight w:val="none"/>
              </w:rPr>
            </w:pPr>
          </w:p>
          <w:p>
            <w:pPr>
              <w:pStyle w:val="2"/>
              <w:rPr>
                <w:rFonts w:hint="eastAsia"/>
                <w:b/>
                <w:bCs/>
                <w:color w:val="auto"/>
                <w:highlight w:val="none"/>
              </w:rPr>
            </w:pPr>
          </w:p>
          <w:p>
            <w:pPr>
              <w:rPr>
                <w:rFonts w:hint="eastAsia"/>
                <w:color w:val="auto"/>
                <w:highlight w:val="none"/>
              </w:rPr>
            </w:pPr>
          </w:p>
          <w:p>
            <w:pPr>
              <w:rPr>
                <w:color w:val="auto"/>
                <w:highlight w:val="none"/>
              </w:rPr>
            </w:pPr>
          </w:p>
          <w:p>
            <w:pPr>
              <w:spacing w:line="276" w:lineRule="auto"/>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 xml:space="preserve">表 </w:t>
            </w:r>
            <w:r>
              <w:rPr>
                <w:rFonts w:hint="eastAsia" w:ascii="Times New Roman" w:hAnsi="Times New Roman" w:eastAsia="宋体" w:cs="Times New Roman"/>
                <w:b/>
                <w:bCs/>
                <w:color w:val="auto"/>
                <w:szCs w:val="21"/>
                <w:highlight w:val="none"/>
              </w:rPr>
              <w:t>7-</w:t>
            </w:r>
            <w:r>
              <w:rPr>
                <w:rFonts w:ascii="Times New Roman" w:hAnsi="Times New Roman" w:eastAsia="宋体" w:cs="Times New Roman"/>
                <w:b/>
                <w:bCs/>
                <w:color w:val="auto"/>
                <w:szCs w:val="21"/>
                <w:highlight w:val="none"/>
              </w:rPr>
              <w:t>12大气环境影响评价工作等级结果</w:t>
            </w:r>
          </w:p>
          <w:tbl>
            <w:tblPr>
              <w:tblStyle w:val="23"/>
              <w:tblW w:w="8286"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26"/>
              <w:gridCol w:w="776"/>
              <w:gridCol w:w="929"/>
              <w:gridCol w:w="1035"/>
              <w:gridCol w:w="1249"/>
              <w:gridCol w:w="1368"/>
              <w:gridCol w:w="1341"/>
              <w:gridCol w:w="116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63" w:hRule="atLeast"/>
                <w:jc w:val="center"/>
              </w:trPr>
              <w:tc>
                <w:tcPr>
                  <w:tcW w:w="1202" w:type="dxa"/>
                  <w:gridSpan w:val="2"/>
                  <w:tcBorders>
                    <w:tl2br w:val="nil"/>
                    <w:tr2bl w:val="nil"/>
                  </w:tcBorders>
                  <w:vAlign w:val="center"/>
                </w:tcPr>
                <w:p>
                  <w:pPr>
                    <w:overflowPunct w:val="0"/>
                    <w:autoSpaceDE w:val="0"/>
                    <w:autoSpaceDN w:val="0"/>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污染物</w:t>
                  </w:r>
                </w:p>
              </w:tc>
              <w:tc>
                <w:tcPr>
                  <w:tcW w:w="929" w:type="dxa"/>
                  <w:tcBorders>
                    <w:tl2br w:val="nil"/>
                    <w:tr2bl w:val="nil"/>
                  </w:tcBorders>
                  <w:vAlign w:val="center"/>
                </w:tcPr>
                <w:p>
                  <w:pPr>
                    <w:overflowPunct w:val="0"/>
                    <w:autoSpaceDE w:val="0"/>
                    <w:autoSpaceDN w:val="0"/>
                    <w:jc w:val="center"/>
                    <w:rPr>
                      <w:rFonts w:ascii="Times New Roman" w:hAnsi="Times New Roman" w:eastAsia="宋体" w:cs="Times New Roman"/>
                      <w:b/>
                      <w:bCs/>
                      <w:color w:val="auto"/>
                      <w:szCs w:val="21"/>
                      <w:highlight w:val="none"/>
                    </w:rPr>
                  </w:pPr>
                  <w:r>
                    <w:rPr>
                      <w:rFonts w:hint="eastAsia" w:ascii="Times New Roman" w:hAnsi="Times New Roman" w:eastAsia="宋体" w:cs="Times New Roman"/>
                      <w:b/>
                      <w:bCs/>
                      <w:color w:val="auto"/>
                      <w:szCs w:val="21"/>
                      <w:highlight w:val="none"/>
                    </w:rPr>
                    <w:t>污染源</w:t>
                  </w:r>
                </w:p>
              </w:tc>
              <w:tc>
                <w:tcPr>
                  <w:tcW w:w="1035" w:type="dxa"/>
                  <w:tcBorders>
                    <w:tl2br w:val="nil"/>
                    <w:tr2bl w:val="nil"/>
                  </w:tcBorders>
                  <w:vAlign w:val="center"/>
                </w:tcPr>
                <w:p>
                  <w:pPr>
                    <w:overflowPunct w:val="0"/>
                    <w:autoSpaceDE w:val="0"/>
                    <w:autoSpaceDN w:val="0"/>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源强（kg/h）</w:t>
                  </w:r>
                </w:p>
              </w:tc>
              <w:tc>
                <w:tcPr>
                  <w:tcW w:w="1249" w:type="dxa"/>
                  <w:tcBorders>
                    <w:tl2br w:val="nil"/>
                    <w:tr2bl w:val="nil"/>
                  </w:tcBorders>
                  <w:vAlign w:val="center"/>
                </w:tcPr>
                <w:p>
                  <w:pPr>
                    <w:overflowPunct w:val="0"/>
                    <w:autoSpaceDE w:val="0"/>
                    <w:autoSpaceDN w:val="0"/>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最大浓度对应距离（m）</w:t>
                  </w:r>
                </w:p>
              </w:tc>
              <w:tc>
                <w:tcPr>
                  <w:tcW w:w="1368" w:type="dxa"/>
                  <w:tcBorders>
                    <w:tl2br w:val="nil"/>
                    <w:tr2bl w:val="nil"/>
                  </w:tcBorders>
                  <w:vAlign w:val="center"/>
                </w:tcPr>
                <w:p>
                  <w:pPr>
                    <w:overflowPunct w:val="0"/>
                    <w:autoSpaceDE w:val="0"/>
                    <w:autoSpaceDN w:val="0"/>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最大地面质量浓度（mg/m</w:t>
                  </w:r>
                  <w:r>
                    <w:rPr>
                      <w:rFonts w:ascii="Times New Roman" w:hAnsi="Times New Roman" w:eastAsia="宋体" w:cs="Times New Roman"/>
                      <w:b/>
                      <w:bCs/>
                      <w:color w:val="auto"/>
                      <w:szCs w:val="21"/>
                      <w:highlight w:val="none"/>
                      <w:vertAlign w:val="superscript"/>
                    </w:rPr>
                    <w:t>3</w:t>
                  </w:r>
                  <w:r>
                    <w:rPr>
                      <w:rFonts w:ascii="Times New Roman" w:hAnsi="Times New Roman" w:eastAsia="宋体" w:cs="Times New Roman"/>
                      <w:b/>
                      <w:bCs/>
                      <w:color w:val="auto"/>
                      <w:szCs w:val="21"/>
                      <w:highlight w:val="none"/>
                    </w:rPr>
                    <w:t>）</w:t>
                  </w:r>
                </w:p>
              </w:tc>
              <w:tc>
                <w:tcPr>
                  <w:tcW w:w="1341" w:type="dxa"/>
                  <w:tcBorders>
                    <w:tl2br w:val="nil"/>
                    <w:tr2bl w:val="nil"/>
                  </w:tcBorders>
                  <w:vAlign w:val="center"/>
                </w:tcPr>
                <w:p>
                  <w:pPr>
                    <w:overflowPunct w:val="0"/>
                    <w:autoSpaceDE w:val="0"/>
                    <w:autoSpaceDN w:val="0"/>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最大地面浓度占标率Pi（%）</w:t>
                  </w:r>
                </w:p>
              </w:tc>
              <w:tc>
                <w:tcPr>
                  <w:tcW w:w="1162" w:type="dxa"/>
                  <w:tcBorders>
                    <w:tl2br w:val="nil"/>
                    <w:tr2bl w:val="nil"/>
                  </w:tcBorders>
                  <w:vAlign w:val="center"/>
                </w:tcPr>
                <w:p>
                  <w:pPr>
                    <w:overflowPunct w:val="0"/>
                    <w:autoSpaceDE w:val="0"/>
                    <w:autoSpaceDN w:val="0"/>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评价工</w:t>
                  </w:r>
                </w:p>
                <w:p>
                  <w:pPr>
                    <w:overflowPunct w:val="0"/>
                    <w:autoSpaceDE w:val="0"/>
                    <w:autoSpaceDN w:val="0"/>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作等级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93" w:hRule="atLeast"/>
                <w:jc w:val="center"/>
              </w:trPr>
              <w:tc>
                <w:tcPr>
                  <w:tcW w:w="426" w:type="dxa"/>
                  <w:vMerge w:val="restart"/>
                  <w:tcBorders>
                    <w:tl2br w:val="nil"/>
                    <w:tr2bl w:val="nil"/>
                  </w:tcBorders>
                  <w:vAlign w:val="center"/>
                </w:tcPr>
                <w:p>
                  <w:pPr>
                    <w:overflowPunct w:val="0"/>
                    <w:autoSpaceDE w:val="0"/>
                    <w:autoSpaceDN w:val="0"/>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点源</w:t>
                  </w:r>
                </w:p>
              </w:tc>
              <w:tc>
                <w:tcPr>
                  <w:tcW w:w="776" w:type="dxa"/>
                  <w:vMerge w:val="restart"/>
                  <w:tcBorders>
                    <w:tl2br w:val="nil"/>
                    <w:tr2bl w:val="nil"/>
                  </w:tcBorders>
                  <w:vAlign w:val="center"/>
                </w:tcPr>
                <w:p>
                  <w:pPr>
                    <w:overflowPunct w:val="0"/>
                    <w:autoSpaceDE w:val="0"/>
                    <w:autoSpaceDN w:val="0"/>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非甲烷总烃</w:t>
                  </w:r>
                </w:p>
              </w:tc>
              <w:tc>
                <w:tcPr>
                  <w:tcW w:w="929" w:type="dxa"/>
                  <w:tcBorders>
                    <w:tl2br w:val="nil"/>
                    <w:tr2bl w:val="nil"/>
                  </w:tcBorders>
                  <w:vAlign w:val="center"/>
                </w:tcPr>
                <w:p>
                  <w:pPr>
                    <w:overflowPunct w:val="0"/>
                    <w:autoSpaceDE w:val="0"/>
                    <w:autoSpaceDN w:val="0"/>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发泡工序</w:t>
                  </w:r>
                </w:p>
              </w:tc>
              <w:tc>
                <w:tcPr>
                  <w:tcW w:w="1035" w:type="dxa"/>
                  <w:tcBorders>
                    <w:tl2br w:val="nil"/>
                    <w:tr2bl w:val="nil"/>
                  </w:tcBorders>
                  <w:vAlign w:val="center"/>
                </w:tcPr>
                <w:p>
                  <w:pPr>
                    <w:overflowPunct w:val="0"/>
                    <w:autoSpaceDE w:val="0"/>
                    <w:autoSpaceDN w:val="0"/>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0.0595</w:t>
                  </w:r>
                </w:p>
              </w:tc>
              <w:tc>
                <w:tcPr>
                  <w:tcW w:w="1249" w:type="dxa"/>
                  <w:tcBorders>
                    <w:tl2br w:val="nil"/>
                    <w:tr2bl w:val="nil"/>
                  </w:tcBorders>
                  <w:vAlign w:val="center"/>
                </w:tcPr>
                <w:p>
                  <w:pPr>
                    <w:overflowPunct w:val="0"/>
                    <w:autoSpaceDE w:val="0"/>
                    <w:autoSpaceDN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16</w:t>
                  </w:r>
                </w:p>
              </w:tc>
              <w:tc>
                <w:tcPr>
                  <w:tcW w:w="1368" w:type="dxa"/>
                  <w:tcBorders>
                    <w:tl2br w:val="nil"/>
                    <w:tr2bl w:val="nil"/>
                  </w:tcBorders>
                  <w:vAlign w:val="center"/>
                </w:tcPr>
                <w:p>
                  <w:pPr>
                    <w:overflowPunct w:val="0"/>
                    <w:autoSpaceDE w:val="0"/>
                    <w:autoSpaceDN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.0</w:t>
                  </w:r>
                  <w:r>
                    <w:rPr>
                      <w:rFonts w:hint="eastAsia" w:ascii="Times New Roman" w:hAnsi="Times New Roman" w:eastAsia="宋体" w:cs="Times New Roman"/>
                      <w:color w:val="auto"/>
                      <w:szCs w:val="21"/>
                      <w:highlight w:val="none"/>
                      <w:lang w:val="en-US" w:eastAsia="zh-CN"/>
                    </w:rPr>
                    <w:t>072</w:t>
                  </w:r>
                </w:p>
              </w:tc>
              <w:tc>
                <w:tcPr>
                  <w:tcW w:w="1341" w:type="dxa"/>
                  <w:tcBorders>
                    <w:tl2br w:val="nil"/>
                    <w:tr2bl w:val="nil"/>
                  </w:tcBorders>
                  <w:vAlign w:val="center"/>
                </w:tcPr>
                <w:p>
                  <w:pPr>
                    <w:overflowPunct w:val="0"/>
                    <w:autoSpaceDE w:val="0"/>
                    <w:autoSpaceDN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36</w:t>
                  </w:r>
                </w:p>
              </w:tc>
              <w:tc>
                <w:tcPr>
                  <w:tcW w:w="1162" w:type="dxa"/>
                  <w:tcBorders>
                    <w:tl2br w:val="nil"/>
                    <w:tr2bl w:val="nil"/>
                  </w:tcBorders>
                  <w:vAlign w:val="center"/>
                </w:tcPr>
                <w:p>
                  <w:pPr>
                    <w:overflowPunct w:val="0"/>
                    <w:autoSpaceDE w:val="0"/>
                    <w:autoSpaceDN w:val="0"/>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三级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93" w:hRule="atLeast"/>
                <w:jc w:val="center"/>
              </w:trPr>
              <w:tc>
                <w:tcPr>
                  <w:tcW w:w="426" w:type="dxa"/>
                  <w:vMerge w:val="continue"/>
                  <w:tcBorders>
                    <w:tl2br w:val="nil"/>
                    <w:tr2bl w:val="nil"/>
                  </w:tcBorders>
                  <w:vAlign w:val="center"/>
                </w:tcPr>
                <w:p>
                  <w:pPr>
                    <w:overflowPunct w:val="0"/>
                    <w:autoSpaceDE w:val="0"/>
                    <w:autoSpaceDN w:val="0"/>
                    <w:jc w:val="center"/>
                    <w:rPr>
                      <w:rFonts w:ascii="Times New Roman" w:hAnsi="Times New Roman" w:eastAsia="宋体" w:cs="Times New Roman"/>
                      <w:color w:val="auto"/>
                      <w:szCs w:val="21"/>
                      <w:highlight w:val="none"/>
                    </w:rPr>
                  </w:pPr>
                </w:p>
              </w:tc>
              <w:tc>
                <w:tcPr>
                  <w:tcW w:w="776" w:type="dxa"/>
                  <w:vMerge w:val="continue"/>
                  <w:tcBorders>
                    <w:tl2br w:val="nil"/>
                    <w:tr2bl w:val="nil"/>
                  </w:tcBorders>
                  <w:vAlign w:val="center"/>
                </w:tcPr>
                <w:p>
                  <w:pPr>
                    <w:overflowPunct w:val="0"/>
                    <w:autoSpaceDE w:val="0"/>
                    <w:autoSpaceDN w:val="0"/>
                    <w:jc w:val="center"/>
                    <w:rPr>
                      <w:rFonts w:ascii="Times New Roman" w:hAnsi="Times New Roman" w:eastAsia="宋体" w:cs="Times New Roman"/>
                      <w:color w:val="auto"/>
                      <w:szCs w:val="21"/>
                      <w:highlight w:val="none"/>
                    </w:rPr>
                  </w:pPr>
                </w:p>
              </w:tc>
              <w:tc>
                <w:tcPr>
                  <w:tcW w:w="929" w:type="dxa"/>
                  <w:tcBorders>
                    <w:tl2br w:val="nil"/>
                    <w:tr2bl w:val="nil"/>
                  </w:tcBorders>
                  <w:vAlign w:val="center"/>
                </w:tcPr>
                <w:p>
                  <w:pPr>
                    <w:overflowPunct w:val="0"/>
                    <w:autoSpaceDE w:val="0"/>
                    <w:autoSpaceDN w:val="0"/>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成型工序</w:t>
                  </w:r>
                </w:p>
              </w:tc>
              <w:tc>
                <w:tcPr>
                  <w:tcW w:w="1035" w:type="dxa"/>
                  <w:tcBorders>
                    <w:tl2br w:val="nil"/>
                    <w:tr2bl w:val="nil"/>
                  </w:tcBorders>
                  <w:vAlign w:val="center"/>
                </w:tcPr>
                <w:p>
                  <w:pPr>
                    <w:overflowPunct w:val="0"/>
                    <w:autoSpaceDE w:val="0"/>
                    <w:autoSpaceDN w:val="0"/>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.1607</w:t>
                  </w:r>
                </w:p>
              </w:tc>
              <w:tc>
                <w:tcPr>
                  <w:tcW w:w="1249" w:type="dxa"/>
                  <w:tcBorders>
                    <w:tl2br w:val="nil"/>
                    <w:tr2bl w:val="nil"/>
                  </w:tcBorders>
                  <w:vAlign w:val="center"/>
                </w:tcPr>
                <w:p>
                  <w:pPr>
                    <w:overflowPunct w:val="0"/>
                    <w:autoSpaceDE w:val="0"/>
                    <w:autoSpaceDN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41</w:t>
                  </w:r>
                </w:p>
              </w:tc>
              <w:tc>
                <w:tcPr>
                  <w:tcW w:w="1368" w:type="dxa"/>
                  <w:tcBorders>
                    <w:tl2br w:val="nil"/>
                    <w:tr2bl w:val="nil"/>
                  </w:tcBorders>
                  <w:vAlign w:val="center"/>
                </w:tcPr>
                <w:p>
                  <w:pPr>
                    <w:overflowPunct w:val="0"/>
                    <w:autoSpaceDE w:val="0"/>
                    <w:autoSpaceDN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.0</w:t>
                  </w:r>
                  <w:r>
                    <w:rPr>
                      <w:rFonts w:hint="eastAsia" w:ascii="Times New Roman" w:hAnsi="Times New Roman" w:eastAsia="宋体" w:cs="Times New Roman"/>
                      <w:color w:val="auto"/>
                      <w:szCs w:val="21"/>
                      <w:highlight w:val="none"/>
                      <w:lang w:val="en-US" w:eastAsia="zh-CN"/>
                    </w:rPr>
                    <w:t>189</w:t>
                  </w:r>
                </w:p>
              </w:tc>
              <w:tc>
                <w:tcPr>
                  <w:tcW w:w="1341" w:type="dxa"/>
                  <w:tcBorders>
                    <w:tl2br w:val="nil"/>
                    <w:tr2bl w:val="nil"/>
                  </w:tcBorders>
                  <w:vAlign w:val="center"/>
                </w:tcPr>
                <w:p>
                  <w:pPr>
                    <w:overflowPunct w:val="0"/>
                    <w:autoSpaceDE w:val="0"/>
                    <w:autoSpaceDN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0.94</w:t>
                  </w:r>
                </w:p>
              </w:tc>
              <w:tc>
                <w:tcPr>
                  <w:tcW w:w="1162" w:type="dxa"/>
                  <w:tcBorders>
                    <w:tl2br w:val="nil"/>
                    <w:tr2bl w:val="nil"/>
                  </w:tcBorders>
                  <w:vAlign w:val="center"/>
                </w:tcPr>
                <w:p>
                  <w:pPr>
                    <w:overflowPunct w:val="0"/>
                    <w:autoSpaceDE w:val="0"/>
                    <w:autoSpaceDN w:val="0"/>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三级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93" w:hRule="atLeast"/>
                <w:jc w:val="center"/>
              </w:trPr>
              <w:tc>
                <w:tcPr>
                  <w:tcW w:w="426" w:type="dxa"/>
                  <w:vMerge w:val="restart"/>
                  <w:tcBorders>
                    <w:tl2br w:val="nil"/>
                    <w:tr2bl w:val="nil"/>
                  </w:tcBorders>
                  <w:vAlign w:val="center"/>
                </w:tcPr>
                <w:p>
                  <w:pPr>
                    <w:overflowPunct w:val="0"/>
                    <w:autoSpaceDE w:val="0"/>
                    <w:autoSpaceDN w:val="0"/>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面源</w:t>
                  </w:r>
                </w:p>
              </w:tc>
              <w:tc>
                <w:tcPr>
                  <w:tcW w:w="776" w:type="dxa"/>
                  <w:vMerge w:val="restart"/>
                  <w:tcBorders>
                    <w:tl2br w:val="nil"/>
                    <w:tr2bl w:val="nil"/>
                  </w:tcBorders>
                  <w:vAlign w:val="center"/>
                </w:tcPr>
                <w:p>
                  <w:pPr>
                    <w:overflowPunct w:val="0"/>
                    <w:autoSpaceDE w:val="0"/>
                    <w:autoSpaceDN w:val="0"/>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非甲烷总烃</w:t>
                  </w:r>
                </w:p>
              </w:tc>
              <w:tc>
                <w:tcPr>
                  <w:tcW w:w="929" w:type="dxa"/>
                  <w:tcBorders>
                    <w:tl2br w:val="nil"/>
                    <w:tr2bl w:val="nil"/>
                  </w:tcBorders>
                  <w:vAlign w:val="center"/>
                </w:tcPr>
                <w:p>
                  <w:pPr>
                    <w:overflowPunct w:val="0"/>
                    <w:autoSpaceDE w:val="0"/>
                    <w:autoSpaceDN w:val="0"/>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发泡工序</w:t>
                  </w:r>
                </w:p>
              </w:tc>
              <w:tc>
                <w:tcPr>
                  <w:tcW w:w="1035" w:type="dxa"/>
                  <w:tcBorders>
                    <w:tl2br w:val="nil"/>
                    <w:tr2bl w:val="nil"/>
                  </w:tcBorders>
                  <w:vAlign w:val="center"/>
                </w:tcPr>
                <w:p>
                  <w:pPr>
                    <w:overflowPunct w:val="0"/>
                    <w:autoSpaceDE w:val="0"/>
                    <w:autoSpaceDN w:val="0"/>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.0525</w:t>
                  </w:r>
                </w:p>
              </w:tc>
              <w:tc>
                <w:tcPr>
                  <w:tcW w:w="1249" w:type="dxa"/>
                  <w:tcBorders>
                    <w:tl2br w:val="nil"/>
                    <w:tr2bl w:val="nil"/>
                  </w:tcBorders>
                  <w:vAlign w:val="center"/>
                </w:tcPr>
                <w:p>
                  <w:pPr>
                    <w:overflowPunct w:val="0"/>
                    <w:autoSpaceDE w:val="0"/>
                    <w:autoSpaceDN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16</w:t>
                  </w:r>
                </w:p>
              </w:tc>
              <w:tc>
                <w:tcPr>
                  <w:tcW w:w="1368" w:type="dxa"/>
                  <w:tcBorders>
                    <w:tl2br w:val="nil"/>
                    <w:tr2bl w:val="nil"/>
                  </w:tcBorders>
                  <w:vAlign w:val="center"/>
                </w:tcPr>
                <w:p>
                  <w:pPr>
                    <w:overflowPunct w:val="0"/>
                    <w:autoSpaceDE w:val="0"/>
                    <w:autoSpaceDN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0.0549</w:t>
                  </w:r>
                </w:p>
              </w:tc>
              <w:tc>
                <w:tcPr>
                  <w:tcW w:w="1341" w:type="dxa"/>
                  <w:tcBorders>
                    <w:tl2br w:val="nil"/>
                    <w:tr2bl w:val="nil"/>
                  </w:tcBorders>
                  <w:vAlign w:val="center"/>
                </w:tcPr>
                <w:p>
                  <w:pPr>
                    <w:overflowPunct w:val="0"/>
                    <w:autoSpaceDE w:val="0"/>
                    <w:autoSpaceDN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2.75</w:t>
                  </w:r>
                </w:p>
              </w:tc>
              <w:tc>
                <w:tcPr>
                  <w:tcW w:w="1162" w:type="dxa"/>
                  <w:tcBorders>
                    <w:tl2br w:val="nil"/>
                    <w:tr2bl w:val="nil"/>
                  </w:tcBorders>
                  <w:vAlign w:val="center"/>
                </w:tcPr>
                <w:p>
                  <w:pPr>
                    <w:overflowPunct w:val="0"/>
                    <w:autoSpaceDE w:val="0"/>
                    <w:autoSpaceDN w:val="0"/>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二</w:t>
                  </w:r>
                  <w:r>
                    <w:rPr>
                      <w:rFonts w:ascii="Times New Roman" w:hAnsi="Times New Roman" w:eastAsia="宋体" w:cs="Times New Roman"/>
                      <w:color w:val="auto"/>
                      <w:szCs w:val="21"/>
                      <w:highlight w:val="none"/>
                    </w:rPr>
                    <w:t>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31" w:hRule="atLeast"/>
                <w:jc w:val="center"/>
              </w:trPr>
              <w:tc>
                <w:tcPr>
                  <w:tcW w:w="426" w:type="dxa"/>
                  <w:vMerge w:val="continue"/>
                  <w:tcBorders>
                    <w:tl2br w:val="nil"/>
                    <w:tr2bl w:val="nil"/>
                  </w:tcBorders>
                  <w:vAlign w:val="center"/>
                </w:tcPr>
                <w:p>
                  <w:pPr>
                    <w:overflowPunct w:val="0"/>
                    <w:autoSpaceDE w:val="0"/>
                    <w:autoSpaceDN w:val="0"/>
                    <w:jc w:val="center"/>
                    <w:rPr>
                      <w:rFonts w:ascii="Times New Roman" w:hAnsi="Times New Roman" w:eastAsia="宋体" w:cs="Times New Roman"/>
                      <w:color w:val="auto"/>
                      <w:szCs w:val="21"/>
                      <w:highlight w:val="none"/>
                    </w:rPr>
                  </w:pPr>
                </w:p>
              </w:tc>
              <w:tc>
                <w:tcPr>
                  <w:tcW w:w="776" w:type="dxa"/>
                  <w:vMerge w:val="continue"/>
                  <w:tcBorders>
                    <w:tl2br w:val="nil"/>
                    <w:tr2bl w:val="nil"/>
                  </w:tcBorders>
                  <w:vAlign w:val="center"/>
                </w:tcPr>
                <w:p>
                  <w:pPr>
                    <w:overflowPunct w:val="0"/>
                    <w:autoSpaceDE w:val="0"/>
                    <w:autoSpaceDN w:val="0"/>
                    <w:jc w:val="center"/>
                    <w:rPr>
                      <w:rFonts w:ascii="Times New Roman" w:hAnsi="Times New Roman" w:eastAsia="宋体" w:cs="Times New Roman"/>
                      <w:color w:val="auto"/>
                      <w:szCs w:val="21"/>
                      <w:highlight w:val="none"/>
                    </w:rPr>
                  </w:pPr>
                </w:p>
              </w:tc>
              <w:tc>
                <w:tcPr>
                  <w:tcW w:w="929" w:type="dxa"/>
                  <w:tcBorders>
                    <w:tl2br w:val="nil"/>
                    <w:tr2bl w:val="nil"/>
                  </w:tcBorders>
                  <w:vAlign w:val="center"/>
                </w:tcPr>
                <w:p>
                  <w:pPr>
                    <w:overflowPunct w:val="0"/>
                    <w:autoSpaceDE w:val="0"/>
                    <w:autoSpaceDN w:val="0"/>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成型工序</w:t>
                  </w:r>
                </w:p>
              </w:tc>
              <w:tc>
                <w:tcPr>
                  <w:tcW w:w="1035" w:type="dxa"/>
                  <w:tcBorders>
                    <w:tl2br w:val="nil"/>
                    <w:tr2bl w:val="nil"/>
                  </w:tcBorders>
                  <w:vAlign w:val="center"/>
                </w:tcPr>
                <w:p>
                  <w:pPr>
                    <w:overflowPunct w:val="0"/>
                    <w:autoSpaceDE w:val="0"/>
                    <w:autoSpaceDN w:val="0"/>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.1418</w:t>
                  </w:r>
                </w:p>
              </w:tc>
              <w:tc>
                <w:tcPr>
                  <w:tcW w:w="1249" w:type="dxa"/>
                  <w:tcBorders>
                    <w:tl2br w:val="nil"/>
                    <w:tr2bl w:val="nil"/>
                  </w:tcBorders>
                  <w:vAlign w:val="center"/>
                </w:tcPr>
                <w:p>
                  <w:pPr>
                    <w:overflowPunct w:val="0"/>
                    <w:autoSpaceDE w:val="0"/>
                    <w:autoSpaceDN w:val="0"/>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rPr>
                    <w:t>4</w:t>
                  </w:r>
                  <w:r>
                    <w:rPr>
                      <w:rFonts w:hint="eastAsia" w:ascii="Times New Roman" w:hAnsi="Times New Roman" w:eastAsia="宋体" w:cs="Times New Roman"/>
                      <w:color w:val="auto"/>
                      <w:szCs w:val="21"/>
                      <w:highlight w:val="none"/>
                      <w:lang w:val="en-US" w:eastAsia="zh-CN"/>
                    </w:rPr>
                    <w:t>1</w:t>
                  </w:r>
                </w:p>
              </w:tc>
              <w:tc>
                <w:tcPr>
                  <w:tcW w:w="1368" w:type="dxa"/>
                  <w:tcBorders>
                    <w:tl2br w:val="nil"/>
                    <w:tr2bl w:val="nil"/>
                  </w:tcBorders>
                  <w:vAlign w:val="center"/>
                </w:tcPr>
                <w:p>
                  <w:pPr>
                    <w:overflowPunct w:val="0"/>
                    <w:autoSpaceDE w:val="0"/>
                    <w:autoSpaceDN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rPr>
                    <w:t>0</w:t>
                  </w:r>
                  <w:r>
                    <w:rPr>
                      <w:rFonts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1484</w:t>
                  </w:r>
                </w:p>
              </w:tc>
              <w:tc>
                <w:tcPr>
                  <w:tcW w:w="1341" w:type="dxa"/>
                  <w:tcBorders>
                    <w:tl2br w:val="nil"/>
                    <w:tr2bl w:val="nil"/>
                  </w:tcBorders>
                  <w:vAlign w:val="center"/>
                </w:tcPr>
                <w:p>
                  <w:pPr>
                    <w:overflowPunct w:val="0"/>
                    <w:autoSpaceDE w:val="0"/>
                    <w:autoSpaceDN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7.42</w:t>
                  </w:r>
                </w:p>
              </w:tc>
              <w:tc>
                <w:tcPr>
                  <w:tcW w:w="1162" w:type="dxa"/>
                  <w:tcBorders>
                    <w:tl2br w:val="nil"/>
                    <w:tr2bl w:val="nil"/>
                  </w:tcBorders>
                  <w:vAlign w:val="center"/>
                </w:tcPr>
                <w:p>
                  <w:pPr>
                    <w:overflowPunct w:val="0"/>
                    <w:autoSpaceDE w:val="0"/>
                    <w:autoSpaceDN w:val="0"/>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二</w:t>
                  </w:r>
                  <w:r>
                    <w:rPr>
                      <w:rFonts w:ascii="Times New Roman" w:hAnsi="Times New Roman" w:eastAsia="宋体" w:cs="Times New Roman"/>
                      <w:color w:val="auto"/>
                      <w:szCs w:val="21"/>
                      <w:highlight w:val="none"/>
                    </w:rPr>
                    <w:t>级</w:t>
                  </w:r>
                </w:p>
              </w:tc>
            </w:tr>
          </w:tbl>
          <w:p>
            <w:pPr>
              <w:spacing w:line="360" w:lineRule="auto"/>
              <w:ind w:firstLine="480" w:firstLineChars="200"/>
              <w:rPr>
                <w:rFonts w:ascii="Times New Roman" w:hAnsi="Times New Roman" w:eastAsia="宋体" w:cs="Times New Roman"/>
                <w:b/>
                <w:bCs/>
                <w:color w:val="auto"/>
                <w:szCs w:val="21"/>
                <w:highlight w:val="none"/>
              </w:rPr>
            </w:pPr>
            <w:r>
              <w:rPr>
                <w:rFonts w:ascii="Times New Roman" w:hAnsi="Times New Roman" w:eastAsia="宋体" w:cs="Times New Roman"/>
                <w:color w:val="auto"/>
                <w:sz w:val="24"/>
                <w:highlight w:val="none"/>
              </w:rPr>
              <w:t>根据项目各点源、面源估算模型计算结果，本项目正常排放的污染物的最大占标率均小于10%，按照《环境影响评价技术导则—大气环境》（HJ2.2-2018）中的有关规定，确定项目大气环境影响评价工作等级为</w:t>
            </w:r>
            <w:r>
              <w:rPr>
                <w:rFonts w:hint="eastAsia" w:ascii="Times New Roman" w:hAnsi="Times New Roman" w:eastAsia="宋体" w:cs="Times New Roman"/>
                <w:color w:val="auto"/>
                <w:sz w:val="24"/>
                <w:highlight w:val="none"/>
              </w:rPr>
              <w:t>二</w:t>
            </w:r>
            <w:r>
              <w:rPr>
                <w:rFonts w:ascii="Times New Roman" w:hAnsi="Times New Roman" w:eastAsia="宋体" w:cs="Times New Roman"/>
                <w:color w:val="auto"/>
                <w:sz w:val="24"/>
                <w:highlight w:val="none"/>
              </w:rPr>
              <w:t>级。</w:t>
            </w:r>
          </w:p>
          <w:p>
            <w:pPr>
              <w:spacing w:line="360" w:lineRule="auto"/>
              <w:ind w:firstLine="482" w:firstLineChars="200"/>
              <w:rPr>
                <w:rFonts w:ascii="Times New Roman" w:hAnsi="Times New Roman" w:eastAsia="宋体" w:cs="Times New Roman"/>
                <w:bCs/>
                <w:color w:val="auto"/>
                <w:sz w:val="24"/>
                <w:highlight w:val="none"/>
              </w:rPr>
            </w:pPr>
            <w:r>
              <w:rPr>
                <w:rFonts w:ascii="Times New Roman" w:hAnsi="Times New Roman" w:eastAsia="宋体" w:cs="Times New Roman"/>
                <w:b/>
                <w:color w:val="auto"/>
                <w:sz w:val="24"/>
                <w:highlight w:val="none"/>
              </w:rPr>
              <w:t>3、噪声环境影响分析</w:t>
            </w:r>
          </w:p>
          <w:p>
            <w:pPr>
              <w:snapToGrid w:val="0"/>
              <w:spacing w:line="360" w:lineRule="auto"/>
              <w:ind w:firstLine="502"/>
              <w:rPr>
                <w:rFonts w:ascii="Times New Roman" w:hAnsi="Times New Roman" w:cs="Times New Roman"/>
                <w:b/>
                <w:bCs/>
                <w:color w:val="auto"/>
                <w:sz w:val="24"/>
                <w:highlight w:val="none"/>
              </w:rPr>
            </w:pPr>
            <w:r>
              <w:rPr>
                <w:rFonts w:hint="eastAsia" w:ascii="Times New Roman" w:hAnsi="Times New Roman" w:cs="Times New Roman"/>
                <w:b/>
                <w:bCs/>
                <w:color w:val="auto"/>
                <w:sz w:val="24"/>
                <w:highlight w:val="none"/>
              </w:rPr>
              <w:t>（1）</w:t>
            </w:r>
            <w:r>
              <w:rPr>
                <w:rFonts w:ascii="Times New Roman" w:hAnsi="Times New Roman" w:cs="Times New Roman"/>
                <w:b/>
                <w:bCs/>
                <w:color w:val="auto"/>
                <w:sz w:val="24"/>
                <w:highlight w:val="none"/>
              </w:rPr>
              <w:t>工业噪声</w:t>
            </w:r>
          </w:p>
          <w:p>
            <w:pPr>
              <w:snapToGrid w:val="0"/>
              <w:spacing w:line="360" w:lineRule="auto"/>
              <w:ind w:firstLine="500"/>
              <w:rPr>
                <w:rFonts w:ascii="Times New Roman" w:hAnsi="Times New Roman" w:cs="Times New Roman"/>
                <w:color w:val="auto"/>
                <w:sz w:val="24"/>
                <w:highlight w:val="none"/>
              </w:rPr>
            </w:pPr>
            <w:r>
              <w:rPr>
                <w:rFonts w:ascii="Times New Roman" w:hAnsi="Times New Roman" w:cs="Times New Roman"/>
                <w:color w:val="auto"/>
                <w:sz w:val="24"/>
                <w:highlight w:val="none"/>
              </w:rPr>
              <w:t>根据《声环境质量标准》（GB3096-2008），本项目所在区域属声环境3类功能区，项目营运期边界噪声执行《工业企业厂界环境噪声排放标准》(GB12348-2008)3 类标准。</w:t>
            </w:r>
          </w:p>
          <w:p>
            <w:pPr>
              <w:snapToGrid w:val="0"/>
              <w:spacing w:line="360" w:lineRule="auto"/>
              <w:ind w:firstLine="500"/>
              <w:rPr>
                <w:rFonts w:ascii="Times New Roman" w:hAnsi="Times New Roman" w:cs="Times New Roman"/>
                <w:color w:val="auto"/>
                <w:sz w:val="24"/>
                <w:highlight w:val="none"/>
              </w:rPr>
            </w:pPr>
            <w:r>
              <w:rPr>
                <w:rFonts w:ascii="Times New Roman" w:hAnsi="Times New Roman" w:cs="Times New Roman"/>
                <w:color w:val="auto"/>
                <w:sz w:val="24"/>
                <w:highlight w:val="none"/>
              </w:rPr>
              <w:t>本项目运营期噪声源主要产生于生产设备、冷却塔、空压机，运行的噪声值为70～90dB(A)，建设单位拟采取以下降噪和噪声管理措施：</w:t>
            </w:r>
          </w:p>
          <w:p>
            <w:pPr>
              <w:snapToGrid w:val="0"/>
              <w:spacing w:line="360" w:lineRule="auto"/>
              <w:ind w:firstLine="500"/>
              <w:rPr>
                <w:rFonts w:ascii="Times New Roman" w:hAnsi="Times New Roman" w:cs="Times New Roman"/>
                <w:color w:val="auto"/>
                <w:sz w:val="24"/>
                <w:highlight w:val="none"/>
              </w:rPr>
            </w:pPr>
            <w:r>
              <w:rPr>
                <w:rFonts w:ascii="Times New Roman" w:hAnsi="Times New Roman" w:cs="Times New Roman"/>
                <w:color w:val="auto"/>
                <w:sz w:val="24"/>
                <w:highlight w:val="none"/>
              </w:rPr>
              <w:t>（1）对生产设备的运动部件连接处添加润滑油，安装固定机架并拧紧螺丝，预防机械过于松弛；对部分高噪声设备设置减震装置；</w:t>
            </w:r>
          </w:p>
          <w:p>
            <w:pPr>
              <w:snapToGrid w:val="0"/>
              <w:spacing w:line="360" w:lineRule="auto"/>
              <w:ind w:firstLine="500"/>
              <w:rPr>
                <w:rFonts w:ascii="Times New Roman" w:hAnsi="Times New Roman" w:cs="Times New Roman"/>
                <w:color w:val="auto"/>
                <w:sz w:val="24"/>
                <w:highlight w:val="none"/>
              </w:rPr>
            </w:pPr>
            <w:r>
              <w:rPr>
                <w:rFonts w:ascii="Times New Roman" w:hAnsi="Times New Roman" w:cs="Times New Roman"/>
                <w:color w:val="auto"/>
                <w:sz w:val="24"/>
                <w:highlight w:val="none"/>
              </w:rPr>
              <w:t>（2）对噪声传播进行有效治理，将高噪声设备设置在厂房中间或独立的隔间，项目生产设备放置于生产车间，噪声均可得到一定程度的阻隔；</w:t>
            </w:r>
          </w:p>
          <w:p>
            <w:pPr>
              <w:snapToGrid w:val="0"/>
              <w:spacing w:line="360" w:lineRule="auto"/>
              <w:ind w:firstLine="500"/>
              <w:rPr>
                <w:rFonts w:ascii="Times New Roman" w:hAnsi="Times New Roman" w:cs="Times New Roman"/>
                <w:color w:val="auto"/>
                <w:sz w:val="24"/>
                <w:highlight w:val="none"/>
              </w:rPr>
            </w:pPr>
            <w:r>
              <w:rPr>
                <w:rFonts w:ascii="Times New Roman" w:hAnsi="Times New Roman" w:cs="Times New Roman"/>
                <w:color w:val="auto"/>
                <w:sz w:val="24"/>
                <w:highlight w:val="none"/>
              </w:rPr>
              <w:t>（3）避免在午休时间和夜间进行生产，在生产期间关闭部分门窗。</w:t>
            </w:r>
          </w:p>
          <w:p>
            <w:pPr>
              <w:snapToGrid w:val="0"/>
              <w:spacing w:line="360" w:lineRule="auto"/>
              <w:ind w:firstLine="500"/>
              <w:rPr>
                <w:rFonts w:ascii="Times New Roman" w:hAnsi="Times New Roman" w:cs="Times New Roman"/>
                <w:color w:val="auto"/>
                <w:sz w:val="24"/>
                <w:highlight w:val="none"/>
              </w:rPr>
            </w:pPr>
            <w:r>
              <w:rPr>
                <w:rFonts w:ascii="Times New Roman" w:hAnsi="Times New Roman" w:cs="Times New Roman"/>
                <w:color w:val="auto"/>
                <w:sz w:val="24"/>
                <w:highlight w:val="none"/>
              </w:rPr>
              <w:t>综上所述，项目生产设备、冷却塔、空压机经车间砖混结构墙体阻隔、基础减震等降噪措施后，项目边界噪声可满足《工业企业厂界环境噪声排放标准》（GB12348-2008）中3类标准（昼间噪声值≤65 dB(A)，夜间噪声值≤55 dB(A)），对周围声环境影响不大。</w:t>
            </w:r>
          </w:p>
          <w:p>
            <w:pPr>
              <w:spacing w:line="360" w:lineRule="auto"/>
              <w:ind w:firstLine="482" w:firstLineChars="200"/>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4、固体废物影响分析</w:t>
            </w:r>
          </w:p>
          <w:p>
            <w:pPr>
              <w:snapToGrid w:val="0"/>
              <w:spacing w:line="360" w:lineRule="auto"/>
              <w:ind w:firstLine="482" w:firstLineChars="200"/>
              <w:rPr>
                <w:rFonts w:ascii="Times New Roman" w:hAnsi="Times New Roman" w:cs="Times New Roman"/>
                <w:color w:val="auto"/>
                <w:sz w:val="24"/>
                <w:highlight w:val="none"/>
              </w:rPr>
            </w:pPr>
            <w:r>
              <w:rPr>
                <w:rFonts w:ascii="Times New Roman" w:hAnsi="Times New Roman" w:cs="Times New Roman"/>
                <w:b/>
                <w:bCs/>
                <w:color w:val="auto"/>
                <w:sz w:val="24"/>
                <w:highlight w:val="none"/>
              </w:rPr>
              <w:t>（1）生活垃圾</w:t>
            </w:r>
          </w:p>
          <w:p>
            <w:pPr>
              <w:snapToGrid w:val="0"/>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项目生活垃圾中纸张、塑料、玻璃瓶类包装废物多，可回收利用性强，应加强这部分固废的分类收集工作，堆放场所要定期进行清洁消毒，杀灭害虫，每日由环卫部门清理运走，不会对周边环境造成不良影响。</w:t>
            </w:r>
          </w:p>
          <w:p>
            <w:pPr>
              <w:snapToGrid w:val="0"/>
              <w:spacing w:line="360" w:lineRule="auto"/>
              <w:ind w:firstLine="482" w:firstLineChars="200"/>
              <w:rPr>
                <w:rFonts w:ascii="Times New Roman" w:hAnsi="Times New Roman" w:cs="Times New Roman"/>
                <w:b/>
                <w:bCs/>
                <w:color w:val="auto"/>
                <w:sz w:val="24"/>
                <w:highlight w:val="none"/>
              </w:rPr>
            </w:pPr>
            <w:r>
              <w:rPr>
                <w:rFonts w:ascii="Times New Roman" w:hAnsi="Times New Roman" w:cs="Times New Roman"/>
                <w:b/>
                <w:bCs/>
                <w:color w:val="auto"/>
                <w:sz w:val="24"/>
                <w:highlight w:val="none"/>
              </w:rPr>
              <w:t>（2）一般生产固废</w:t>
            </w:r>
          </w:p>
          <w:p>
            <w:pPr>
              <w:tabs>
                <w:tab w:val="left" w:pos="677"/>
              </w:tabs>
              <w:snapToGrid w:val="0"/>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项目生产过程中产生的一般固体废物主要包括废包装材料、不合格品和粉尘。</w:t>
            </w:r>
          </w:p>
          <w:p>
            <w:pPr>
              <w:tabs>
                <w:tab w:val="left" w:pos="677"/>
              </w:tabs>
              <w:adjustRightInd w:val="0"/>
              <w:snapToGrid w:val="0"/>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①废包装材料产生量约为0.1t/a，项目将其分类收集后交专业公司回收处理。</w:t>
            </w:r>
          </w:p>
          <w:p>
            <w:pPr>
              <w:tabs>
                <w:tab w:val="left" w:pos="677"/>
              </w:tabs>
              <w:adjustRightInd w:val="0"/>
              <w:snapToGrid w:val="0"/>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②不合格品产生量约20t/a，项目将其分类收集后交专业公司回收处理。</w:t>
            </w:r>
          </w:p>
          <w:p>
            <w:pPr>
              <w:pStyle w:val="3"/>
              <w:adjustRightInd w:val="0"/>
              <w:snapToGrid w:val="0"/>
              <w:spacing w:before="0" w:after="0" w:line="360" w:lineRule="auto"/>
              <w:ind w:firstLine="480" w:firstLineChars="200"/>
              <w:outlineLvl w:val="0"/>
              <w:rPr>
                <w:rFonts w:ascii="Times New Roman" w:hAnsi="Times New Roman" w:cs="Times New Roman"/>
                <w:b w:val="0"/>
                <w:color w:val="auto"/>
                <w:kern w:val="2"/>
                <w:sz w:val="24"/>
                <w:highlight w:val="none"/>
              </w:rPr>
            </w:pPr>
            <w:r>
              <w:rPr>
                <w:rFonts w:ascii="Times New Roman" w:hAnsi="Times New Roman" w:cs="Times New Roman"/>
                <w:b w:val="0"/>
                <w:color w:val="auto"/>
                <w:kern w:val="2"/>
                <w:sz w:val="24"/>
                <w:highlight w:val="none"/>
              </w:rPr>
              <w:t>一般固体废物处置符合《一般工业固体废物贮存、处置场污染控制标准（2013年修改）》（GB18599-2001）。工业固废合理处置，无明显环境质量影响。</w:t>
            </w:r>
          </w:p>
          <w:p>
            <w:pPr>
              <w:pStyle w:val="24"/>
              <w:spacing w:line="360" w:lineRule="auto"/>
              <w:ind w:firstLine="482" w:firstLineChars="200"/>
              <w:jc w:val="both"/>
              <w:rPr>
                <w:rFonts w:ascii="Times New Roman" w:hAnsi="Times New Roman" w:cs="Times New Roman"/>
                <w:b/>
                <w:bCs/>
                <w:color w:val="auto"/>
                <w:kern w:val="2"/>
                <w:highlight w:val="none"/>
              </w:rPr>
            </w:pPr>
            <w:r>
              <w:rPr>
                <w:rFonts w:ascii="Times New Roman" w:hAnsi="Times New Roman" w:cs="Times New Roman"/>
                <w:b/>
                <w:bCs/>
                <w:color w:val="auto"/>
                <w:kern w:val="2"/>
                <w:highlight w:val="none"/>
              </w:rPr>
              <w:t>（3）危险废物</w:t>
            </w:r>
          </w:p>
          <w:p>
            <w:pPr>
              <w:pStyle w:val="24"/>
              <w:spacing w:line="360" w:lineRule="auto"/>
              <w:ind w:firstLine="480" w:firstLineChars="200"/>
              <w:jc w:val="both"/>
              <w:rPr>
                <w:rFonts w:ascii="Times New Roman" w:hAnsi="Times New Roman" w:cs="Times New Roman"/>
                <w:color w:val="auto"/>
                <w:kern w:val="2"/>
                <w:highlight w:val="none"/>
              </w:rPr>
            </w:pPr>
            <w:r>
              <w:rPr>
                <w:rFonts w:ascii="Times New Roman" w:hAnsi="Times New Roman" w:cs="Times New Roman"/>
                <w:color w:val="auto"/>
                <w:kern w:val="2"/>
                <w:highlight w:val="none"/>
              </w:rPr>
              <w:t>危险废物主要为废润滑油、含油废抹布、废UV光管</w:t>
            </w:r>
            <w:r>
              <w:rPr>
                <w:rFonts w:hint="eastAsia" w:ascii="Times New Roman" w:hAnsi="Times New Roman" w:cs="Times New Roman"/>
                <w:color w:val="auto"/>
                <w:kern w:val="2"/>
                <w:highlight w:val="none"/>
              </w:rPr>
              <w:t>、废活性炭</w:t>
            </w:r>
            <w:r>
              <w:rPr>
                <w:rFonts w:ascii="Times New Roman" w:hAnsi="Times New Roman" w:cs="Times New Roman"/>
                <w:color w:val="auto"/>
                <w:kern w:val="2"/>
                <w:highlight w:val="none"/>
              </w:rPr>
              <w:t>。</w:t>
            </w:r>
          </w:p>
          <w:p>
            <w:pPr>
              <w:tabs>
                <w:tab w:val="left" w:pos="480"/>
              </w:tabs>
              <w:spacing w:line="360" w:lineRule="auto"/>
              <w:ind w:firstLine="482" w:firstLineChars="200"/>
              <w:rPr>
                <w:rFonts w:ascii="Times New Roman" w:hAnsi="Times New Roman" w:cs="Times New Roman"/>
                <w:b/>
                <w:bCs/>
                <w:color w:val="auto"/>
                <w:sz w:val="24"/>
                <w:highlight w:val="none"/>
              </w:rPr>
            </w:pPr>
            <w:r>
              <w:rPr>
                <w:rFonts w:ascii="Times New Roman" w:hAnsi="Times New Roman" w:cs="Times New Roman"/>
                <w:b/>
                <w:bCs/>
                <w:color w:val="auto"/>
                <w:sz w:val="24"/>
                <w:highlight w:val="none"/>
              </w:rPr>
              <w:t>①废润滑油</w:t>
            </w:r>
          </w:p>
          <w:p>
            <w:pPr>
              <w:tabs>
                <w:tab w:val="left" w:pos="480"/>
              </w:tabs>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本项目废润滑油属危险废物，危废类别为HW09，危废代码为900-006-09，年产生量0.001t/a，收集后应交由有危险废物处理资质的单位回收处理。</w:t>
            </w:r>
          </w:p>
          <w:p>
            <w:pPr>
              <w:tabs>
                <w:tab w:val="left" w:pos="480"/>
              </w:tabs>
              <w:spacing w:line="360" w:lineRule="auto"/>
              <w:ind w:firstLine="482" w:firstLineChars="200"/>
              <w:rPr>
                <w:rFonts w:ascii="Times New Roman" w:hAnsi="Times New Roman" w:cs="Times New Roman"/>
                <w:b/>
                <w:bCs/>
                <w:color w:val="auto"/>
                <w:sz w:val="24"/>
                <w:highlight w:val="none"/>
              </w:rPr>
            </w:pPr>
            <w:r>
              <w:rPr>
                <w:rFonts w:ascii="Times New Roman" w:hAnsi="Times New Roman" w:cs="Times New Roman"/>
                <w:b/>
                <w:bCs/>
                <w:color w:val="auto"/>
                <w:sz w:val="24"/>
                <w:highlight w:val="none"/>
              </w:rPr>
              <w:t>②含油废抹布</w:t>
            </w:r>
          </w:p>
          <w:p>
            <w:pPr>
              <w:tabs>
                <w:tab w:val="left" w:pos="480"/>
              </w:tabs>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含油废抹布产生量约为0.1t/a，危废类别为HW12，危废代码为900-252-12，收集后应交由有危险废物处理资质的单位回收处理。</w:t>
            </w:r>
          </w:p>
          <w:p>
            <w:pPr>
              <w:pStyle w:val="16"/>
              <w:overflowPunct w:val="0"/>
              <w:autoSpaceDE w:val="0"/>
              <w:autoSpaceDN w:val="0"/>
              <w:adjustRightInd w:val="0"/>
              <w:snapToGrid w:val="0"/>
              <w:spacing w:after="0" w:line="360" w:lineRule="auto"/>
              <w:ind w:left="0" w:leftChars="0" w:firstLine="482" w:firstLineChars="200"/>
              <w:rPr>
                <w:rFonts w:ascii="Times New Roman" w:hAnsi="Times New Roman" w:cs="Times New Roman"/>
                <w:b/>
                <w:bCs/>
                <w:color w:val="auto"/>
                <w:sz w:val="24"/>
                <w:szCs w:val="24"/>
                <w:highlight w:val="none"/>
              </w:rPr>
            </w:pPr>
            <w:r>
              <w:rPr>
                <w:rFonts w:ascii="Times New Roman" w:hAnsi="Times New Roman" w:cs="Times New Roman"/>
                <w:b/>
                <w:bCs/>
                <w:color w:val="auto"/>
                <w:sz w:val="24"/>
                <w:szCs w:val="24"/>
                <w:highlight w:val="none"/>
              </w:rPr>
              <w:t>③废UV光管</w:t>
            </w:r>
          </w:p>
          <w:p>
            <w:pPr>
              <w:pStyle w:val="8"/>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废 UV 灯管的主要成分为玻璃和汞，属于《国家危险废物名录》中编号为 HW29 的危险废物（含汞废物），“900-023-29 生产、销售及使用过程中产生的废含汞荧光灯管及其他废含汞电光源 ”，废 UV 灯管的产生量为0.01t/a，收集后应交由有危险废物处理资质的单位回收处理。</w:t>
            </w:r>
          </w:p>
          <w:p>
            <w:pPr>
              <w:pStyle w:val="8"/>
              <w:spacing w:line="360" w:lineRule="auto"/>
              <w:ind w:firstLine="482" w:firstLineChars="200"/>
              <w:rPr>
                <w:rFonts w:ascii="Times New Roman" w:hAnsi="Times New Roman" w:cs="Times New Roman"/>
                <w:b/>
                <w:bCs/>
                <w:color w:val="auto"/>
                <w:sz w:val="24"/>
                <w:highlight w:val="none"/>
              </w:rPr>
            </w:pPr>
            <w:r>
              <w:rPr>
                <w:rFonts w:hint="eastAsia" w:ascii="Times New Roman" w:hAnsi="Times New Roman" w:cs="Times New Roman"/>
                <w:b/>
                <w:bCs/>
                <w:color w:val="auto"/>
                <w:sz w:val="24"/>
                <w:highlight w:val="none"/>
              </w:rPr>
              <w:t>④废活性炭</w:t>
            </w:r>
          </w:p>
          <w:p>
            <w:pPr>
              <w:tabs>
                <w:tab w:val="left" w:pos="480"/>
              </w:tabs>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本项目废</w:t>
            </w:r>
            <w:r>
              <w:rPr>
                <w:rFonts w:hint="eastAsia" w:ascii="Times New Roman" w:hAnsi="Times New Roman" w:cs="Times New Roman"/>
                <w:color w:val="auto"/>
                <w:sz w:val="24"/>
                <w:highlight w:val="none"/>
              </w:rPr>
              <w:t>活性炭</w:t>
            </w:r>
            <w:r>
              <w:rPr>
                <w:rFonts w:ascii="Times New Roman" w:hAnsi="Times New Roman" w:cs="Times New Roman"/>
                <w:color w:val="auto"/>
                <w:sz w:val="24"/>
                <w:highlight w:val="none"/>
              </w:rPr>
              <w:t>属危险废物，危废类别为HW49，危废代码为900-041-49，年产生量2.14t/a，收集后应交由有危险废物处理资质的单位回收处理。</w:t>
            </w:r>
          </w:p>
          <w:p>
            <w:pPr>
              <w:pStyle w:val="42"/>
              <w:spacing w:line="360" w:lineRule="auto"/>
              <w:ind w:firstLine="480" w:firstLineChars="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本次评价建议建设单位危险废物暂存场所、危险废物的贮存应按照《危险废物贮存污染控制标准》（GB18579-2001及2013年修改单）的要求建设，采取防风、防雨、防晒措施，根据工程特点，必须满足以下</w:t>
            </w:r>
            <w:r>
              <w:rPr>
                <w:rFonts w:ascii="Times New Roman" w:hAnsi="Times New Roman" w:eastAsia="宋体" w:cs="Times New Roman"/>
                <w:bCs/>
                <w:color w:val="auto"/>
                <w:sz w:val="24"/>
                <w:highlight w:val="none"/>
              </w:rPr>
              <w:t>要求：</w:t>
            </w:r>
          </w:p>
          <w:p>
            <w:pPr>
              <w:pStyle w:val="42"/>
              <w:spacing w:line="360" w:lineRule="auto"/>
              <w:ind w:firstLine="480" w:firstLineChars="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①临时堆放场地面硬化，设顶棚和围墙，达到不扬散、不流失、不渗漏的要求；防止雨水径流进入贮存、处置场内，贮存、处置场地周边设置导流渠；按《环境保护图形标志——固体废物贮存（处置）场》（GB15562.2－1995）设置环境保护图形标志。</w:t>
            </w:r>
          </w:p>
          <w:p>
            <w:pPr>
              <w:pStyle w:val="42"/>
              <w:spacing w:line="360" w:lineRule="auto"/>
              <w:ind w:firstLine="480" w:firstLineChars="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②应当使用符合标准的容器盛装危险废物，其材质强度应满足贮存要求，同时，选用的材质须不能与危险废物产生化学反应；在常温、常压下易爆、易燃及排出有毒气体的危险废物必须进行预处理，使之稳定后贮存，否则，按易爆、易燃危险品贮存。</w:t>
            </w:r>
          </w:p>
          <w:p>
            <w:pPr>
              <w:pStyle w:val="42"/>
              <w:spacing w:line="360" w:lineRule="auto"/>
              <w:ind w:firstLine="480" w:firstLineChars="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③建立档案制度，详细记录入场的固体废物的种类和数量等信息，长期保存，供随时查阅；危险废物贮存前应进行检验，确保同预定接收的危险废物一致，并注册登记，作好记录，记录上须注明危险废物的名称、来源、数量、特性和包装容器的类别、入库日期、存放库位、废物出库日期及接受单位名称。同时作好危险废物的出入库管理记录和标识，必须定期对贮存危险废物的包装容器及贮存设施进行检查，发现破损，应及时采取措施清理更换；危险废物贮存设施内清理出来的泄漏物，一律按危险废物处理；落实固废处置方案，签订协议，尽可能及时外运，避免长期堆存。</w:t>
            </w:r>
          </w:p>
          <w:p>
            <w:pPr>
              <w:pStyle w:val="42"/>
              <w:numPr>
                <w:ilvl w:val="0"/>
                <w:numId w:val="6"/>
              </w:numPr>
              <w:spacing w:line="360" w:lineRule="auto"/>
              <w:ind w:firstLine="560" w:firstLineChars="0"/>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危废贮存场所的要求</w:t>
            </w:r>
          </w:p>
          <w:p>
            <w:pPr>
              <w:pStyle w:val="42"/>
              <w:spacing w:line="360" w:lineRule="auto"/>
              <w:ind w:firstLine="48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项目运营期间产生的废润滑油、含油废抹布等危险废物在贮存过程中不会产生浸出液，因此无需设置浸出液收集系统。贮存危险废物的容器上必须粘贴标签，标签内容应包括废物类别、行业来源、废物代码、危险废物和危险特性。为降低危废渗漏的影响，建设单位拟在危废暂存点设置防水、防腐特殊保护层，危险废物在厂区内收集后，暂存于防风、防雨、防晒、防渗的危废暂存场所。</w:t>
            </w:r>
          </w:p>
          <w:p>
            <w:pPr>
              <w:pStyle w:val="42"/>
              <w:spacing w:line="360" w:lineRule="auto"/>
              <w:ind w:firstLine="48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危险废物在堆放时若管理不当容易发生扩散和泄露，进而对环境造成污染，甚至损害人们的健康。因此，根据《危险废物贮存污染控制标准》（GB18958-2001）及2013年修改清单的相关要求，本评价建议项目落实以下措施：</w:t>
            </w:r>
          </w:p>
          <w:p>
            <w:pPr>
              <w:pStyle w:val="42"/>
              <w:spacing w:line="360" w:lineRule="auto"/>
              <w:ind w:firstLine="48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①危险废物集中贮存场所的选址位于项目车间内，贮存设施底部高于地下水最高水位。</w:t>
            </w:r>
          </w:p>
          <w:p>
            <w:pPr>
              <w:pStyle w:val="42"/>
              <w:spacing w:line="360" w:lineRule="auto"/>
              <w:ind w:firstLine="48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②危险废物贮存设施要用坚固、防渗的材料建造，建筑材料必须与危险废物相容。</w:t>
            </w:r>
          </w:p>
          <w:p>
            <w:pPr>
              <w:pStyle w:val="42"/>
              <w:spacing w:line="360" w:lineRule="auto"/>
              <w:ind w:firstLine="48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③堆放地点基础必须防渗，防渗层为至少1 m厚黏土层（渗透系数≤10-7cm/s），或2mm厚高密度聚乙烯，或至少2 mm厚的其他人工材料（渗透系数≤10-10cm/s）。</w:t>
            </w:r>
          </w:p>
          <w:p>
            <w:pPr>
              <w:pStyle w:val="42"/>
              <w:spacing w:line="360" w:lineRule="auto"/>
              <w:ind w:firstLine="48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④危险废物堆放要防风、防雨、防晒。</w:t>
            </w:r>
          </w:p>
          <w:p>
            <w:pPr>
              <w:pStyle w:val="42"/>
              <w:numPr>
                <w:ilvl w:val="0"/>
                <w:numId w:val="6"/>
              </w:numPr>
              <w:spacing w:line="360" w:lineRule="auto"/>
              <w:ind w:firstLine="560" w:firstLineChars="0"/>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危险废物的运输</w:t>
            </w:r>
          </w:p>
          <w:p>
            <w:pPr>
              <w:pStyle w:val="42"/>
              <w:spacing w:line="360" w:lineRule="auto"/>
              <w:ind w:firstLine="48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按照《危险废物收集贮存运输技术规范》（HJ2025），本项目危险废物的运输由持有危险废物经营许可证的单位按照其许可证的经营范围组织，并由获得交通运输部门颁发的危险货物运输资质的单位承担运输。</w:t>
            </w:r>
          </w:p>
          <w:p>
            <w:pPr>
              <w:pStyle w:val="42"/>
              <w:spacing w:line="360" w:lineRule="auto"/>
              <w:ind w:firstLine="48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危险废物运输时的中转、装卸过程应遵守规范技术要求：</w:t>
            </w:r>
          </w:p>
          <w:p>
            <w:pPr>
              <w:pStyle w:val="42"/>
              <w:spacing w:line="360" w:lineRule="auto"/>
              <w:ind w:firstLine="48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①装卸区的工作人员应熟悉废物的危险特性，并配备适当的个人防护装备；</w:t>
            </w:r>
          </w:p>
          <w:p>
            <w:pPr>
              <w:pStyle w:val="42"/>
              <w:spacing w:line="360" w:lineRule="auto"/>
              <w:ind w:firstLine="48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②装卸区应配备必要的消防设备和设施，并设置明显的指示标志；</w:t>
            </w:r>
          </w:p>
          <w:p>
            <w:pPr>
              <w:pStyle w:val="42"/>
              <w:spacing w:line="360" w:lineRule="auto"/>
              <w:ind w:firstLine="48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③危险废物装卸区应设置隔离设施。</w:t>
            </w:r>
          </w:p>
          <w:p>
            <w:pPr>
              <w:pStyle w:val="42"/>
              <w:spacing w:line="360" w:lineRule="auto"/>
              <w:ind w:firstLine="48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本项目产生的危险废物严格按照危险废物运输的管理规定进行运输，减少运输过程中的二次污染和可能造成的环境风险，因此采取的污染防治措施的可行。经上述措施处理后，建设项目产生的固体废弃物不会对周围环境造成不良影响。</w:t>
            </w:r>
          </w:p>
          <w:p>
            <w:pPr>
              <w:pStyle w:val="42"/>
              <w:numPr>
                <w:ilvl w:val="0"/>
                <w:numId w:val="6"/>
              </w:numPr>
              <w:spacing w:line="360" w:lineRule="auto"/>
              <w:ind w:firstLine="560" w:firstLineChars="0"/>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危险废物的管理要求</w:t>
            </w:r>
          </w:p>
          <w:p>
            <w:pPr>
              <w:pStyle w:val="42"/>
              <w:spacing w:line="360" w:lineRule="auto"/>
              <w:ind w:firstLine="48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根据《广东省危险废物产生单位危险废物规范化管理工作实施方案》，企业须根据管理台账和近年生产计划，制订危险废物管理计划，并报当地环保部门备案。台帐应如实记载产生危险废物的种类、数量、利用、贮存、处置、流向等信息，以此作为向当地环保部门申报危险废物管理计划的编制依据。产生的危险废物实行分类收集后置于贮存设施内，贮存时限一般不得超过一年，并设专人管理。盛装危险废物的容器和包装物以及产生、收集、贮存、运输、处置危险废物的场所，必须依法设置相应标识、警示标志和标签，标签上应注明贮存的废物类别、危害性以及开始贮存时间等内容。企业必须严格执行危险废物转移计划报批和依法运行危险废物转移联单，并通过信息系统登记转移计划和电子转移联单。企业还需健全产生单位内部管理制度，包括落实危险废物产生信息公开制度，建立员工培训和固体废物管理员制度，完善危险废物相关档案管理制度；建立和完善突发危险废物环境应急预案，并报当地环保部门备案。</w:t>
            </w:r>
          </w:p>
          <w:p>
            <w:pPr>
              <w:pStyle w:val="42"/>
              <w:spacing w:line="360" w:lineRule="auto"/>
              <w:ind w:firstLine="48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经上述措施处理后，建设项目产生的固体废弃物不会对周围环境造成不良影响。</w:t>
            </w:r>
          </w:p>
          <w:p>
            <w:pPr>
              <w:topLinePunct/>
              <w:spacing w:line="360" w:lineRule="auto"/>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表</w:t>
            </w:r>
            <w:r>
              <w:rPr>
                <w:rFonts w:hint="eastAsia" w:ascii="Times New Roman" w:hAnsi="Times New Roman" w:eastAsia="宋体" w:cs="Times New Roman"/>
                <w:b/>
                <w:color w:val="auto"/>
                <w:szCs w:val="21"/>
                <w:highlight w:val="none"/>
              </w:rPr>
              <w:t>7-1</w:t>
            </w:r>
            <w:r>
              <w:rPr>
                <w:rFonts w:ascii="Times New Roman" w:hAnsi="Times New Roman" w:eastAsia="宋体" w:cs="Times New Roman"/>
                <w:b/>
                <w:color w:val="auto"/>
                <w:szCs w:val="21"/>
                <w:highlight w:val="none"/>
              </w:rPr>
              <w:t>3 建设项目危险废物贮存场所（设施）基本情况表</w:t>
            </w:r>
          </w:p>
          <w:tbl>
            <w:tblPr>
              <w:tblStyle w:val="22"/>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8"/>
              <w:gridCol w:w="1058"/>
              <w:gridCol w:w="904"/>
              <w:gridCol w:w="833"/>
              <w:gridCol w:w="1251"/>
              <w:gridCol w:w="631"/>
              <w:gridCol w:w="705"/>
              <w:gridCol w:w="861"/>
              <w:gridCol w:w="794"/>
              <w:gridCol w:w="7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46" w:hRule="atLeast"/>
                <w:jc w:val="center"/>
              </w:trPr>
              <w:tc>
                <w:tcPr>
                  <w:tcW w:w="488" w:type="dxa"/>
                  <w:tcBorders>
                    <w:tl2br w:val="nil"/>
                    <w:tr2bl w:val="nil"/>
                  </w:tcBorders>
                  <w:vAlign w:val="center"/>
                </w:tcPr>
                <w:p>
                  <w:pPr>
                    <w:overflowPunct w:val="0"/>
                    <w:topLinePunct/>
                    <w:autoSpaceDE w:val="0"/>
                    <w:autoSpaceDN w:val="0"/>
                    <w:jc w:val="center"/>
                    <w:rPr>
                      <w:rFonts w:ascii="Times New Roman" w:hAnsi="Times New Roman" w:eastAsia="宋体" w:cs="Times New Roman"/>
                      <w:b/>
                      <w:color w:val="auto"/>
                      <w:kern w:val="0"/>
                      <w:szCs w:val="21"/>
                      <w:highlight w:val="none"/>
                    </w:rPr>
                  </w:pPr>
                  <w:r>
                    <w:rPr>
                      <w:rFonts w:ascii="Times New Roman" w:hAnsi="Times New Roman" w:eastAsia="宋体" w:cs="Times New Roman"/>
                      <w:b/>
                      <w:color w:val="auto"/>
                      <w:kern w:val="0"/>
                      <w:szCs w:val="21"/>
                      <w:highlight w:val="none"/>
                    </w:rPr>
                    <w:t>序号</w:t>
                  </w:r>
                </w:p>
              </w:tc>
              <w:tc>
                <w:tcPr>
                  <w:tcW w:w="1058" w:type="dxa"/>
                  <w:tcBorders>
                    <w:tl2br w:val="nil"/>
                    <w:tr2bl w:val="nil"/>
                  </w:tcBorders>
                  <w:vAlign w:val="center"/>
                </w:tcPr>
                <w:p>
                  <w:pPr>
                    <w:overflowPunct w:val="0"/>
                    <w:topLinePunct/>
                    <w:autoSpaceDE w:val="0"/>
                    <w:autoSpaceDN w:val="0"/>
                    <w:jc w:val="center"/>
                    <w:rPr>
                      <w:rFonts w:ascii="Times New Roman" w:hAnsi="Times New Roman" w:eastAsia="宋体" w:cs="Times New Roman"/>
                      <w:b/>
                      <w:color w:val="auto"/>
                      <w:kern w:val="0"/>
                      <w:szCs w:val="21"/>
                      <w:highlight w:val="none"/>
                    </w:rPr>
                  </w:pPr>
                  <w:r>
                    <w:rPr>
                      <w:rFonts w:ascii="Times New Roman" w:hAnsi="Times New Roman" w:eastAsia="宋体" w:cs="Times New Roman"/>
                      <w:b/>
                      <w:color w:val="auto"/>
                      <w:kern w:val="0"/>
                      <w:szCs w:val="21"/>
                      <w:highlight w:val="none"/>
                    </w:rPr>
                    <w:t>贮存场所（设施）名称</w:t>
                  </w:r>
                </w:p>
              </w:tc>
              <w:tc>
                <w:tcPr>
                  <w:tcW w:w="904" w:type="dxa"/>
                  <w:tcBorders>
                    <w:tl2br w:val="nil"/>
                    <w:tr2bl w:val="nil"/>
                  </w:tcBorders>
                  <w:vAlign w:val="center"/>
                </w:tcPr>
                <w:p>
                  <w:pPr>
                    <w:overflowPunct w:val="0"/>
                    <w:topLinePunct/>
                    <w:autoSpaceDE w:val="0"/>
                    <w:autoSpaceDN w:val="0"/>
                    <w:jc w:val="center"/>
                    <w:rPr>
                      <w:rFonts w:ascii="Times New Roman" w:hAnsi="Times New Roman" w:eastAsia="宋体" w:cs="Times New Roman"/>
                      <w:b/>
                      <w:color w:val="auto"/>
                      <w:kern w:val="0"/>
                      <w:szCs w:val="21"/>
                      <w:highlight w:val="none"/>
                    </w:rPr>
                  </w:pPr>
                  <w:r>
                    <w:rPr>
                      <w:rFonts w:ascii="Times New Roman" w:hAnsi="Times New Roman" w:eastAsia="宋体" w:cs="Times New Roman"/>
                      <w:b/>
                      <w:color w:val="auto"/>
                      <w:kern w:val="0"/>
                      <w:szCs w:val="21"/>
                      <w:highlight w:val="none"/>
                    </w:rPr>
                    <w:t>危险废物名称</w:t>
                  </w:r>
                </w:p>
              </w:tc>
              <w:tc>
                <w:tcPr>
                  <w:tcW w:w="833" w:type="dxa"/>
                  <w:tcBorders>
                    <w:tl2br w:val="nil"/>
                    <w:tr2bl w:val="nil"/>
                  </w:tcBorders>
                  <w:vAlign w:val="center"/>
                </w:tcPr>
                <w:p>
                  <w:pPr>
                    <w:overflowPunct w:val="0"/>
                    <w:topLinePunct/>
                    <w:autoSpaceDE w:val="0"/>
                    <w:autoSpaceDN w:val="0"/>
                    <w:jc w:val="center"/>
                    <w:rPr>
                      <w:rFonts w:ascii="Times New Roman" w:hAnsi="Times New Roman" w:eastAsia="宋体" w:cs="Times New Roman"/>
                      <w:b/>
                      <w:color w:val="auto"/>
                      <w:kern w:val="0"/>
                      <w:szCs w:val="21"/>
                      <w:highlight w:val="none"/>
                    </w:rPr>
                  </w:pPr>
                  <w:r>
                    <w:rPr>
                      <w:rFonts w:ascii="Times New Roman" w:hAnsi="Times New Roman" w:eastAsia="宋体" w:cs="Times New Roman"/>
                      <w:b/>
                      <w:color w:val="auto"/>
                      <w:kern w:val="0"/>
                      <w:szCs w:val="21"/>
                      <w:highlight w:val="none"/>
                    </w:rPr>
                    <w:t>危险废物类别</w:t>
                  </w:r>
                </w:p>
              </w:tc>
              <w:tc>
                <w:tcPr>
                  <w:tcW w:w="1251" w:type="dxa"/>
                  <w:tcBorders>
                    <w:tl2br w:val="nil"/>
                    <w:tr2bl w:val="nil"/>
                  </w:tcBorders>
                  <w:vAlign w:val="center"/>
                </w:tcPr>
                <w:p>
                  <w:pPr>
                    <w:overflowPunct w:val="0"/>
                    <w:topLinePunct/>
                    <w:autoSpaceDE w:val="0"/>
                    <w:autoSpaceDN w:val="0"/>
                    <w:jc w:val="center"/>
                    <w:rPr>
                      <w:rFonts w:ascii="Times New Roman" w:hAnsi="Times New Roman" w:eastAsia="宋体" w:cs="Times New Roman"/>
                      <w:b/>
                      <w:color w:val="auto"/>
                      <w:kern w:val="0"/>
                      <w:szCs w:val="21"/>
                      <w:highlight w:val="none"/>
                    </w:rPr>
                  </w:pPr>
                  <w:r>
                    <w:rPr>
                      <w:rFonts w:ascii="Times New Roman" w:hAnsi="Times New Roman" w:eastAsia="宋体" w:cs="Times New Roman"/>
                      <w:b/>
                      <w:color w:val="auto"/>
                      <w:kern w:val="0"/>
                      <w:szCs w:val="21"/>
                      <w:highlight w:val="none"/>
                    </w:rPr>
                    <w:t>危险废</w:t>
                  </w:r>
                </w:p>
                <w:p>
                  <w:pPr>
                    <w:overflowPunct w:val="0"/>
                    <w:topLinePunct/>
                    <w:autoSpaceDE w:val="0"/>
                    <w:autoSpaceDN w:val="0"/>
                    <w:jc w:val="center"/>
                    <w:rPr>
                      <w:rFonts w:ascii="Times New Roman" w:hAnsi="Times New Roman" w:eastAsia="宋体" w:cs="Times New Roman"/>
                      <w:b/>
                      <w:color w:val="auto"/>
                      <w:kern w:val="0"/>
                      <w:szCs w:val="21"/>
                      <w:highlight w:val="none"/>
                    </w:rPr>
                  </w:pPr>
                  <w:r>
                    <w:rPr>
                      <w:rFonts w:ascii="Times New Roman" w:hAnsi="Times New Roman" w:eastAsia="宋体" w:cs="Times New Roman"/>
                      <w:b/>
                      <w:color w:val="auto"/>
                      <w:kern w:val="0"/>
                      <w:szCs w:val="21"/>
                      <w:highlight w:val="none"/>
                    </w:rPr>
                    <w:t>物代码</w:t>
                  </w:r>
                </w:p>
              </w:tc>
              <w:tc>
                <w:tcPr>
                  <w:tcW w:w="631" w:type="dxa"/>
                  <w:tcBorders>
                    <w:tl2br w:val="nil"/>
                    <w:tr2bl w:val="nil"/>
                  </w:tcBorders>
                  <w:vAlign w:val="center"/>
                </w:tcPr>
                <w:p>
                  <w:pPr>
                    <w:overflowPunct w:val="0"/>
                    <w:topLinePunct/>
                    <w:autoSpaceDE w:val="0"/>
                    <w:autoSpaceDN w:val="0"/>
                    <w:jc w:val="center"/>
                    <w:rPr>
                      <w:rFonts w:ascii="Times New Roman" w:hAnsi="Times New Roman" w:eastAsia="宋体" w:cs="Times New Roman"/>
                      <w:b/>
                      <w:color w:val="auto"/>
                      <w:kern w:val="0"/>
                      <w:szCs w:val="21"/>
                      <w:highlight w:val="none"/>
                    </w:rPr>
                  </w:pPr>
                  <w:r>
                    <w:rPr>
                      <w:rFonts w:ascii="Times New Roman" w:hAnsi="Times New Roman" w:eastAsia="宋体" w:cs="Times New Roman"/>
                      <w:b/>
                      <w:color w:val="auto"/>
                      <w:kern w:val="0"/>
                      <w:szCs w:val="21"/>
                      <w:highlight w:val="none"/>
                    </w:rPr>
                    <w:t>位置</w:t>
                  </w:r>
                </w:p>
              </w:tc>
              <w:tc>
                <w:tcPr>
                  <w:tcW w:w="705" w:type="dxa"/>
                  <w:tcBorders>
                    <w:tl2br w:val="nil"/>
                    <w:tr2bl w:val="nil"/>
                  </w:tcBorders>
                  <w:vAlign w:val="center"/>
                </w:tcPr>
                <w:p>
                  <w:pPr>
                    <w:overflowPunct w:val="0"/>
                    <w:topLinePunct/>
                    <w:autoSpaceDE w:val="0"/>
                    <w:autoSpaceDN w:val="0"/>
                    <w:jc w:val="center"/>
                    <w:rPr>
                      <w:rFonts w:ascii="Times New Roman" w:hAnsi="Times New Roman" w:eastAsia="宋体" w:cs="Times New Roman"/>
                      <w:b/>
                      <w:color w:val="auto"/>
                      <w:kern w:val="0"/>
                      <w:szCs w:val="21"/>
                      <w:highlight w:val="none"/>
                    </w:rPr>
                  </w:pPr>
                  <w:r>
                    <w:rPr>
                      <w:rFonts w:ascii="Times New Roman" w:hAnsi="Times New Roman" w:eastAsia="宋体" w:cs="Times New Roman"/>
                      <w:b/>
                      <w:color w:val="auto"/>
                      <w:kern w:val="0"/>
                      <w:szCs w:val="21"/>
                      <w:highlight w:val="none"/>
                    </w:rPr>
                    <w:t>占地面积</w:t>
                  </w:r>
                </w:p>
              </w:tc>
              <w:tc>
                <w:tcPr>
                  <w:tcW w:w="861" w:type="dxa"/>
                  <w:tcBorders>
                    <w:tl2br w:val="nil"/>
                    <w:tr2bl w:val="nil"/>
                  </w:tcBorders>
                  <w:vAlign w:val="center"/>
                </w:tcPr>
                <w:p>
                  <w:pPr>
                    <w:overflowPunct w:val="0"/>
                    <w:topLinePunct/>
                    <w:autoSpaceDE w:val="0"/>
                    <w:autoSpaceDN w:val="0"/>
                    <w:jc w:val="center"/>
                    <w:rPr>
                      <w:rFonts w:ascii="Times New Roman" w:hAnsi="Times New Roman" w:eastAsia="宋体" w:cs="Times New Roman"/>
                      <w:b/>
                      <w:color w:val="auto"/>
                      <w:kern w:val="0"/>
                      <w:szCs w:val="21"/>
                      <w:highlight w:val="none"/>
                    </w:rPr>
                  </w:pPr>
                  <w:r>
                    <w:rPr>
                      <w:rFonts w:ascii="Times New Roman" w:hAnsi="Times New Roman" w:eastAsia="宋体" w:cs="Times New Roman"/>
                      <w:b/>
                      <w:color w:val="auto"/>
                      <w:kern w:val="0"/>
                      <w:szCs w:val="21"/>
                      <w:highlight w:val="none"/>
                    </w:rPr>
                    <w:t>贮存</w:t>
                  </w:r>
                </w:p>
                <w:p>
                  <w:pPr>
                    <w:overflowPunct w:val="0"/>
                    <w:topLinePunct/>
                    <w:autoSpaceDE w:val="0"/>
                    <w:autoSpaceDN w:val="0"/>
                    <w:jc w:val="center"/>
                    <w:rPr>
                      <w:rFonts w:ascii="Times New Roman" w:hAnsi="Times New Roman" w:eastAsia="宋体" w:cs="Times New Roman"/>
                      <w:b/>
                      <w:color w:val="auto"/>
                      <w:kern w:val="0"/>
                      <w:szCs w:val="21"/>
                      <w:highlight w:val="none"/>
                    </w:rPr>
                  </w:pPr>
                  <w:r>
                    <w:rPr>
                      <w:rFonts w:ascii="Times New Roman" w:hAnsi="Times New Roman" w:eastAsia="宋体" w:cs="Times New Roman"/>
                      <w:b/>
                      <w:color w:val="auto"/>
                      <w:kern w:val="0"/>
                      <w:szCs w:val="21"/>
                      <w:highlight w:val="none"/>
                    </w:rPr>
                    <w:t>方式</w:t>
                  </w:r>
                </w:p>
              </w:tc>
              <w:tc>
                <w:tcPr>
                  <w:tcW w:w="794" w:type="dxa"/>
                  <w:tcBorders>
                    <w:tl2br w:val="nil"/>
                    <w:tr2bl w:val="nil"/>
                  </w:tcBorders>
                  <w:vAlign w:val="center"/>
                </w:tcPr>
                <w:p>
                  <w:pPr>
                    <w:overflowPunct w:val="0"/>
                    <w:topLinePunct/>
                    <w:autoSpaceDE w:val="0"/>
                    <w:autoSpaceDN w:val="0"/>
                    <w:jc w:val="center"/>
                    <w:rPr>
                      <w:rFonts w:ascii="Times New Roman" w:hAnsi="Times New Roman" w:eastAsia="宋体" w:cs="Times New Roman"/>
                      <w:b/>
                      <w:color w:val="auto"/>
                      <w:kern w:val="0"/>
                      <w:szCs w:val="21"/>
                      <w:highlight w:val="none"/>
                    </w:rPr>
                  </w:pPr>
                  <w:r>
                    <w:rPr>
                      <w:rFonts w:ascii="Times New Roman" w:hAnsi="Times New Roman" w:eastAsia="宋体" w:cs="Times New Roman"/>
                      <w:b/>
                      <w:color w:val="auto"/>
                      <w:kern w:val="0"/>
                      <w:szCs w:val="21"/>
                      <w:highlight w:val="none"/>
                    </w:rPr>
                    <w:t>贮存</w:t>
                  </w:r>
                </w:p>
                <w:p>
                  <w:pPr>
                    <w:overflowPunct w:val="0"/>
                    <w:topLinePunct/>
                    <w:autoSpaceDE w:val="0"/>
                    <w:autoSpaceDN w:val="0"/>
                    <w:jc w:val="center"/>
                    <w:rPr>
                      <w:rFonts w:ascii="Times New Roman" w:hAnsi="Times New Roman" w:eastAsia="宋体" w:cs="Times New Roman"/>
                      <w:b/>
                      <w:color w:val="auto"/>
                      <w:kern w:val="0"/>
                      <w:szCs w:val="21"/>
                      <w:highlight w:val="none"/>
                    </w:rPr>
                  </w:pPr>
                  <w:r>
                    <w:rPr>
                      <w:rFonts w:ascii="Times New Roman" w:hAnsi="Times New Roman" w:eastAsia="宋体" w:cs="Times New Roman"/>
                      <w:b/>
                      <w:color w:val="auto"/>
                      <w:kern w:val="0"/>
                      <w:szCs w:val="21"/>
                      <w:highlight w:val="none"/>
                    </w:rPr>
                    <w:t>能力</w:t>
                  </w:r>
                </w:p>
              </w:tc>
              <w:tc>
                <w:tcPr>
                  <w:tcW w:w="751" w:type="dxa"/>
                  <w:tcBorders>
                    <w:tl2br w:val="nil"/>
                    <w:tr2bl w:val="nil"/>
                  </w:tcBorders>
                  <w:vAlign w:val="center"/>
                </w:tcPr>
                <w:p>
                  <w:pPr>
                    <w:overflowPunct w:val="0"/>
                    <w:topLinePunct/>
                    <w:autoSpaceDE w:val="0"/>
                    <w:autoSpaceDN w:val="0"/>
                    <w:jc w:val="center"/>
                    <w:rPr>
                      <w:rFonts w:ascii="Times New Roman" w:hAnsi="Times New Roman" w:eastAsia="宋体" w:cs="Times New Roman"/>
                      <w:b/>
                      <w:color w:val="auto"/>
                      <w:kern w:val="0"/>
                      <w:szCs w:val="21"/>
                      <w:highlight w:val="none"/>
                    </w:rPr>
                  </w:pPr>
                  <w:r>
                    <w:rPr>
                      <w:rFonts w:ascii="Times New Roman" w:hAnsi="Times New Roman" w:eastAsia="宋体" w:cs="Times New Roman"/>
                      <w:b/>
                      <w:color w:val="auto"/>
                      <w:kern w:val="0"/>
                      <w:szCs w:val="21"/>
                      <w:highlight w:val="none"/>
                    </w:rPr>
                    <w:t>贮存</w:t>
                  </w:r>
                </w:p>
                <w:p>
                  <w:pPr>
                    <w:overflowPunct w:val="0"/>
                    <w:topLinePunct/>
                    <w:autoSpaceDE w:val="0"/>
                    <w:autoSpaceDN w:val="0"/>
                    <w:jc w:val="center"/>
                    <w:rPr>
                      <w:rFonts w:ascii="Times New Roman" w:hAnsi="Times New Roman" w:eastAsia="宋体" w:cs="Times New Roman"/>
                      <w:b/>
                      <w:color w:val="auto"/>
                      <w:kern w:val="0"/>
                      <w:szCs w:val="21"/>
                      <w:highlight w:val="none"/>
                    </w:rPr>
                  </w:pPr>
                  <w:r>
                    <w:rPr>
                      <w:rFonts w:ascii="Times New Roman" w:hAnsi="Times New Roman" w:eastAsia="宋体" w:cs="Times New Roman"/>
                      <w:b/>
                      <w:color w:val="auto"/>
                      <w:kern w:val="0"/>
                      <w:szCs w:val="21"/>
                      <w:highlight w:val="none"/>
                    </w:rPr>
                    <w:t>周期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27" w:hRule="atLeast"/>
                <w:jc w:val="center"/>
              </w:trPr>
              <w:tc>
                <w:tcPr>
                  <w:tcW w:w="488" w:type="dxa"/>
                  <w:tcBorders>
                    <w:tl2br w:val="nil"/>
                    <w:tr2bl w:val="nil"/>
                  </w:tcBorders>
                  <w:vAlign w:val="center"/>
                </w:tcPr>
                <w:p>
                  <w:pPr>
                    <w:overflowPunct w:val="0"/>
                    <w:topLinePunct/>
                    <w:autoSpaceDE w:val="0"/>
                    <w:autoSpaceDN w:val="0"/>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w:t>
                  </w:r>
                </w:p>
              </w:tc>
              <w:tc>
                <w:tcPr>
                  <w:tcW w:w="1058" w:type="dxa"/>
                  <w:tcBorders>
                    <w:tl2br w:val="nil"/>
                    <w:tr2bl w:val="nil"/>
                  </w:tcBorders>
                  <w:vAlign w:val="center"/>
                </w:tcPr>
                <w:p>
                  <w:pPr>
                    <w:overflowPunct w:val="0"/>
                    <w:topLinePunct/>
                    <w:autoSpaceDE w:val="0"/>
                    <w:autoSpaceDN w:val="0"/>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危险废物暂存点</w:t>
                  </w:r>
                </w:p>
              </w:tc>
              <w:tc>
                <w:tcPr>
                  <w:tcW w:w="904" w:type="dxa"/>
                  <w:tcBorders>
                    <w:tl2br w:val="nil"/>
                    <w:tr2bl w:val="nil"/>
                  </w:tcBorders>
                  <w:vAlign w:val="center"/>
                </w:tcPr>
                <w:p>
                  <w:pPr>
                    <w:overflowPunct w:val="0"/>
                    <w:topLinePunct/>
                    <w:autoSpaceDE w:val="0"/>
                    <w:autoSpaceDN w:val="0"/>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废润滑油</w:t>
                  </w:r>
                </w:p>
              </w:tc>
              <w:tc>
                <w:tcPr>
                  <w:tcW w:w="833" w:type="dxa"/>
                  <w:tcBorders>
                    <w:tl2br w:val="nil"/>
                    <w:tr2bl w:val="nil"/>
                  </w:tcBorders>
                  <w:vAlign w:val="center"/>
                </w:tcPr>
                <w:p>
                  <w:pPr>
                    <w:overflowPunct w:val="0"/>
                    <w:topLinePunct/>
                    <w:autoSpaceDE w:val="0"/>
                    <w:autoSpaceDN w:val="0"/>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HW09</w:t>
                  </w:r>
                </w:p>
              </w:tc>
              <w:tc>
                <w:tcPr>
                  <w:tcW w:w="1251" w:type="dxa"/>
                  <w:tcBorders>
                    <w:tl2br w:val="nil"/>
                    <w:tr2bl w:val="nil"/>
                  </w:tcBorders>
                  <w:vAlign w:val="center"/>
                </w:tcPr>
                <w:p>
                  <w:pPr>
                    <w:overflowPunct w:val="0"/>
                    <w:topLinePunct/>
                    <w:autoSpaceDE w:val="0"/>
                    <w:autoSpaceDN w:val="0"/>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900-006-09</w:t>
                  </w:r>
                </w:p>
              </w:tc>
              <w:tc>
                <w:tcPr>
                  <w:tcW w:w="631" w:type="dxa"/>
                  <w:tcBorders>
                    <w:tl2br w:val="nil"/>
                    <w:tr2bl w:val="nil"/>
                  </w:tcBorders>
                  <w:vAlign w:val="center"/>
                </w:tcPr>
                <w:p>
                  <w:pPr>
                    <w:overflowPunct w:val="0"/>
                    <w:topLinePunct/>
                    <w:autoSpaceDE w:val="0"/>
                    <w:autoSpaceDN w:val="0"/>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厂区东北侧</w:t>
                  </w:r>
                </w:p>
              </w:tc>
              <w:tc>
                <w:tcPr>
                  <w:tcW w:w="705" w:type="dxa"/>
                  <w:tcBorders>
                    <w:tl2br w:val="nil"/>
                    <w:tr2bl w:val="nil"/>
                  </w:tcBorders>
                  <w:vAlign w:val="center"/>
                </w:tcPr>
                <w:p>
                  <w:pPr>
                    <w:overflowPunct w:val="0"/>
                    <w:topLinePunct/>
                    <w:autoSpaceDE w:val="0"/>
                    <w:autoSpaceDN w:val="0"/>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1m</w:t>
                  </w:r>
                  <w:r>
                    <w:rPr>
                      <w:rFonts w:ascii="Times New Roman" w:hAnsi="Times New Roman" w:eastAsia="宋体" w:cs="Times New Roman"/>
                      <w:color w:val="auto"/>
                      <w:kern w:val="0"/>
                      <w:szCs w:val="21"/>
                      <w:highlight w:val="none"/>
                      <w:vertAlign w:val="superscript"/>
                    </w:rPr>
                    <w:t>3</w:t>
                  </w:r>
                </w:p>
              </w:tc>
              <w:tc>
                <w:tcPr>
                  <w:tcW w:w="861" w:type="dxa"/>
                  <w:tcBorders>
                    <w:tl2br w:val="nil"/>
                    <w:tr2bl w:val="nil"/>
                  </w:tcBorders>
                  <w:vAlign w:val="center"/>
                </w:tcPr>
                <w:p>
                  <w:pPr>
                    <w:overflowPunct w:val="0"/>
                    <w:topLinePunct/>
                    <w:autoSpaceDE w:val="0"/>
                    <w:autoSpaceDN w:val="0"/>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胶桶密封贮存</w:t>
                  </w:r>
                </w:p>
              </w:tc>
              <w:tc>
                <w:tcPr>
                  <w:tcW w:w="794" w:type="dxa"/>
                  <w:tcBorders>
                    <w:tl2br w:val="nil"/>
                    <w:tr2bl w:val="nil"/>
                  </w:tcBorders>
                  <w:vAlign w:val="center"/>
                </w:tcPr>
                <w:p>
                  <w:pPr>
                    <w:overflowPunct w:val="0"/>
                    <w:topLinePunct/>
                    <w:autoSpaceDE w:val="0"/>
                    <w:autoSpaceDN w:val="0"/>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0.001t</w:t>
                  </w:r>
                </w:p>
              </w:tc>
              <w:tc>
                <w:tcPr>
                  <w:tcW w:w="751" w:type="dxa"/>
                  <w:tcBorders>
                    <w:tl2br w:val="nil"/>
                    <w:tr2bl w:val="nil"/>
                  </w:tcBorders>
                  <w:vAlign w:val="center"/>
                </w:tcPr>
                <w:p>
                  <w:pPr>
                    <w:overflowPunct w:val="0"/>
                    <w:topLinePunct/>
                    <w:autoSpaceDE w:val="0"/>
                    <w:autoSpaceDN w:val="0"/>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27" w:hRule="atLeast"/>
                <w:jc w:val="center"/>
              </w:trPr>
              <w:tc>
                <w:tcPr>
                  <w:tcW w:w="488" w:type="dxa"/>
                  <w:tcBorders>
                    <w:tl2br w:val="nil"/>
                    <w:tr2bl w:val="nil"/>
                  </w:tcBorders>
                  <w:vAlign w:val="center"/>
                </w:tcPr>
                <w:p>
                  <w:pPr>
                    <w:overflowPunct w:val="0"/>
                    <w:topLinePunct/>
                    <w:autoSpaceDE w:val="0"/>
                    <w:autoSpaceDN w:val="0"/>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2</w:t>
                  </w:r>
                </w:p>
              </w:tc>
              <w:tc>
                <w:tcPr>
                  <w:tcW w:w="1058" w:type="dxa"/>
                  <w:tcBorders>
                    <w:tl2br w:val="nil"/>
                    <w:tr2bl w:val="nil"/>
                  </w:tcBorders>
                  <w:vAlign w:val="center"/>
                </w:tcPr>
                <w:p>
                  <w:pPr>
                    <w:overflowPunct w:val="0"/>
                    <w:topLinePunct/>
                    <w:autoSpaceDE w:val="0"/>
                    <w:autoSpaceDN w:val="0"/>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危险废物暂存点</w:t>
                  </w:r>
                </w:p>
              </w:tc>
              <w:tc>
                <w:tcPr>
                  <w:tcW w:w="904" w:type="dxa"/>
                  <w:tcBorders>
                    <w:tl2br w:val="nil"/>
                    <w:tr2bl w:val="nil"/>
                  </w:tcBorders>
                  <w:vAlign w:val="center"/>
                </w:tcPr>
                <w:p>
                  <w:pPr>
                    <w:overflowPunct w:val="0"/>
                    <w:topLinePunct/>
                    <w:autoSpaceDE w:val="0"/>
                    <w:autoSpaceDN w:val="0"/>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含油废抹布</w:t>
                  </w:r>
                </w:p>
                <w:p>
                  <w:pPr>
                    <w:overflowPunct w:val="0"/>
                    <w:topLinePunct/>
                    <w:autoSpaceDE w:val="0"/>
                    <w:autoSpaceDN w:val="0"/>
                    <w:jc w:val="center"/>
                    <w:rPr>
                      <w:rFonts w:ascii="Times New Roman" w:hAnsi="Times New Roman" w:eastAsia="宋体" w:cs="Times New Roman"/>
                      <w:color w:val="auto"/>
                      <w:szCs w:val="21"/>
                      <w:highlight w:val="none"/>
                    </w:rPr>
                  </w:pPr>
                </w:p>
              </w:tc>
              <w:tc>
                <w:tcPr>
                  <w:tcW w:w="833" w:type="dxa"/>
                  <w:tcBorders>
                    <w:tl2br w:val="nil"/>
                    <w:tr2bl w:val="nil"/>
                  </w:tcBorders>
                  <w:vAlign w:val="center"/>
                </w:tcPr>
                <w:p>
                  <w:pPr>
                    <w:overflowPunct w:val="0"/>
                    <w:topLinePunct/>
                    <w:autoSpaceDE w:val="0"/>
                    <w:autoSpaceDN w:val="0"/>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HW12</w:t>
                  </w:r>
                </w:p>
              </w:tc>
              <w:tc>
                <w:tcPr>
                  <w:tcW w:w="1251" w:type="dxa"/>
                  <w:tcBorders>
                    <w:tl2br w:val="nil"/>
                    <w:tr2bl w:val="nil"/>
                  </w:tcBorders>
                  <w:vAlign w:val="center"/>
                </w:tcPr>
                <w:p>
                  <w:pPr>
                    <w:overflowPunct w:val="0"/>
                    <w:topLinePunct/>
                    <w:autoSpaceDE w:val="0"/>
                    <w:autoSpaceDN w:val="0"/>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900-252-12</w:t>
                  </w:r>
                </w:p>
              </w:tc>
              <w:tc>
                <w:tcPr>
                  <w:tcW w:w="631" w:type="dxa"/>
                  <w:tcBorders>
                    <w:tl2br w:val="nil"/>
                    <w:tr2bl w:val="nil"/>
                  </w:tcBorders>
                  <w:vAlign w:val="center"/>
                </w:tcPr>
                <w:p>
                  <w:pPr>
                    <w:overflowPunct w:val="0"/>
                    <w:topLinePunct/>
                    <w:autoSpaceDE w:val="0"/>
                    <w:autoSpaceDN w:val="0"/>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厂区东北侧</w:t>
                  </w:r>
                </w:p>
              </w:tc>
              <w:tc>
                <w:tcPr>
                  <w:tcW w:w="705" w:type="dxa"/>
                  <w:tcBorders>
                    <w:tl2br w:val="nil"/>
                    <w:tr2bl w:val="nil"/>
                  </w:tcBorders>
                  <w:vAlign w:val="center"/>
                </w:tcPr>
                <w:p>
                  <w:pPr>
                    <w:overflowPunct w:val="0"/>
                    <w:topLinePunct/>
                    <w:autoSpaceDE w:val="0"/>
                    <w:autoSpaceDN w:val="0"/>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2m</w:t>
                  </w:r>
                  <w:r>
                    <w:rPr>
                      <w:rFonts w:ascii="Times New Roman" w:hAnsi="Times New Roman" w:eastAsia="宋体" w:cs="Times New Roman"/>
                      <w:color w:val="auto"/>
                      <w:kern w:val="0"/>
                      <w:szCs w:val="21"/>
                      <w:highlight w:val="none"/>
                      <w:vertAlign w:val="superscript"/>
                    </w:rPr>
                    <w:t>3</w:t>
                  </w:r>
                </w:p>
              </w:tc>
              <w:tc>
                <w:tcPr>
                  <w:tcW w:w="861" w:type="dxa"/>
                  <w:tcBorders>
                    <w:tl2br w:val="nil"/>
                    <w:tr2bl w:val="nil"/>
                  </w:tcBorders>
                  <w:vAlign w:val="center"/>
                </w:tcPr>
                <w:p>
                  <w:pPr>
                    <w:overflowPunct w:val="0"/>
                    <w:topLinePunct/>
                    <w:autoSpaceDE w:val="0"/>
                    <w:autoSpaceDN w:val="0"/>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胶桶密封贮存</w:t>
                  </w:r>
                </w:p>
              </w:tc>
              <w:tc>
                <w:tcPr>
                  <w:tcW w:w="794" w:type="dxa"/>
                  <w:tcBorders>
                    <w:tl2br w:val="nil"/>
                    <w:tr2bl w:val="nil"/>
                  </w:tcBorders>
                  <w:vAlign w:val="center"/>
                </w:tcPr>
                <w:p>
                  <w:pPr>
                    <w:overflowPunct w:val="0"/>
                    <w:topLinePunct/>
                    <w:autoSpaceDE w:val="0"/>
                    <w:autoSpaceDN w:val="0"/>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0.1t</w:t>
                  </w:r>
                </w:p>
              </w:tc>
              <w:tc>
                <w:tcPr>
                  <w:tcW w:w="751" w:type="dxa"/>
                  <w:tcBorders>
                    <w:tl2br w:val="nil"/>
                    <w:tr2bl w:val="nil"/>
                  </w:tcBorders>
                  <w:vAlign w:val="center"/>
                </w:tcPr>
                <w:p>
                  <w:pPr>
                    <w:overflowPunct w:val="0"/>
                    <w:topLinePunct/>
                    <w:autoSpaceDE w:val="0"/>
                    <w:autoSpaceDN w:val="0"/>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27" w:hRule="atLeast"/>
                <w:jc w:val="center"/>
              </w:trPr>
              <w:tc>
                <w:tcPr>
                  <w:tcW w:w="488" w:type="dxa"/>
                  <w:tcBorders>
                    <w:tl2br w:val="nil"/>
                    <w:tr2bl w:val="nil"/>
                  </w:tcBorders>
                  <w:vAlign w:val="center"/>
                </w:tcPr>
                <w:p>
                  <w:pPr>
                    <w:overflowPunct w:val="0"/>
                    <w:topLinePunct/>
                    <w:autoSpaceDE w:val="0"/>
                    <w:autoSpaceDN w:val="0"/>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3</w:t>
                  </w:r>
                </w:p>
              </w:tc>
              <w:tc>
                <w:tcPr>
                  <w:tcW w:w="1058" w:type="dxa"/>
                  <w:tcBorders>
                    <w:tl2br w:val="nil"/>
                    <w:tr2bl w:val="nil"/>
                  </w:tcBorders>
                  <w:vAlign w:val="center"/>
                </w:tcPr>
                <w:p>
                  <w:pPr>
                    <w:overflowPunct w:val="0"/>
                    <w:topLinePunct/>
                    <w:autoSpaceDE w:val="0"/>
                    <w:autoSpaceDN w:val="0"/>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危险废物暂存点</w:t>
                  </w:r>
                </w:p>
              </w:tc>
              <w:tc>
                <w:tcPr>
                  <w:tcW w:w="904" w:type="dxa"/>
                  <w:tcBorders>
                    <w:tl2br w:val="nil"/>
                    <w:tr2bl w:val="nil"/>
                  </w:tcBorders>
                  <w:vAlign w:val="center"/>
                </w:tcPr>
                <w:p>
                  <w:pPr>
                    <w:overflowPunct w:val="0"/>
                    <w:topLinePunct/>
                    <w:autoSpaceDE w:val="0"/>
                    <w:autoSpaceDN w:val="0"/>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废UV光管</w:t>
                  </w:r>
                </w:p>
              </w:tc>
              <w:tc>
                <w:tcPr>
                  <w:tcW w:w="833" w:type="dxa"/>
                  <w:tcBorders>
                    <w:tl2br w:val="nil"/>
                    <w:tr2bl w:val="nil"/>
                  </w:tcBorders>
                  <w:vAlign w:val="center"/>
                </w:tcPr>
                <w:p>
                  <w:pPr>
                    <w:overflowPunct w:val="0"/>
                    <w:topLinePunct/>
                    <w:autoSpaceDE w:val="0"/>
                    <w:autoSpaceDN w:val="0"/>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HW29</w:t>
                  </w:r>
                </w:p>
              </w:tc>
              <w:tc>
                <w:tcPr>
                  <w:tcW w:w="1251" w:type="dxa"/>
                  <w:tcBorders>
                    <w:tl2br w:val="nil"/>
                    <w:tr2bl w:val="nil"/>
                  </w:tcBorders>
                  <w:vAlign w:val="center"/>
                </w:tcPr>
                <w:p>
                  <w:pPr>
                    <w:overflowPunct w:val="0"/>
                    <w:topLinePunct/>
                    <w:autoSpaceDE w:val="0"/>
                    <w:autoSpaceDN w:val="0"/>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900-023-29</w:t>
                  </w:r>
                </w:p>
              </w:tc>
              <w:tc>
                <w:tcPr>
                  <w:tcW w:w="631" w:type="dxa"/>
                  <w:tcBorders>
                    <w:tl2br w:val="nil"/>
                    <w:tr2bl w:val="nil"/>
                  </w:tcBorders>
                  <w:vAlign w:val="center"/>
                </w:tcPr>
                <w:p>
                  <w:pPr>
                    <w:overflowPunct w:val="0"/>
                    <w:topLinePunct/>
                    <w:autoSpaceDE w:val="0"/>
                    <w:autoSpaceDN w:val="0"/>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厂区东北侧</w:t>
                  </w:r>
                </w:p>
              </w:tc>
              <w:tc>
                <w:tcPr>
                  <w:tcW w:w="705" w:type="dxa"/>
                  <w:tcBorders>
                    <w:tl2br w:val="nil"/>
                    <w:tr2bl w:val="nil"/>
                  </w:tcBorders>
                  <w:vAlign w:val="center"/>
                </w:tcPr>
                <w:p>
                  <w:pPr>
                    <w:overflowPunct w:val="0"/>
                    <w:topLinePunct/>
                    <w:autoSpaceDE w:val="0"/>
                    <w:autoSpaceDN w:val="0"/>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2m</w:t>
                  </w:r>
                  <w:r>
                    <w:rPr>
                      <w:rFonts w:ascii="Times New Roman" w:hAnsi="Times New Roman" w:eastAsia="宋体" w:cs="Times New Roman"/>
                      <w:color w:val="auto"/>
                      <w:kern w:val="0"/>
                      <w:szCs w:val="21"/>
                      <w:highlight w:val="none"/>
                      <w:vertAlign w:val="superscript"/>
                    </w:rPr>
                    <w:t>3</w:t>
                  </w:r>
                </w:p>
              </w:tc>
              <w:tc>
                <w:tcPr>
                  <w:tcW w:w="861" w:type="dxa"/>
                  <w:tcBorders>
                    <w:tl2br w:val="nil"/>
                    <w:tr2bl w:val="nil"/>
                  </w:tcBorders>
                  <w:vAlign w:val="center"/>
                </w:tcPr>
                <w:p>
                  <w:pPr>
                    <w:overflowPunct w:val="0"/>
                    <w:topLinePunct/>
                    <w:autoSpaceDE w:val="0"/>
                    <w:autoSpaceDN w:val="0"/>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胶桶密封贮存</w:t>
                  </w:r>
                </w:p>
              </w:tc>
              <w:tc>
                <w:tcPr>
                  <w:tcW w:w="794" w:type="dxa"/>
                  <w:tcBorders>
                    <w:tl2br w:val="nil"/>
                    <w:tr2bl w:val="nil"/>
                  </w:tcBorders>
                  <w:vAlign w:val="center"/>
                </w:tcPr>
                <w:p>
                  <w:pPr>
                    <w:overflowPunct w:val="0"/>
                    <w:topLinePunct/>
                    <w:autoSpaceDE w:val="0"/>
                    <w:autoSpaceDN w:val="0"/>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0.01t</w:t>
                  </w:r>
                </w:p>
              </w:tc>
              <w:tc>
                <w:tcPr>
                  <w:tcW w:w="751" w:type="dxa"/>
                  <w:tcBorders>
                    <w:tl2br w:val="nil"/>
                    <w:tr2bl w:val="nil"/>
                  </w:tcBorders>
                  <w:vAlign w:val="center"/>
                </w:tcPr>
                <w:p>
                  <w:pPr>
                    <w:overflowPunct w:val="0"/>
                    <w:topLinePunct/>
                    <w:autoSpaceDE w:val="0"/>
                    <w:autoSpaceDN w:val="0"/>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27" w:hRule="atLeast"/>
                <w:jc w:val="center"/>
              </w:trPr>
              <w:tc>
                <w:tcPr>
                  <w:tcW w:w="488" w:type="dxa"/>
                  <w:tcBorders>
                    <w:tl2br w:val="nil"/>
                    <w:tr2bl w:val="nil"/>
                  </w:tcBorders>
                  <w:vAlign w:val="center"/>
                </w:tcPr>
                <w:p>
                  <w:pPr>
                    <w:overflowPunct w:val="0"/>
                    <w:topLinePunct/>
                    <w:autoSpaceDE w:val="0"/>
                    <w:autoSpaceDN w:val="0"/>
                    <w:jc w:val="center"/>
                    <w:rPr>
                      <w:rFonts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4</w:t>
                  </w:r>
                </w:p>
              </w:tc>
              <w:tc>
                <w:tcPr>
                  <w:tcW w:w="1058" w:type="dxa"/>
                  <w:tcBorders>
                    <w:tl2br w:val="nil"/>
                    <w:tr2bl w:val="nil"/>
                  </w:tcBorders>
                  <w:vAlign w:val="center"/>
                </w:tcPr>
                <w:p>
                  <w:pPr>
                    <w:overflowPunct w:val="0"/>
                    <w:topLinePunct/>
                    <w:autoSpaceDE w:val="0"/>
                    <w:autoSpaceDN w:val="0"/>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危险废物暂存点</w:t>
                  </w:r>
                </w:p>
              </w:tc>
              <w:tc>
                <w:tcPr>
                  <w:tcW w:w="904" w:type="dxa"/>
                  <w:tcBorders>
                    <w:tl2br w:val="nil"/>
                    <w:tr2bl w:val="nil"/>
                  </w:tcBorders>
                  <w:vAlign w:val="center"/>
                </w:tcPr>
                <w:p>
                  <w:pPr>
                    <w:overflowPunct w:val="0"/>
                    <w:topLinePunct/>
                    <w:autoSpaceDE w:val="0"/>
                    <w:autoSpaceDN w:val="0"/>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废活性炭</w:t>
                  </w:r>
                </w:p>
              </w:tc>
              <w:tc>
                <w:tcPr>
                  <w:tcW w:w="833" w:type="dxa"/>
                  <w:tcBorders>
                    <w:tl2br w:val="nil"/>
                    <w:tr2bl w:val="nil"/>
                  </w:tcBorders>
                  <w:vAlign w:val="center"/>
                </w:tcPr>
                <w:p>
                  <w:pPr>
                    <w:overflowPunct w:val="0"/>
                    <w:topLinePunct/>
                    <w:autoSpaceDE w:val="0"/>
                    <w:autoSpaceDN w:val="0"/>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H</w:t>
                  </w:r>
                  <w:r>
                    <w:rPr>
                      <w:rFonts w:ascii="Times New Roman" w:hAnsi="Times New Roman" w:eastAsia="宋体" w:cs="Times New Roman"/>
                      <w:color w:val="auto"/>
                      <w:szCs w:val="21"/>
                      <w:highlight w:val="none"/>
                    </w:rPr>
                    <w:t>W49</w:t>
                  </w:r>
                </w:p>
              </w:tc>
              <w:tc>
                <w:tcPr>
                  <w:tcW w:w="1251" w:type="dxa"/>
                  <w:tcBorders>
                    <w:tl2br w:val="nil"/>
                    <w:tr2bl w:val="nil"/>
                  </w:tcBorders>
                  <w:vAlign w:val="center"/>
                </w:tcPr>
                <w:p>
                  <w:pPr>
                    <w:overflowPunct w:val="0"/>
                    <w:topLinePunct/>
                    <w:autoSpaceDE w:val="0"/>
                    <w:autoSpaceDN w:val="0"/>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9</w:t>
                  </w:r>
                  <w:r>
                    <w:rPr>
                      <w:rFonts w:ascii="Times New Roman" w:hAnsi="Times New Roman" w:eastAsia="宋体" w:cs="Times New Roman"/>
                      <w:color w:val="auto"/>
                      <w:szCs w:val="21"/>
                      <w:highlight w:val="none"/>
                    </w:rPr>
                    <w:t>00-041-49</w:t>
                  </w:r>
                </w:p>
              </w:tc>
              <w:tc>
                <w:tcPr>
                  <w:tcW w:w="631" w:type="dxa"/>
                  <w:tcBorders>
                    <w:tl2br w:val="nil"/>
                    <w:tr2bl w:val="nil"/>
                  </w:tcBorders>
                  <w:vAlign w:val="center"/>
                </w:tcPr>
                <w:p>
                  <w:pPr>
                    <w:overflowPunct w:val="0"/>
                    <w:topLinePunct/>
                    <w:autoSpaceDE w:val="0"/>
                    <w:autoSpaceDN w:val="0"/>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厂区东北侧</w:t>
                  </w:r>
                </w:p>
              </w:tc>
              <w:tc>
                <w:tcPr>
                  <w:tcW w:w="705" w:type="dxa"/>
                  <w:tcBorders>
                    <w:tl2br w:val="nil"/>
                    <w:tr2bl w:val="nil"/>
                  </w:tcBorders>
                  <w:vAlign w:val="center"/>
                </w:tcPr>
                <w:p>
                  <w:pPr>
                    <w:overflowPunct w:val="0"/>
                    <w:topLinePunct/>
                    <w:autoSpaceDE w:val="0"/>
                    <w:autoSpaceDN w:val="0"/>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2m</w:t>
                  </w:r>
                  <w:r>
                    <w:rPr>
                      <w:rFonts w:ascii="Times New Roman" w:hAnsi="Times New Roman" w:eastAsia="宋体" w:cs="Times New Roman"/>
                      <w:color w:val="auto"/>
                      <w:kern w:val="0"/>
                      <w:szCs w:val="21"/>
                      <w:highlight w:val="none"/>
                      <w:vertAlign w:val="superscript"/>
                    </w:rPr>
                    <w:t>3</w:t>
                  </w:r>
                </w:p>
              </w:tc>
              <w:tc>
                <w:tcPr>
                  <w:tcW w:w="861" w:type="dxa"/>
                  <w:tcBorders>
                    <w:tl2br w:val="nil"/>
                    <w:tr2bl w:val="nil"/>
                  </w:tcBorders>
                  <w:vAlign w:val="center"/>
                </w:tcPr>
                <w:p>
                  <w:pPr>
                    <w:overflowPunct w:val="0"/>
                    <w:topLinePunct/>
                    <w:autoSpaceDE w:val="0"/>
                    <w:autoSpaceDN w:val="0"/>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胶桶密封贮存</w:t>
                  </w:r>
                </w:p>
              </w:tc>
              <w:tc>
                <w:tcPr>
                  <w:tcW w:w="794" w:type="dxa"/>
                  <w:tcBorders>
                    <w:tl2br w:val="nil"/>
                    <w:tr2bl w:val="nil"/>
                  </w:tcBorders>
                  <w:vAlign w:val="center"/>
                </w:tcPr>
                <w:p>
                  <w:pPr>
                    <w:overflowPunct w:val="0"/>
                    <w:topLinePunct/>
                    <w:autoSpaceDE w:val="0"/>
                    <w:autoSpaceDN w:val="0"/>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2.14</w:t>
                  </w:r>
                  <w:r>
                    <w:rPr>
                      <w:rFonts w:hint="eastAsia" w:ascii="Times New Roman" w:hAnsi="Times New Roman" w:eastAsia="宋体" w:cs="Times New Roman"/>
                      <w:color w:val="auto"/>
                      <w:kern w:val="0"/>
                      <w:szCs w:val="21"/>
                      <w:highlight w:val="none"/>
                    </w:rPr>
                    <w:t>t</w:t>
                  </w:r>
                </w:p>
              </w:tc>
              <w:tc>
                <w:tcPr>
                  <w:tcW w:w="751" w:type="dxa"/>
                  <w:tcBorders>
                    <w:tl2br w:val="nil"/>
                    <w:tr2bl w:val="nil"/>
                  </w:tcBorders>
                  <w:vAlign w:val="center"/>
                </w:tcPr>
                <w:p>
                  <w:pPr>
                    <w:overflowPunct w:val="0"/>
                    <w:topLinePunct/>
                    <w:autoSpaceDE w:val="0"/>
                    <w:autoSpaceDN w:val="0"/>
                    <w:jc w:val="center"/>
                    <w:rPr>
                      <w:rFonts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1年</w:t>
                  </w:r>
                </w:p>
              </w:tc>
            </w:tr>
          </w:tbl>
          <w:p>
            <w:pPr>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经以上处理后，本项目产生的固体废物不会对厂区本身和周围环境产生不良的影响。</w:t>
            </w:r>
          </w:p>
          <w:p>
            <w:pPr>
              <w:ind w:firstLine="422" w:firstLineChars="200"/>
              <w:rPr>
                <w:rFonts w:ascii="Times New Roman" w:hAnsi="Times New Roman"/>
                <w:b/>
                <w:bCs/>
                <w:color w:val="auto"/>
                <w:highlight w:val="none"/>
              </w:rPr>
            </w:pPr>
            <w:r>
              <w:rPr>
                <w:rFonts w:ascii="Times New Roman" w:hAnsi="Times New Roman" w:cs="Times New Roman"/>
                <w:b/>
                <w:color w:val="auto"/>
                <w:highlight w:val="none"/>
              </w:rPr>
              <w:t>5</w:t>
            </w:r>
            <w:r>
              <w:rPr>
                <w:rFonts w:ascii="Times New Roman" w:cs="Times New Roman"/>
                <w:b/>
                <w:color w:val="auto"/>
                <w:highlight w:val="none"/>
              </w:rPr>
              <w:t>、</w:t>
            </w:r>
            <w:r>
              <w:rPr>
                <w:rFonts w:ascii="Times New Roman" w:hAnsi="宋体" w:cs="Times New Roman"/>
                <w:b/>
                <w:bCs/>
                <w:color w:val="auto"/>
                <w:highlight w:val="none"/>
              </w:rPr>
              <w:t>土</w:t>
            </w:r>
            <w:r>
              <w:rPr>
                <w:rFonts w:hint="eastAsia" w:ascii="宋体" w:hAnsi="宋体"/>
                <w:b/>
                <w:bCs/>
                <w:color w:val="auto"/>
                <w:highlight w:val="none"/>
              </w:rPr>
              <w:t>壤环境影响分析</w:t>
            </w:r>
          </w:p>
          <w:p>
            <w:pPr>
              <w:pStyle w:val="50"/>
              <w:ind w:firstLine="480"/>
              <w:rPr>
                <w:color w:val="auto"/>
                <w:highlight w:val="none"/>
              </w:rPr>
            </w:pPr>
            <w:r>
              <w:rPr>
                <w:rFonts w:hint="eastAsia"/>
                <w:color w:val="auto"/>
                <w:highlight w:val="none"/>
              </w:rPr>
              <w:t>（1）评价等级判定</w:t>
            </w:r>
          </w:p>
          <w:p>
            <w:pPr>
              <w:pStyle w:val="50"/>
              <w:ind w:firstLine="480"/>
              <w:rPr>
                <w:color w:val="auto"/>
                <w:highlight w:val="none"/>
              </w:rPr>
            </w:pPr>
            <w:r>
              <w:rPr>
                <w:rFonts w:hint="eastAsia"/>
                <w:color w:val="auto"/>
                <w:highlight w:val="none"/>
              </w:rPr>
              <w:t>本项目涉及的土壤环境影响主要为大气沉降，土壤环境影响类型为污染影响型，占地规模为小型（≤5hm</w:t>
            </w:r>
            <w:r>
              <w:rPr>
                <w:color w:val="auto"/>
                <w:highlight w:val="none"/>
                <w:vertAlign w:val="superscript"/>
              </w:rPr>
              <w:t>2</w:t>
            </w:r>
            <w:r>
              <w:rPr>
                <w:rFonts w:hint="eastAsia"/>
                <w:color w:val="auto"/>
                <w:highlight w:val="none"/>
              </w:rPr>
              <w:t>），敏感程度为不敏感。根据《环境影响评价技术导则  土壤环境（试行）》（HJ964-2018），污染影响型评价工作等级划分见下表7-1</w:t>
            </w:r>
            <w:r>
              <w:rPr>
                <w:color w:val="auto"/>
                <w:highlight w:val="none"/>
              </w:rPr>
              <w:t>4</w:t>
            </w:r>
            <w:r>
              <w:rPr>
                <w:rFonts w:hint="eastAsia"/>
                <w:color w:val="auto"/>
                <w:highlight w:val="none"/>
              </w:rPr>
              <w:t>。</w:t>
            </w:r>
          </w:p>
          <w:p>
            <w:pPr>
              <w:pStyle w:val="50"/>
              <w:spacing w:line="240" w:lineRule="auto"/>
              <w:ind w:firstLine="0" w:firstLineChars="0"/>
              <w:jc w:val="center"/>
              <w:rPr>
                <w:b/>
                <w:bCs/>
                <w:color w:val="auto"/>
                <w:sz w:val="21"/>
                <w:szCs w:val="21"/>
                <w:highlight w:val="none"/>
              </w:rPr>
            </w:pPr>
            <w:r>
              <w:rPr>
                <w:rFonts w:hint="eastAsia"/>
                <w:b/>
                <w:bCs/>
                <w:color w:val="auto"/>
                <w:sz w:val="21"/>
                <w:szCs w:val="21"/>
                <w:highlight w:val="none"/>
              </w:rPr>
              <w:t>表7-1</w:t>
            </w:r>
            <w:r>
              <w:rPr>
                <w:b/>
                <w:bCs/>
                <w:color w:val="auto"/>
                <w:sz w:val="21"/>
                <w:szCs w:val="21"/>
                <w:highlight w:val="none"/>
              </w:rPr>
              <w:t>4</w:t>
            </w:r>
            <w:r>
              <w:rPr>
                <w:rFonts w:hint="eastAsia"/>
                <w:b/>
                <w:bCs/>
                <w:color w:val="auto"/>
                <w:sz w:val="21"/>
                <w:szCs w:val="21"/>
                <w:highlight w:val="none"/>
              </w:rPr>
              <w:t xml:space="preserve"> 污染影响型评价工作等级划分表</w:t>
            </w:r>
          </w:p>
          <w:tbl>
            <w:tblPr>
              <w:tblStyle w:val="22"/>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546"/>
              <w:gridCol w:w="637"/>
              <w:gridCol w:w="639"/>
              <w:gridCol w:w="640"/>
              <w:gridCol w:w="640"/>
              <w:gridCol w:w="640"/>
              <w:gridCol w:w="640"/>
              <w:gridCol w:w="640"/>
              <w:gridCol w:w="640"/>
              <w:gridCol w:w="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83" w:hRule="atLeast"/>
                <w:jc w:val="center"/>
              </w:trPr>
              <w:tc>
                <w:tcPr>
                  <w:tcW w:w="254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drawing>
                      <wp:inline distT="0" distB="0" distL="0" distR="0">
                        <wp:extent cx="1514475" cy="790575"/>
                        <wp:effectExtent l="19050" t="0" r="9525" b="0"/>
                        <wp:docPr id="18" name="图片 56" descr="C:\Users\ADMINI~1\AppData\Local\Temp\ksohtml11200\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6" descr="C:\Users\ADMINI~1\AppData\Local\Temp\ksohtml11200\wps3.png"/>
                                <pic:cNvPicPr>
                                  <a:picLocks noChangeAspect="1" noChangeArrowheads="1"/>
                                </pic:cNvPicPr>
                              </pic:nvPicPr>
                              <pic:blipFill>
                                <a:blip r:embed="rId21" cstate="print"/>
                                <a:srcRect/>
                                <a:stretch>
                                  <a:fillRect/>
                                </a:stretch>
                              </pic:blipFill>
                              <pic:spPr>
                                <a:xfrm>
                                  <a:off x="0" y="0"/>
                                  <a:ext cx="1514475" cy="790575"/>
                                </a:xfrm>
                                <a:prstGeom prst="rect">
                                  <a:avLst/>
                                </a:prstGeom>
                                <a:noFill/>
                                <a:ln w="9525" cmpd="sng">
                                  <a:noFill/>
                                  <a:miter lim="800000"/>
                                  <a:headEnd/>
                                  <a:tailEnd/>
                                </a:ln>
                              </pic:spPr>
                            </pic:pic>
                          </a:graphicData>
                        </a:graphic>
                      </wp:inline>
                    </w:drawing>
                  </w:r>
                  <w:r>
                    <w:rPr>
                      <w:rFonts w:ascii="Times New Roman" w:hAnsi="Times New Roman" w:cs="Times New Roman"/>
                      <w:color w:val="auto"/>
                      <w:szCs w:val="21"/>
                      <w:highlight w:val="none"/>
                    </w:rPr>
                    <w:t xml:space="preserve">           占地规模</w:t>
                  </w:r>
                </w:p>
                <w:p>
                  <w:pPr>
                    <w:rPr>
                      <w:rFonts w:ascii="Times New Roman" w:hAnsi="Times New Roman" w:cs="Times New Roman"/>
                      <w:color w:val="auto"/>
                      <w:szCs w:val="21"/>
                      <w:highlight w:val="none"/>
                    </w:rPr>
                  </w:pPr>
                  <w:r>
                    <w:rPr>
                      <w:rFonts w:ascii="Times New Roman" w:hAnsi="Times New Roman" w:cs="Times New Roman"/>
                      <w:color w:val="auto"/>
                      <w:szCs w:val="21"/>
                      <w:highlight w:val="none"/>
                    </w:rPr>
                    <w:drawing>
                      <wp:inline distT="0" distB="0" distL="0" distR="0">
                        <wp:extent cx="1562100" cy="438150"/>
                        <wp:effectExtent l="19050" t="0" r="0" b="0"/>
                        <wp:docPr id="17" name="图片 55" descr="C:\Users\ADMINI~1\AppData\Local\Temp\ksohtml11200\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5" descr="C:\Users\ADMINI~1\AppData\Local\Temp\ksohtml11200\wps4.png"/>
                                <pic:cNvPicPr>
                                  <a:picLocks noChangeAspect="1" noChangeArrowheads="1"/>
                                </pic:cNvPicPr>
                              </pic:nvPicPr>
                              <pic:blipFill>
                                <a:blip r:embed="rId22" cstate="print"/>
                                <a:srcRect/>
                                <a:stretch>
                                  <a:fillRect/>
                                </a:stretch>
                              </pic:blipFill>
                              <pic:spPr>
                                <a:xfrm>
                                  <a:off x="0" y="0"/>
                                  <a:ext cx="1562100" cy="438150"/>
                                </a:xfrm>
                                <a:prstGeom prst="rect">
                                  <a:avLst/>
                                </a:prstGeom>
                                <a:noFill/>
                                <a:ln w="9525" cmpd="sng">
                                  <a:noFill/>
                                  <a:miter lim="800000"/>
                                  <a:headEnd/>
                                  <a:tailEnd/>
                                </a:ln>
                              </pic:spPr>
                            </pic:pic>
                          </a:graphicData>
                        </a:graphic>
                      </wp:inline>
                    </w:drawing>
                  </w:r>
                  <w:r>
                    <w:rPr>
                      <w:rFonts w:ascii="Times New Roman" w:hAnsi="Times New Roman" w:cs="Times New Roman"/>
                      <w:color w:val="auto"/>
                      <w:szCs w:val="21"/>
                      <w:highlight w:val="none"/>
                    </w:rPr>
                    <w:t>评价工作等级</w:t>
                  </w:r>
                </w:p>
                <w:p>
                  <w:pPr>
                    <w:rPr>
                      <w:rFonts w:ascii="Times New Roman" w:hAnsi="Times New Roman" w:cs="Times New Roman"/>
                      <w:color w:val="auto"/>
                      <w:szCs w:val="21"/>
                      <w:highlight w:val="none"/>
                    </w:rPr>
                  </w:pPr>
                  <w:r>
                    <w:rPr>
                      <w:rFonts w:ascii="Times New Roman" w:hAnsi="Times New Roman" w:cs="Times New Roman"/>
                      <w:color w:val="auto"/>
                      <w:szCs w:val="21"/>
                      <w:highlight w:val="none"/>
                    </w:rPr>
                    <w:t>敏感程度</w:t>
                  </w:r>
                </w:p>
              </w:tc>
              <w:tc>
                <w:tcPr>
                  <w:tcW w:w="1916" w:type="dxa"/>
                  <w:gridSpan w:val="3"/>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color w:val="auto"/>
                      <w:szCs w:val="21"/>
                      <w:highlight w:val="none"/>
                    </w:rPr>
                  </w:pPr>
                  <w:r>
                    <w:rPr>
                      <w:rFonts w:hint="eastAsia" w:ascii="宋体" w:hAnsi="宋体" w:eastAsia="宋体" w:cs="宋体"/>
                      <w:color w:val="auto"/>
                      <w:szCs w:val="21"/>
                      <w:highlight w:val="none"/>
                    </w:rPr>
                    <w:t>Ⅰ</w:t>
                  </w:r>
                  <w:r>
                    <w:rPr>
                      <w:rFonts w:ascii="Times New Roman" w:hAnsi="Times New Roman" w:cs="Times New Roman"/>
                      <w:color w:val="auto"/>
                      <w:szCs w:val="21"/>
                      <w:highlight w:val="none"/>
                    </w:rPr>
                    <w:t>类</w:t>
                  </w:r>
                </w:p>
              </w:tc>
              <w:tc>
                <w:tcPr>
                  <w:tcW w:w="1920" w:type="dxa"/>
                  <w:gridSpan w:val="3"/>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color w:val="auto"/>
                      <w:szCs w:val="21"/>
                      <w:highlight w:val="none"/>
                    </w:rPr>
                  </w:pPr>
                  <w:r>
                    <w:rPr>
                      <w:rFonts w:hint="eastAsia" w:ascii="宋体" w:hAnsi="宋体" w:eastAsia="宋体" w:cs="宋体"/>
                      <w:color w:val="auto"/>
                      <w:szCs w:val="21"/>
                      <w:highlight w:val="none"/>
                    </w:rPr>
                    <w:t>Ⅱ</w:t>
                  </w:r>
                  <w:r>
                    <w:rPr>
                      <w:rFonts w:ascii="Times New Roman" w:hAnsi="Times New Roman" w:cs="Times New Roman"/>
                      <w:color w:val="auto"/>
                      <w:szCs w:val="21"/>
                      <w:highlight w:val="none"/>
                    </w:rPr>
                    <w:t>类</w:t>
                  </w:r>
                </w:p>
              </w:tc>
              <w:tc>
                <w:tcPr>
                  <w:tcW w:w="1914" w:type="dxa"/>
                  <w:gridSpan w:val="3"/>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color w:val="auto"/>
                      <w:szCs w:val="21"/>
                      <w:highlight w:val="none"/>
                    </w:rPr>
                  </w:pPr>
                  <w:r>
                    <w:rPr>
                      <w:rFonts w:hint="eastAsia" w:ascii="宋体" w:hAnsi="宋体" w:eastAsia="宋体" w:cs="宋体"/>
                      <w:color w:val="auto"/>
                      <w:szCs w:val="21"/>
                      <w:highlight w:val="none"/>
                    </w:rPr>
                    <w:t>Ⅲ</w:t>
                  </w:r>
                  <w:r>
                    <w:rPr>
                      <w:rFonts w:ascii="Times New Roman" w:hAnsi="Times New Roman" w:cs="Times New Roman"/>
                      <w:color w:val="auto"/>
                      <w:szCs w:val="21"/>
                      <w:highlight w:val="none"/>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399" w:hRule="atLeast"/>
                <w:jc w:val="center"/>
              </w:trPr>
              <w:tc>
                <w:tcPr>
                  <w:tcW w:w="2546"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color w:val="auto"/>
                      <w:szCs w:val="21"/>
                      <w:highlight w:val="none"/>
                    </w:rPr>
                  </w:pPr>
                </w:p>
              </w:tc>
              <w:tc>
                <w:tcPr>
                  <w:tcW w:w="637"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大</w:t>
                  </w:r>
                </w:p>
              </w:tc>
              <w:tc>
                <w:tcPr>
                  <w:tcW w:w="639"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中</w:t>
                  </w:r>
                </w:p>
              </w:tc>
              <w:tc>
                <w:tcPr>
                  <w:tcW w:w="640"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小</w:t>
                  </w:r>
                </w:p>
              </w:tc>
              <w:tc>
                <w:tcPr>
                  <w:tcW w:w="640"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大</w:t>
                  </w:r>
                </w:p>
              </w:tc>
              <w:tc>
                <w:tcPr>
                  <w:tcW w:w="640"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中</w:t>
                  </w:r>
                </w:p>
              </w:tc>
              <w:tc>
                <w:tcPr>
                  <w:tcW w:w="640"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小</w:t>
                  </w:r>
                </w:p>
              </w:tc>
              <w:tc>
                <w:tcPr>
                  <w:tcW w:w="640"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大</w:t>
                  </w:r>
                </w:p>
              </w:tc>
              <w:tc>
                <w:tcPr>
                  <w:tcW w:w="640"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中</w:t>
                  </w:r>
                </w:p>
              </w:tc>
              <w:tc>
                <w:tcPr>
                  <w:tcW w:w="634"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254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敏感</w:t>
                  </w:r>
                </w:p>
              </w:tc>
              <w:tc>
                <w:tcPr>
                  <w:tcW w:w="637"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一级</w:t>
                  </w:r>
                </w:p>
              </w:tc>
              <w:tc>
                <w:tcPr>
                  <w:tcW w:w="639"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一级</w:t>
                  </w:r>
                </w:p>
              </w:tc>
              <w:tc>
                <w:tcPr>
                  <w:tcW w:w="640"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一级</w:t>
                  </w:r>
                </w:p>
              </w:tc>
              <w:tc>
                <w:tcPr>
                  <w:tcW w:w="640"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二级</w:t>
                  </w:r>
                </w:p>
              </w:tc>
              <w:tc>
                <w:tcPr>
                  <w:tcW w:w="640"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二级</w:t>
                  </w:r>
                </w:p>
              </w:tc>
              <w:tc>
                <w:tcPr>
                  <w:tcW w:w="640"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二级</w:t>
                  </w:r>
                </w:p>
              </w:tc>
              <w:tc>
                <w:tcPr>
                  <w:tcW w:w="640"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三级</w:t>
                  </w:r>
                </w:p>
              </w:tc>
              <w:tc>
                <w:tcPr>
                  <w:tcW w:w="640"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三级</w:t>
                  </w:r>
                </w:p>
              </w:tc>
              <w:tc>
                <w:tcPr>
                  <w:tcW w:w="634"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254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较敏感</w:t>
                  </w:r>
                </w:p>
              </w:tc>
              <w:tc>
                <w:tcPr>
                  <w:tcW w:w="637"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一级</w:t>
                  </w:r>
                </w:p>
              </w:tc>
              <w:tc>
                <w:tcPr>
                  <w:tcW w:w="639"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一级</w:t>
                  </w:r>
                </w:p>
              </w:tc>
              <w:tc>
                <w:tcPr>
                  <w:tcW w:w="640"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二级</w:t>
                  </w:r>
                </w:p>
              </w:tc>
              <w:tc>
                <w:tcPr>
                  <w:tcW w:w="640"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二级</w:t>
                  </w:r>
                </w:p>
              </w:tc>
              <w:tc>
                <w:tcPr>
                  <w:tcW w:w="640"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二级</w:t>
                  </w:r>
                </w:p>
              </w:tc>
              <w:tc>
                <w:tcPr>
                  <w:tcW w:w="640"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三级</w:t>
                  </w:r>
                </w:p>
              </w:tc>
              <w:tc>
                <w:tcPr>
                  <w:tcW w:w="640"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三级</w:t>
                  </w:r>
                </w:p>
              </w:tc>
              <w:tc>
                <w:tcPr>
                  <w:tcW w:w="640"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三级</w:t>
                  </w:r>
                </w:p>
              </w:tc>
              <w:tc>
                <w:tcPr>
                  <w:tcW w:w="634"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254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不敏感</w:t>
                  </w:r>
                </w:p>
              </w:tc>
              <w:tc>
                <w:tcPr>
                  <w:tcW w:w="637"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一级</w:t>
                  </w:r>
                </w:p>
              </w:tc>
              <w:tc>
                <w:tcPr>
                  <w:tcW w:w="639"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二级</w:t>
                  </w:r>
                </w:p>
              </w:tc>
              <w:tc>
                <w:tcPr>
                  <w:tcW w:w="640"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二级</w:t>
                  </w:r>
                </w:p>
              </w:tc>
              <w:tc>
                <w:tcPr>
                  <w:tcW w:w="640"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二级</w:t>
                  </w:r>
                </w:p>
              </w:tc>
              <w:tc>
                <w:tcPr>
                  <w:tcW w:w="640"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二级</w:t>
                  </w:r>
                </w:p>
              </w:tc>
              <w:tc>
                <w:tcPr>
                  <w:tcW w:w="640"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三级</w:t>
                  </w:r>
                </w:p>
              </w:tc>
              <w:tc>
                <w:tcPr>
                  <w:tcW w:w="640"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三级</w:t>
                  </w:r>
                </w:p>
              </w:tc>
              <w:tc>
                <w:tcPr>
                  <w:tcW w:w="640"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w:t>
                  </w:r>
                </w:p>
              </w:tc>
              <w:tc>
                <w:tcPr>
                  <w:tcW w:w="634"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8296" w:type="dxa"/>
                  <w:gridSpan w:val="10"/>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cs="Times New Roman"/>
                      <w:color w:val="auto"/>
                      <w:szCs w:val="21"/>
                      <w:highlight w:val="none"/>
                    </w:rPr>
                  </w:pPr>
                  <w:r>
                    <w:rPr>
                      <w:rFonts w:ascii="Times New Roman" w:hAnsi="Times New Roman" w:cs="Times New Roman"/>
                      <w:color w:val="auto"/>
                      <w:szCs w:val="21"/>
                      <w:highlight w:val="none"/>
                    </w:rPr>
                    <w:t>注：“—”表示可不开展土壤环境影响评价工作。</w:t>
                  </w:r>
                </w:p>
              </w:tc>
            </w:tr>
          </w:tbl>
          <w:p>
            <w:pPr>
              <w:pStyle w:val="50"/>
              <w:ind w:firstLine="480"/>
              <w:rPr>
                <w:color w:val="auto"/>
                <w:highlight w:val="none"/>
              </w:rPr>
            </w:pPr>
            <w:r>
              <w:rPr>
                <w:color w:val="auto"/>
                <w:highlight w:val="none"/>
              </w:rPr>
              <w:t>根据《国民经济行业分类》（GB/T 4754-2017），本项目属于“29 橡胶和塑料制造业”，因此根据《环境影响评价技术导则  土壤环境（试行）》（HJ964-2018）附录A，本项目属于“设备制造、金属制品、汽车制造及其他用品制造”类别中的“其他”类别，项目类别为Ⅲ类。</w:t>
            </w:r>
          </w:p>
          <w:p>
            <w:pPr>
              <w:pStyle w:val="50"/>
              <w:ind w:firstLine="480"/>
              <w:rPr>
                <w:color w:val="auto"/>
                <w:highlight w:val="none"/>
              </w:rPr>
            </w:pPr>
            <w:r>
              <w:rPr>
                <w:rFonts w:hint="eastAsia"/>
                <w:color w:val="auto"/>
                <w:highlight w:val="none"/>
              </w:rPr>
              <w:t>根据《环境影响评价技术导则  土壤环境（试行）》（HJ964-2018），建设项目所在地周边的土壤敏感程度判别依据见表7-1</w:t>
            </w:r>
            <w:r>
              <w:rPr>
                <w:color w:val="auto"/>
                <w:highlight w:val="none"/>
              </w:rPr>
              <w:t>5</w:t>
            </w:r>
            <w:r>
              <w:rPr>
                <w:rFonts w:hint="eastAsia"/>
                <w:color w:val="auto"/>
                <w:highlight w:val="none"/>
              </w:rPr>
              <w:t>。</w:t>
            </w:r>
          </w:p>
          <w:p>
            <w:pPr>
              <w:pStyle w:val="50"/>
              <w:spacing w:line="240" w:lineRule="auto"/>
              <w:ind w:firstLine="0" w:firstLineChars="0"/>
              <w:jc w:val="center"/>
              <w:rPr>
                <w:b/>
                <w:bCs/>
                <w:color w:val="auto"/>
                <w:sz w:val="21"/>
                <w:szCs w:val="21"/>
                <w:highlight w:val="none"/>
              </w:rPr>
            </w:pPr>
            <w:r>
              <w:rPr>
                <w:rFonts w:hint="eastAsia"/>
                <w:b/>
                <w:bCs/>
                <w:color w:val="auto"/>
                <w:sz w:val="21"/>
                <w:szCs w:val="21"/>
                <w:highlight w:val="none"/>
              </w:rPr>
              <w:t>表7-1</w:t>
            </w:r>
            <w:r>
              <w:rPr>
                <w:b/>
                <w:bCs/>
                <w:color w:val="auto"/>
                <w:sz w:val="21"/>
                <w:szCs w:val="21"/>
                <w:highlight w:val="none"/>
              </w:rPr>
              <w:t>5</w:t>
            </w:r>
            <w:r>
              <w:rPr>
                <w:rFonts w:hint="eastAsia"/>
                <w:b/>
                <w:bCs/>
                <w:color w:val="auto"/>
                <w:sz w:val="21"/>
                <w:szCs w:val="21"/>
                <w:highlight w:val="none"/>
              </w:rPr>
              <w:t>污染影响型敏感程度分级表</w:t>
            </w:r>
          </w:p>
          <w:tbl>
            <w:tblPr>
              <w:tblStyle w:val="2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4"/>
              <w:gridCol w:w="6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trPr>
              <w:tc>
                <w:tcPr>
                  <w:tcW w:w="1324" w:type="dxa"/>
                  <w:tcBorders>
                    <w:top w:val="single" w:color="auto" w:sz="4" w:space="0"/>
                    <w:left w:val="single" w:color="auto" w:sz="4" w:space="0"/>
                    <w:bottom w:val="single" w:color="auto" w:sz="4" w:space="0"/>
                    <w:right w:val="single" w:color="auto" w:sz="4" w:space="0"/>
                  </w:tcBorders>
                  <w:vAlign w:val="center"/>
                </w:tcPr>
                <w:p>
                  <w:pPr>
                    <w:pStyle w:val="50"/>
                    <w:spacing w:line="240" w:lineRule="auto"/>
                    <w:ind w:firstLine="0" w:firstLineChars="0"/>
                    <w:jc w:val="center"/>
                    <w:rPr>
                      <w:color w:val="auto"/>
                      <w:sz w:val="21"/>
                      <w:szCs w:val="21"/>
                      <w:highlight w:val="none"/>
                    </w:rPr>
                  </w:pPr>
                  <w:r>
                    <w:rPr>
                      <w:rFonts w:hint="eastAsia"/>
                      <w:color w:val="auto"/>
                      <w:sz w:val="21"/>
                      <w:szCs w:val="21"/>
                      <w:highlight w:val="none"/>
                    </w:rPr>
                    <w:t>敏感程度</w:t>
                  </w:r>
                </w:p>
              </w:tc>
              <w:tc>
                <w:tcPr>
                  <w:tcW w:w="6972" w:type="dxa"/>
                  <w:tcBorders>
                    <w:top w:val="single" w:color="auto" w:sz="4" w:space="0"/>
                    <w:left w:val="nil"/>
                    <w:bottom w:val="single" w:color="auto" w:sz="4" w:space="0"/>
                    <w:right w:val="single" w:color="auto" w:sz="4" w:space="0"/>
                  </w:tcBorders>
                  <w:vAlign w:val="center"/>
                </w:tcPr>
                <w:p>
                  <w:pPr>
                    <w:pStyle w:val="50"/>
                    <w:spacing w:line="240" w:lineRule="auto"/>
                    <w:ind w:firstLine="0" w:firstLineChars="0"/>
                    <w:jc w:val="center"/>
                    <w:rPr>
                      <w:color w:val="auto"/>
                      <w:sz w:val="21"/>
                      <w:szCs w:val="21"/>
                      <w:highlight w:val="none"/>
                    </w:rPr>
                  </w:pPr>
                  <w:r>
                    <w:rPr>
                      <w:rFonts w:hint="eastAsia"/>
                      <w:color w:val="auto"/>
                      <w:sz w:val="21"/>
                      <w:szCs w:val="21"/>
                      <w:highlight w:val="none"/>
                    </w:rPr>
                    <w:t>判别依据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trPr>
              <w:tc>
                <w:tcPr>
                  <w:tcW w:w="1324" w:type="dxa"/>
                  <w:tcBorders>
                    <w:top w:val="single" w:color="auto" w:sz="4" w:space="0"/>
                    <w:left w:val="single" w:color="auto" w:sz="4" w:space="0"/>
                    <w:bottom w:val="single" w:color="auto" w:sz="4" w:space="0"/>
                    <w:right w:val="single" w:color="auto" w:sz="4" w:space="0"/>
                  </w:tcBorders>
                  <w:vAlign w:val="center"/>
                </w:tcPr>
                <w:p>
                  <w:pPr>
                    <w:pStyle w:val="50"/>
                    <w:spacing w:line="240" w:lineRule="auto"/>
                    <w:ind w:firstLine="0" w:firstLineChars="0"/>
                    <w:jc w:val="center"/>
                    <w:rPr>
                      <w:color w:val="auto"/>
                      <w:sz w:val="21"/>
                      <w:szCs w:val="21"/>
                      <w:highlight w:val="none"/>
                    </w:rPr>
                  </w:pPr>
                  <w:r>
                    <w:rPr>
                      <w:rFonts w:hint="eastAsia"/>
                      <w:color w:val="auto"/>
                      <w:sz w:val="21"/>
                      <w:szCs w:val="21"/>
                      <w:highlight w:val="none"/>
                    </w:rPr>
                    <w:t>敏感</w:t>
                  </w:r>
                </w:p>
              </w:tc>
              <w:tc>
                <w:tcPr>
                  <w:tcW w:w="6972" w:type="dxa"/>
                  <w:tcBorders>
                    <w:top w:val="single" w:color="auto" w:sz="4" w:space="0"/>
                    <w:left w:val="nil"/>
                    <w:bottom w:val="single" w:color="auto" w:sz="4" w:space="0"/>
                    <w:right w:val="single" w:color="auto" w:sz="4" w:space="0"/>
                  </w:tcBorders>
                  <w:vAlign w:val="center"/>
                </w:tcPr>
                <w:p>
                  <w:pPr>
                    <w:pStyle w:val="50"/>
                    <w:spacing w:line="240" w:lineRule="auto"/>
                    <w:ind w:firstLine="0" w:firstLineChars="0"/>
                    <w:rPr>
                      <w:color w:val="auto"/>
                      <w:sz w:val="21"/>
                      <w:szCs w:val="21"/>
                      <w:highlight w:val="none"/>
                    </w:rPr>
                  </w:pPr>
                  <w:r>
                    <w:rPr>
                      <w:rFonts w:hint="eastAsia"/>
                      <w:color w:val="auto"/>
                      <w:sz w:val="21"/>
                      <w:szCs w:val="21"/>
                      <w:highlight w:val="none"/>
                    </w:rPr>
                    <w:t>建设项目周边存在耕地、园地、牧草地、饮用水源地或居民区、学校、医院、疗养院、养老院等土壤环境敏感目标的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trPr>
              <w:tc>
                <w:tcPr>
                  <w:tcW w:w="1324" w:type="dxa"/>
                  <w:tcBorders>
                    <w:top w:val="single" w:color="auto" w:sz="4" w:space="0"/>
                    <w:left w:val="single" w:color="auto" w:sz="4" w:space="0"/>
                    <w:bottom w:val="single" w:color="auto" w:sz="4" w:space="0"/>
                    <w:right w:val="single" w:color="auto" w:sz="4" w:space="0"/>
                  </w:tcBorders>
                  <w:vAlign w:val="center"/>
                </w:tcPr>
                <w:p>
                  <w:pPr>
                    <w:pStyle w:val="50"/>
                    <w:spacing w:line="240" w:lineRule="auto"/>
                    <w:ind w:firstLine="0" w:firstLineChars="0"/>
                    <w:jc w:val="center"/>
                    <w:rPr>
                      <w:color w:val="auto"/>
                      <w:sz w:val="21"/>
                      <w:szCs w:val="21"/>
                      <w:highlight w:val="none"/>
                    </w:rPr>
                  </w:pPr>
                  <w:r>
                    <w:rPr>
                      <w:rFonts w:hint="eastAsia"/>
                      <w:color w:val="auto"/>
                      <w:sz w:val="21"/>
                      <w:szCs w:val="21"/>
                      <w:highlight w:val="none"/>
                    </w:rPr>
                    <w:t>较敏感</w:t>
                  </w:r>
                </w:p>
              </w:tc>
              <w:tc>
                <w:tcPr>
                  <w:tcW w:w="6972" w:type="dxa"/>
                  <w:tcBorders>
                    <w:top w:val="single" w:color="auto" w:sz="4" w:space="0"/>
                    <w:left w:val="nil"/>
                    <w:bottom w:val="single" w:color="auto" w:sz="4" w:space="0"/>
                    <w:right w:val="single" w:color="auto" w:sz="4" w:space="0"/>
                  </w:tcBorders>
                  <w:vAlign w:val="center"/>
                </w:tcPr>
                <w:p>
                  <w:pPr>
                    <w:pStyle w:val="50"/>
                    <w:spacing w:line="240" w:lineRule="auto"/>
                    <w:ind w:firstLine="0" w:firstLineChars="0"/>
                    <w:rPr>
                      <w:color w:val="auto"/>
                      <w:sz w:val="21"/>
                      <w:szCs w:val="21"/>
                      <w:highlight w:val="none"/>
                    </w:rPr>
                  </w:pPr>
                  <w:r>
                    <w:rPr>
                      <w:rFonts w:hint="eastAsia"/>
                      <w:color w:val="auto"/>
                      <w:sz w:val="21"/>
                      <w:szCs w:val="21"/>
                      <w:highlight w:val="none"/>
                    </w:rPr>
                    <w:t>建设项目周边存在其他土壤环境敏感目标的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1324" w:type="dxa"/>
                  <w:tcBorders>
                    <w:top w:val="single" w:color="auto" w:sz="4" w:space="0"/>
                    <w:left w:val="single" w:color="auto" w:sz="4" w:space="0"/>
                    <w:bottom w:val="single" w:color="auto" w:sz="4" w:space="0"/>
                    <w:right w:val="single" w:color="auto" w:sz="4" w:space="0"/>
                  </w:tcBorders>
                  <w:vAlign w:val="center"/>
                </w:tcPr>
                <w:p>
                  <w:pPr>
                    <w:pStyle w:val="50"/>
                    <w:spacing w:line="240" w:lineRule="auto"/>
                    <w:ind w:firstLine="0" w:firstLineChars="0"/>
                    <w:jc w:val="center"/>
                    <w:rPr>
                      <w:color w:val="auto"/>
                      <w:sz w:val="21"/>
                      <w:szCs w:val="21"/>
                      <w:highlight w:val="none"/>
                    </w:rPr>
                  </w:pPr>
                  <w:r>
                    <w:rPr>
                      <w:rFonts w:hint="eastAsia"/>
                      <w:color w:val="auto"/>
                      <w:sz w:val="21"/>
                      <w:szCs w:val="21"/>
                      <w:highlight w:val="none"/>
                    </w:rPr>
                    <w:t>不敏感</w:t>
                  </w:r>
                </w:p>
              </w:tc>
              <w:tc>
                <w:tcPr>
                  <w:tcW w:w="6972" w:type="dxa"/>
                  <w:tcBorders>
                    <w:top w:val="single" w:color="auto" w:sz="4" w:space="0"/>
                    <w:left w:val="nil"/>
                    <w:bottom w:val="single" w:color="auto" w:sz="4" w:space="0"/>
                    <w:right w:val="single" w:color="auto" w:sz="4" w:space="0"/>
                  </w:tcBorders>
                  <w:vAlign w:val="center"/>
                </w:tcPr>
                <w:p>
                  <w:pPr>
                    <w:pStyle w:val="50"/>
                    <w:spacing w:line="240" w:lineRule="auto"/>
                    <w:ind w:firstLine="0" w:firstLineChars="0"/>
                    <w:rPr>
                      <w:color w:val="auto"/>
                      <w:sz w:val="21"/>
                      <w:szCs w:val="21"/>
                      <w:highlight w:val="none"/>
                    </w:rPr>
                  </w:pPr>
                  <w:r>
                    <w:rPr>
                      <w:rFonts w:hint="eastAsia"/>
                      <w:color w:val="auto"/>
                      <w:sz w:val="21"/>
                      <w:szCs w:val="21"/>
                      <w:highlight w:val="none"/>
                    </w:rPr>
                    <w:t>其他情况</w:t>
                  </w:r>
                </w:p>
              </w:tc>
            </w:tr>
          </w:tbl>
          <w:p>
            <w:pPr>
              <w:pStyle w:val="50"/>
              <w:ind w:firstLine="0" w:firstLineChars="0"/>
              <w:rPr>
                <w:color w:val="auto"/>
                <w:sz w:val="21"/>
                <w:szCs w:val="21"/>
                <w:highlight w:val="none"/>
              </w:rPr>
            </w:pPr>
            <w:r>
              <w:rPr>
                <w:rFonts w:hint="eastAsia"/>
                <w:color w:val="auto"/>
                <w:sz w:val="21"/>
                <w:szCs w:val="21"/>
                <w:highlight w:val="none"/>
              </w:rPr>
              <w:t>注：根据生态环境部部长信箱“关于咨询土壤导则里两个问题的回复：土壤导则里‘周边’指建设项目可能影响的范围，应在工程分析基础上，识别建设项目影响类型与污染途径，结合建设项目所在地的气象条件、地形地貌、水文地质条件等判定”。本项目土壤环境影响类型为污染影响型，影响途径为大气沉降，项目所在地以东南为主导风向，根据大气预测，本项目最大落地浓度为</w:t>
            </w:r>
            <w:r>
              <w:rPr>
                <w:color w:val="auto"/>
                <w:sz w:val="21"/>
                <w:szCs w:val="21"/>
                <w:highlight w:val="none"/>
              </w:rPr>
              <w:t>102</w:t>
            </w:r>
            <w:r>
              <w:rPr>
                <w:rFonts w:hint="eastAsia"/>
                <w:color w:val="auto"/>
                <w:sz w:val="21"/>
                <w:szCs w:val="21"/>
                <w:highlight w:val="none"/>
              </w:rPr>
              <w:t>m，项目500m内无敏感点，因此项目附近的土壤环境基本不受本项目影响。</w:t>
            </w:r>
          </w:p>
          <w:p>
            <w:pPr>
              <w:pStyle w:val="50"/>
              <w:ind w:firstLine="480"/>
              <w:rPr>
                <w:color w:val="auto"/>
                <w:highlight w:val="none"/>
              </w:rPr>
            </w:pPr>
            <w:r>
              <w:rPr>
                <w:rFonts w:hint="eastAsia"/>
                <w:color w:val="auto"/>
                <w:highlight w:val="none"/>
              </w:rPr>
              <w:t>项目所在地为民营工业园，周边主要为工厂、交通路线，土地利用类型主要为工业用地、交通运输用地。本项目最大落地浓度为</w:t>
            </w:r>
            <w:r>
              <w:rPr>
                <w:color w:val="auto"/>
                <w:highlight w:val="none"/>
              </w:rPr>
              <w:t>102</w:t>
            </w:r>
            <w:r>
              <w:rPr>
                <w:rFonts w:hint="eastAsia"/>
                <w:color w:val="auto"/>
                <w:highlight w:val="none"/>
              </w:rPr>
              <w:t>m且5</w:t>
            </w:r>
            <w:r>
              <w:rPr>
                <w:color w:val="auto"/>
                <w:highlight w:val="none"/>
              </w:rPr>
              <w:t>0</w:t>
            </w:r>
            <w:r>
              <w:rPr>
                <w:rFonts w:hint="eastAsia"/>
                <w:color w:val="auto"/>
                <w:highlight w:val="none"/>
              </w:rPr>
              <w:t>0m范围内无敏感点，本项目土壤环境影响类型为污染影响型，影响途径为大气沉降，周边没有可能受本项目影响的土壤环境敏感目标，即本项目敏感程度为不敏感。</w:t>
            </w:r>
          </w:p>
          <w:p>
            <w:pPr>
              <w:pStyle w:val="50"/>
              <w:ind w:firstLine="480"/>
              <w:rPr>
                <w:color w:val="auto"/>
                <w:highlight w:val="none"/>
              </w:rPr>
            </w:pPr>
            <w:r>
              <w:rPr>
                <w:rFonts w:hint="eastAsia"/>
                <w:color w:val="auto"/>
                <w:highlight w:val="none"/>
              </w:rPr>
              <w:t>根据表7-11污染影响型评价工作等级划分表，本项目可不开展土壤环境影响评价工作。</w:t>
            </w:r>
          </w:p>
          <w:p>
            <w:pPr>
              <w:snapToGrid w:val="0"/>
              <w:spacing w:line="360" w:lineRule="auto"/>
              <w:ind w:firstLine="502"/>
              <w:rPr>
                <w:rFonts w:ascii="Times New Roman" w:hAnsi="Times New Roman" w:eastAsia="宋体" w:cs="Times New Roman"/>
                <w:b/>
                <w:bCs/>
                <w:color w:val="auto"/>
                <w:sz w:val="24"/>
                <w:highlight w:val="none"/>
              </w:rPr>
            </w:pPr>
            <w:r>
              <w:rPr>
                <w:rFonts w:hint="eastAsia" w:ascii="Times New Roman" w:hAnsi="Times New Roman" w:eastAsia="宋体" w:cs="Times New Roman"/>
                <w:b/>
                <w:bCs/>
                <w:color w:val="auto"/>
                <w:sz w:val="24"/>
                <w:highlight w:val="none"/>
              </w:rPr>
              <w:t>6</w:t>
            </w:r>
            <w:r>
              <w:rPr>
                <w:rFonts w:ascii="Times New Roman" w:hAnsi="Times New Roman" w:eastAsia="宋体" w:cs="Times New Roman"/>
                <w:b/>
                <w:bCs/>
                <w:color w:val="auto"/>
                <w:sz w:val="24"/>
                <w:highlight w:val="none"/>
              </w:rPr>
              <w:t>、建设项目“三同时”竣工验收情况说明</w:t>
            </w:r>
          </w:p>
          <w:p>
            <w:pPr>
              <w:snapToGrid w:val="0"/>
              <w:spacing w:line="360" w:lineRule="auto"/>
              <w:ind w:firstLine="5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建设项目“三同时”竣工验收一览表见下表</w:t>
            </w:r>
            <w:r>
              <w:rPr>
                <w:rFonts w:hint="eastAsia" w:ascii="Times New Roman" w:hAnsi="Times New Roman" w:eastAsia="宋体" w:cs="Times New Roman"/>
                <w:color w:val="auto"/>
                <w:sz w:val="24"/>
                <w:highlight w:val="none"/>
              </w:rPr>
              <w:t>7-1</w:t>
            </w:r>
            <w:r>
              <w:rPr>
                <w:rFonts w:ascii="Times New Roman" w:hAnsi="Times New Roman" w:eastAsia="宋体" w:cs="Times New Roman"/>
                <w:color w:val="auto"/>
                <w:sz w:val="24"/>
                <w:highlight w:val="none"/>
              </w:rPr>
              <w:t>6。</w:t>
            </w:r>
          </w:p>
          <w:p>
            <w:pPr>
              <w:snapToGrid w:val="0"/>
              <w:spacing w:line="360" w:lineRule="auto"/>
              <w:ind w:firstLine="462"/>
              <w:jc w:val="center"/>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表</w:t>
            </w:r>
            <w:r>
              <w:rPr>
                <w:rFonts w:hint="eastAsia" w:ascii="Times New Roman" w:hAnsi="Times New Roman" w:eastAsia="宋体" w:cs="Times New Roman"/>
                <w:b/>
                <w:bCs/>
                <w:color w:val="auto"/>
                <w:sz w:val="24"/>
                <w:highlight w:val="none"/>
              </w:rPr>
              <w:t>7-1</w:t>
            </w:r>
            <w:r>
              <w:rPr>
                <w:rFonts w:ascii="Times New Roman" w:hAnsi="Times New Roman" w:eastAsia="宋体" w:cs="Times New Roman"/>
                <w:b/>
                <w:bCs/>
                <w:color w:val="auto"/>
                <w:sz w:val="24"/>
                <w:highlight w:val="none"/>
              </w:rPr>
              <w:t>6 “三同时”竣工验收一览表</w:t>
            </w:r>
          </w:p>
          <w:tbl>
            <w:tblPr>
              <w:tblStyle w:val="22"/>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038"/>
              <w:gridCol w:w="1319"/>
              <w:gridCol w:w="2185"/>
              <w:gridCol w:w="30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97" w:hRule="atLeast"/>
                <w:jc w:val="center"/>
              </w:trPr>
              <w:tc>
                <w:tcPr>
                  <w:tcW w:w="650" w:type="dxa"/>
                  <w:tcBorders>
                    <w:tl2br w:val="nil"/>
                    <w:tr2bl w:val="nil"/>
                  </w:tcBorders>
                  <w:vAlign w:val="center"/>
                </w:tcPr>
                <w:p>
                  <w:pPr>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类别</w:t>
                  </w:r>
                </w:p>
              </w:tc>
              <w:tc>
                <w:tcPr>
                  <w:tcW w:w="1038" w:type="dxa"/>
                  <w:tcBorders>
                    <w:tl2br w:val="nil"/>
                    <w:tr2bl w:val="nil"/>
                  </w:tcBorders>
                  <w:vAlign w:val="center"/>
                </w:tcPr>
                <w:p>
                  <w:pPr>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污染源</w:t>
                  </w:r>
                </w:p>
              </w:tc>
              <w:tc>
                <w:tcPr>
                  <w:tcW w:w="1319" w:type="dxa"/>
                  <w:tcBorders>
                    <w:tl2br w:val="nil"/>
                    <w:tr2bl w:val="nil"/>
                  </w:tcBorders>
                  <w:vAlign w:val="center"/>
                </w:tcPr>
                <w:p>
                  <w:pPr>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污染物</w:t>
                  </w:r>
                </w:p>
              </w:tc>
              <w:tc>
                <w:tcPr>
                  <w:tcW w:w="2185" w:type="dxa"/>
                  <w:tcBorders>
                    <w:tl2br w:val="nil"/>
                    <w:tr2bl w:val="nil"/>
                  </w:tcBorders>
                  <w:vAlign w:val="center"/>
                </w:tcPr>
                <w:p>
                  <w:pPr>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治理措施</w:t>
                  </w:r>
                </w:p>
              </w:tc>
              <w:tc>
                <w:tcPr>
                  <w:tcW w:w="3084" w:type="dxa"/>
                  <w:tcBorders>
                    <w:tl2br w:val="nil"/>
                    <w:tr2bl w:val="nil"/>
                  </w:tcBorders>
                  <w:vAlign w:val="center"/>
                </w:tcPr>
                <w:p>
                  <w:pPr>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拟达到的要求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50" w:type="dxa"/>
                  <w:tcBorders>
                    <w:tl2br w:val="nil"/>
                    <w:tr2bl w:val="nil"/>
                  </w:tcBorders>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废气</w:t>
                  </w:r>
                </w:p>
              </w:tc>
              <w:tc>
                <w:tcPr>
                  <w:tcW w:w="1038" w:type="dxa"/>
                  <w:tcBorders>
                    <w:tl2br w:val="nil"/>
                    <w:tr2bl w:val="nil"/>
                  </w:tcBorders>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发泡</w:t>
                  </w:r>
                  <w:r>
                    <w:rPr>
                      <w:rFonts w:hint="eastAsia" w:ascii="Times New Roman" w:hAnsi="Times New Roman" w:eastAsia="宋体" w:cs="Times New Roman"/>
                      <w:color w:val="auto"/>
                      <w:szCs w:val="21"/>
                      <w:highlight w:val="none"/>
                    </w:rPr>
                    <w:t>、成型</w:t>
                  </w:r>
                  <w:r>
                    <w:rPr>
                      <w:rFonts w:ascii="Times New Roman" w:hAnsi="Times New Roman" w:eastAsia="宋体" w:cs="Times New Roman"/>
                      <w:color w:val="auto"/>
                      <w:szCs w:val="21"/>
                      <w:highlight w:val="none"/>
                    </w:rPr>
                    <w:t>工序</w:t>
                  </w:r>
                </w:p>
              </w:tc>
              <w:tc>
                <w:tcPr>
                  <w:tcW w:w="1319" w:type="dxa"/>
                  <w:tcBorders>
                    <w:tl2br w:val="nil"/>
                    <w:tr2bl w:val="nil"/>
                  </w:tcBorders>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有机废气</w:t>
                  </w:r>
                </w:p>
              </w:tc>
              <w:tc>
                <w:tcPr>
                  <w:tcW w:w="2185" w:type="dxa"/>
                  <w:tcBorders>
                    <w:tl2br w:val="nil"/>
                    <w:tr2bl w:val="nil"/>
                  </w:tcBorders>
                  <w:vAlign w:val="center"/>
                </w:tcPr>
                <w:p>
                  <w:pPr>
                    <w:adjustRightInd w:val="0"/>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集气罩收集经</w:t>
                  </w:r>
                  <w:r>
                    <w:rPr>
                      <w:rFonts w:hint="eastAsia" w:ascii="Times New Roman" w:hAnsi="Times New Roman" w:eastAsia="宋体" w:cs="Times New Roman"/>
                      <w:color w:val="auto"/>
                      <w:szCs w:val="21"/>
                      <w:highlight w:val="none"/>
                    </w:rPr>
                    <w:t>“水雾分离器+UV光解+活性炭吸附”</w:t>
                  </w:r>
                  <w:r>
                    <w:rPr>
                      <w:rFonts w:ascii="Times New Roman" w:hAnsi="Times New Roman" w:eastAsia="宋体" w:cs="Times New Roman"/>
                      <w:color w:val="auto"/>
                      <w:szCs w:val="21"/>
                      <w:highlight w:val="none"/>
                    </w:rPr>
                    <w:t>装置处理后高空排放</w:t>
                  </w:r>
                </w:p>
              </w:tc>
              <w:tc>
                <w:tcPr>
                  <w:tcW w:w="3084" w:type="dxa"/>
                  <w:tcBorders>
                    <w:tl2br w:val="nil"/>
                    <w:tr2bl w:val="nil"/>
                  </w:tcBorders>
                  <w:vAlign w:val="center"/>
                </w:tcPr>
                <w:p>
                  <w:pPr>
                    <w:adjustRightInd w:val="0"/>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达到《合成树脂工业污染物排放标准》（GB31572-2015）表4中的大气污染物排放限值，无组织排放执行表9中企业边界大气污染物浓度限值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50" w:type="dxa"/>
                  <w:tcBorders>
                    <w:tl2br w:val="nil"/>
                    <w:tr2bl w:val="nil"/>
                  </w:tcBorders>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废水</w:t>
                  </w:r>
                </w:p>
              </w:tc>
              <w:tc>
                <w:tcPr>
                  <w:tcW w:w="1038" w:type="dxa"/>
                  <w:tcBorders>
                    <w:tl2br w:val="nil"/>
                    <w:tr2bl w:val="nil"/>
                  </w:tcBorders>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员工生活</w:t>
                  </w:r>
                </w:p>
              </w:tc>
              <w:tc>
                <w:tcPr>
                  <w:tcW w:w="1319" w:type="dxa"/>
                  <w:tcBorders>
                    <w:tl2br w:val="nil"/>
                    <w:tr2bl w:val="nil"/>
                  </w:tcBorders>
                  <w:vAlign w:val="center"/>
                </w:tcPr>
                <w:p>
                  <w:pPr>
                    <w:adjustRightInd w:val="0"/>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生活污水</w:t>
                  </w:r>
                </w:p>
              </w:tc>
              <w:tc>
                <w:tcPr>
                  <w:tcW w:w="2185" w:type="dxa"/>
                  <w:tcBorders>
                    <w:tl2br w:val="nil"/>
                    <w:tr2bl w:val="nil"/>
                  </w:tcBorders>
                  <w:vAlign w:val="center"/>
                </w:tcPr>
                <w:p>
                  <w:pPr>
                    <w:adjustRightInd w:val="0"/>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混凝沉淀+水解酸化+接触氧化</w:t>
                  </w:r>
                </w:p>
              </w:tc>
              <w:tc>
                <w:tcPr>
                  <w:tcW w:w="3084" w:type="dxa"/>
                  <w:tcBorders>
                    <w:tl2br w:val="nil"/>
                    <w:tr2bl w:val="nil"/>
                  </w:tcBorders>
                  <w:vAlign w:val="center"/>
                </w:tcPr>
                <w:p>
                  <w:pPr>
                    <w:adjustRightInd w:val="0"/>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达到《纺织染整工业水污染物排放标准（GB 4287-2012）》中的表2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50" w:type="dxa"/>
                  <w:tcBorders>
                    <w:tl2br w:val="nil"/>
                    <w:tr2bl w:val="nil"/>
                  </w:tcBorders>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噪声</w:t>
                  </w:r>
                </w:p>
              </w:tc>
              <w:tc>
                <w:tcPr>
                  <w:tcW w:w="1038" w:type="dxa"/>
                  <w:tcBorders>
                    <w:tl2br w:val="nil"/>
                    <w:tr2bl w:val="nil"/>
                  </w:tcBorders>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生产设备</w:t>
                  </w:r>
                </w:p>
              </w:tc>
              <w:tc>
                <w:tcPr>
                  <w:tcW w:w="1319" w:type="dxa"/>
                  <w:tcBorders>
                    <w:tl2br w:val="nil"/>
                    <w:tr2bl w:val="nil"/>
                  </w:tcBorders>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工业噪声</w:t>
                  </w:r>
                </w:p>
              </w:tc>
              <w:tc>
                <w:tcPr>
                  <w:tcW w:w="2185" w:type="dxa"/>
                  <w:tcBorders>
                    <w:tl2br w:val="nil"/>
                    <w:tr2bl w:val="nil"/>
                  </w:tcBorders>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项目合理布置设备。工业噪声经过几何发散，大气吸收，地面效应，屏障屏蔽和其他多方面效应引起的衰减</w:t>
                  </w:r>
                </w:p>
              </w:tc>
              <w:tc>
                <w:tcPr>
                  <w:tcW w:w="3084" w:type="dxa"/>
                  <w:tcBorders>
                    <w:tl2br w:val="nil"/>
                    <w:tr2bl w:val="nil"/>
                  </w:tcBorders>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达到《工业企业厂界环境噪声排放标准》（GB12348-2008）3类标准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50" w:type="dxa"/>
                  <w:vMerge w:val="restart"/>
                  <w:tcBorders>
                    <w:tl2br w:val="nil"/>
                    <w:tr2bl w:val="nil"/>
                  </w:tcBorders>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固废</w:t>
                  </w:r>
                </w:p>
              </w:tc>
              <w:tc>
                <w:tcPr>
                  <w:tcW w:w="1038" w:type="dxa"/>
                  <w:tcBorders>
                    <w:tl2br w:val="nil"/>
                    <w:tr2bl w:val="nil"/>
                  </w:tcBorders>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日常办公</w:t>
                  </w:r>
                </w:p>
              </w:tc>
              <w:tc>
                <w:tcPr>
                  <w:tcW w:w="1319" w:type="dxa"/>
                  <w:tcBorders>
                    <w:tl2br w:val="nil"/>
                    <w:tr2bl w:val="nil"/>
                  </w:tcBorders>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bCs/>
                      <w:color w:val="auto"/>
                      <w:szCs w:val="21"/>
                      <w:highlight w:val="none"/>
                    </w:rPr>
                    <w:t>生活垃圾</w:t>
                  </w:r>
                </w:p>
              </w:tc>
              <w:tc>
                <w:tcPr>
                  <w:tcW w:w="2185" w:type="dxa"/>
                  <w:tcBorders>
                    <w:tl2br w:val="nil"/>
                    <w:tr2bl w:val="nil"/>
                  </w:tcBorders>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环卫部门清运</w:t>
                  </w:r>
                </w:p>
              </w:tc>
              <w:tc>
                <w:tcPr>
                  <w:tcW w:w="3084" w:type="dxa"/>
                  <w:vMerge w:val="restart"/>
                  <w:tcBorders>
                    <w:tl2br w:val="nil"/>
                    <w:tr2bl w:val="nil"/>
                  </w:tcBorders>
                  <w:vAlign w:val="center"/>
                </w:tcPr>
                <w:p>
                  <w:pP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达到《一般工业固体废物贮存、处置场污染控制标准》（GB 98599-2001）的标准，《危险废物贮存污染控制标准》（GB18597-2001）标准及 2013 年 6 月修改单要求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50" w:type="dxa"/>
                  <w:vMerge w:val="continue"/>
                  <w:tcBorders>
                    <w:tl2br w:val="nil"/>
                    <w:tr2bl w:val="nil"/>
                  </w:tcBorders>
                  <w:vAlign w:val="center"/>
                </w:tcPr>
                <w:p>
                  <w:pPr>
                    <w:jc w:val="center"/>
                    <w:rPr>
                      <w:rFonts w:ascii="Times New Roman" w:hAnsi="Times New Roman" w:eastAsia="宋体" w:cs="Times New Roman"/>
                      <w:color w:val="auto"/>
                      <w:szCs w:val="21"/>
                      <w:highlight w:val="none"/>
                    </w:rPr>
                  </w:pPr>
                </w:p>
              </w:tc>
              <w:tc>
                <w:tcPr>
                  <w:tcW w:w="1038" w:type="dxa"/>
                  <w:vMerge w:val="restart"/>
                  <w:tcBorders>
                    <w:tl2br w:val="nil"/>
                    <w:tr2bl w:val="nil"/>
                  </w:tcBorders>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生产过程</w:t>
                  </w:r>
                </w:p>
              </w:tc>
              <w:tc>
                <w:tcPr>
                  <w:tcW w:w="1319" w:type="dxa"/>
                  <w:tcBorders>
                    <w:tl2br w:val="nil"/>
                    <w:tr2bl w:val="nil"/>
                  </w:tcBorders>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bCs/>
                      <w:color w:val="auto"/>
                      <w:szCs w:val="21"/>
                      <w:highlight w:val="none"/>
                    </w:rPr>
                    <w:t>边角料</w:t>
                  </w:r>
                </w:p>
              </w:tc>
              <w:tc>
                <w:tcPr>
                  <w:tcW w:w="2185" w:type="dxa"/>
                  <w:vMerge w:val="restart"/>
                  <w:tcBorders>
                    <w:tl2br w:val="nil"/>
                    <w:tr2bl w:val="nil"/>
                  </w:tcBorders>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分类收集后交专业公司回收处理</w:t>
                  </w:r>
                </w:p>
              </w:tc>
              <w:tc>
                <w:tcPr>
                  <w:tcW w:w="3084" w:type="dxa"/>
                  <w:vMerge w:val="continue"/>
                  <w:tcBorders>
                    <w:tl2br w:val="nil"/>
                    <w:tr2bl w:val="nil"/>
                  </w:tcBorders>
                  <w:vAlign w:val="center"/>
                </w:tcPr>
                <w:p>
                  <w:pPr>
                    <w:jc w:val="center"/>
                    <w:rPr>
                      <w:rFonts w:ascii="Times New Roman" w:hAnsi="Times New Roman" w:eastAsia="宋体" w:cs="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50" w:type="dxa"/>
                  <w:vMerge w:val="continue"/>
                  <w:tcBorders>
                    <w:tl2br w:val="nil"/>
                    <w:tr2bl w:val="nil"/>
                  </w:tcBorders>
                  <w:vAlign w:val="center"/>
                </w:tcPr>
                <w:p>
                  <w:pPr>
                    <w:jc w:val="center"/>
                    <w:rPr>
                      <w:rFonts w:ascii="Times New Roman" w:hAnsi="Times New Roman" w:eastAsia="宋体" w:cs="Times New Roman"/>
                      <w:color w:val="auto"/>
                      <w:szCs w:val="21"/>
                      <w:highlight w:val="none"/>
                    </w:rPr>
                  </w:pPr>
                </w:p>
              </w:tc>
              <w:tc>
                <w:tcPr>
                  <w:tcW w:w="1038" w:type="dxa"/>
                  <w:vMerge w:val="continue"/>
                  <w:tcBorders>
                    <w:tl2br w:val="nil"/>
                    <w:tr2bl w:val="nil"/>
                  </w:tcBorders>
                  <w:vAlign w:val="center"/>
                </w:tcPr>
                <w:p>
                  <w:pPr>
                    <w:jc w:val="center"/>
                    <w:rPr>
                      <w:rFonts w:ascii="Times New Roman" w:hAnsi="Times New Roman" w:eastAsia="宋体" w:cs="Times New Roman"/>
                      <w:color w:val="auto"/>
                      <w:szCs w:val="21"/>
                      <w:highlight w:val="none"/>
                    </w:rPr>
                  </w:pPr>
                </w:p>
              </w:tc>
              <w:tc>
                <w:tcPr>
                  <w:tcW w:w="1319" w:type="dxa"/>
                  <w:tcBorders>
                    <w:tl2br w:val="nil"/>
                    <w:tr2bl w:val="nil"/>
                  </w:tcBorders>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bCs/>
                      <w:color w:val="auto"/>
                      <w:szCs w:val="21"/>
                      <w:highlight w:val="none"/>
                    </w:rPr>
                    <w:t>废包装材料</w:t>
                  </w:r>
                </w:p>
              </w:tc>
              <w:tc>
                <w:tcPr>
                  <w:tcW w:w="2185" w:type="dxa"/>
                  <w:vMerge w:val="continue"/>
                  <w:tcBorders>
                    <w:tl2br w:val="nil"/>
                    <w:tr2bl w:val="nil"/>
                  </w:tcBorders>
                  <w:vAlign w:val="center"/>
                </w:tcPr>
                <w:p>
                  <w:pPr>
                    <w:jc w:val="center"/>
                    <w:rPr>
                      <w:rFonts w:ascii="Times New Roman" w:hAnsi="Times New Roman" w:eastAsia="宋体" w:cs="Times New Roman"/>
                      <w:color w:val="auto"/>
                      <w:szCs w:val="21"/>
                      <w:highlight w:val="none"/>
                    </w:rPr>
                  </w:pPr>
                </w:p>
              </w:tc>
              <w:tc>
                <w:tcPr>
                  <w:tcW w:w="3084" w:type="dxa"/>
                  <w:vMerge w:val="continue"/>
                  <w:tcBorders>
                    <w:tl2br w:val="nil"/>
                    <w:tr2bl w:val="nil"/>
                  </w:tcBorders>
                  <w:vAlign w:val="center"/>
                </w:tcPr>
                <w:p>
                  <w:pPr>
                    <w:rPr>
                      <w:rFonts w:ascii="Times New Roman" w:hAnsi="Times New Roman" w:eastAsia="宋体" w:cs="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0" w:type="dxa"/>
                  <w:vMerge w:val="continue"/>
                  <w:tcBorders>
                    <w:tl2br w:val="nil"/>
                    <w:tr2bl w:val="nil"/>
                  </w:tcBorders>
                  <w:vAlign w:val="center"/>
                </w:tcPr>
                <w:p>
                  <w:pPr>
                    <w:jc w:val="center"/>
                    <w:rPr>
                      <w:rFonts w:ascii="Times New Roman" w:hAnsi="Times New Roman" w:eastAsia="宋体" w:cs="Times New Roman"/>
                      <w:color w:val="auto"/>
                      <w:szCs w:val="21"/>
                      <w:highlight w:val="none"/>
                    </w:rPr>
                  </w:pPr>
                </w:p>
              </w:tc>
              <w:tc>
                <w:tcPr>
                  <w:tcW w:w="1038" w:type="dxa"/>
                  <w:vMerge w:val="restart"/>
                  <w:tcBorders>
                    <w:tl2br w:val="nil"/>
                    <w:tr2bl w:val="nil"/>
                  </w:tcBorders>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生产过程</w:t>
                  </w:r>
                </w:p>
              </w:tc>
              <w:tc>
                <w:tcPr>
                  <w:tcW w:w="1319" w:type="dxa"/>
                  <w:tcBorders>
                    <w:tl2br w:val="nil"/>
                    <w:tr2bl w:val="nil"/>
                  </w:tcBorders>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bCs/>
                      <w:color w:val="auto"/>
                      <w:szCs w:val="21"/>
                      <w:highlight w:val="none"/>
                    </w:rPr>
                    <w:t>废润滑油</w:t>
                  </w:r>
                </w:p>
              </w:tc>
              <w:tc>
                <w:tcPr>
                  <w:tcW w:w="2185" w:type="dxa"/>
                  <w:vMerge w:val="restart"/>
                  <w:tcBorders>
                    <w:tl2br w:val="nil"/>
                    <w:tr2bl w:val="nil"/>
                  </w:tcBorders>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交由有危险废物资质的单位回收</w:t>
                  </w:r>
                </w:p>
              </w:tc>
              <w:tc>
                <w:tcPr>
                  <w:tcW w:w="3084" w:type="dxa"/>
                  <w:vMerge w:val="continue"/>
                  <w:tcBorders>
                    <w:tl2br w:val="nil"/>
                    <w:tr2bl w:val="nil"/>
                  </w:tcBorders>
                  <w:vAlign w:val="center"/>
                </w:tcPr>
                <w:p>
                  <w:pPr>
                    <w:rPr>
                      <w:rFonts w:ascii="Times New Roman" w:hAnsi="Times New Roman" w:eastAsia="宋体" w:cs="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jc w:val="center"/>
              </w:trPr>
              <w:tc>
                <w:tcPr>
                  <w:tcW w:w="650" w:type="dxa"/>
                  <w:vMerge w:val="continue"/>
                  <w:tcBorders>
                    <w:tl2br w:val="nil"/>
                    <w:tr2bl w:val="nil"/>
                  </w:tcBorders>
                  <w:vAlign w:val="center"/>
                </w:tcPr>
                <w:p>
                  <w:pPr>
                    <w:jc w:val="center"/>
                    <w:rPr>
                      <w:rFonts w:ascii="Times New Roman" w:hAnsi="Times New Roman" w:eastAsia="宋体" w:cs="Times New Roman"/>
                      <w:color w:val="auto"/>
                      <w:szCs w:val="21"/>
                      <w:highlight w:val="none"/>
                    </w:rPr>
                  </w:pPr>
                </w:p>
              </w:tc>
              <w:tc>
                <w:tcPr>
                  <w:tcW w:w="1038" w:type="dxa"/>
                  <w:vMerge w:val="continue"/>
                  <w:tcBorders>
                    <w:tl2br w:val="nil"/>
                    <w:tr2bl w:val="nil"/>
                  </w:tcBorders>
                  <w:vAlign w:val="center"/>
                </w:tcPr>
                <w:p>
                  <w:pPr>
                    <w:jc w:val="center"/>
                    <w:rPr>
                      <w:rFonts w:ascii="Times New Roman" w:hAnsi="Times New Roman" w:eastAsia="宋体" w:cs="Times New Roman"/>
                      <w:color w:val="auto"/>
                      <w:szCs w:val="21"/>
                      <w:highlight w:val="none"/>
                    </w:rPr>
                  </w:pPr>
                </w:p>
              </w:tc>
              <w:tc>
                <w:tcPr>
                  <w:tcW w:w="1319" w:type="dxa"/>
                  <w:tcBorders>
                    <w:tl2br w:val="nil"/>
                    <w:tr2bl w:val="nil"/>
                  </w:tcBorders>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bCs/>
                      <w:color w:val="auto"/>
                      <w:szCs w:val="21"/>
                      <w:highlight w:val="none"/>
                    </w:rPr>
                    <w:t>含油废抹布</w:t>
                  </w:r>
                </w:p>
              </w:tc>
              <w:tc>
                <w:tcPr>
                  <w:tcW w:w="2185" w:type="dxa"/>
                  <w:vMerge w:val="continue"/>
                  <w:tcBorders>
                    <w:tl2br w:val="nil"/>
                    <w:tr2bl w:val="nil"/>
                  </w:tcBorders>
                  <w:vAlign w:val="center"/>
                </w:tcPr>
                <w:p>
                  <w:pPr>
                    <w:jc w:val="center"/>
                    <w:rPr>
                      <w:rFonts w:ascii="Times New Roman" w:hAnsi="Times New Roman" w:eastAsia="宋体" w:cs="Times New Roman"/>
                      <w:color w:val="auto"/>
                      <w:szCs w:val="21"/>
                      <w:highlight w:val="none"/>
                    </w:rPr>
                  </w:pPr>
                </w:p>
              </w:tc>
              <w:tc>
                <w:tcPr>
                  <w:tcW w:w="3084" w:type="dxa"/>
                  <w:vMerge w:val="continue"/>
                  <w:tcBorders>
                    <w:tl2br w:val="nil"/>
                    <w:tr2bl w:val="nil"/>
                  </w:tcBorders>
                  <w:vAlign w:val="center"/>
                </w:tcPr>
                <w:p>
                  <w:pPr>
                    <w:rPr>
                      <w:rFonts w:ascii="Times New Roman" w:hAnsi="Times New Roman" w:eastAsia="宋体" w:cs="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88" w:hRule="atLeast"/>
                <w:jc w:val="center"/>
              </w:trPr>
              <w:tc>
                <w:tcPr>
                  <w:tcW w:w="650" w:type="dxa"/>
                  <w:vMerge w:val="continue"/>
                  <w:tcBorders>
                    <w:tl2br w:val="nil"/>
                    <w:tr2bl w:val="nil"/>
                  </w:tcBorders>
                  <w:vAlign w:val="center"/>
                </w:tcPr>
                <w:p>
                  <w:pPr>
                    <w:jc w:val="center"/>
                    <w:rPr>
                      <w:rFonts w:ascii="Times New Roman" w:hAnsi="Times New Roman" w:eastAsia="宋体" w:cs="Times New Roman"/>
                      <w:color w:val="auto"/>
                      <w:szCs w:val="21"/>
                      <w:highlight w:val="none"/>
                    </w:rPr>
                  </w:pPr>
                </w:p>
              </w:tc>
              <w:tc>
                <w:tcPr>
                  <w:tcW w:w="1038" w:type="dxa"/>
                  <w:tcBorders>
                    <w:tl2br w:val="nil"/>
                    <w:tr2bl w:val="nil"/>
                  </w:tcBorders>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废气治理</w:t>
                  </w:r>
                </w:p>
              </w:tc>
              <w:tc>
                <w:tcPr>
                  <w:tcW w:w="1319" w:type="dxa"/>
                  <w:tcBorders>
                    <w:tl2br w:val="nil"/>
                    <w:tr2bl w:val="nil"/>
                  </w:tcBorders>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bCs/>
                      <w:color w:val="auto"/>
                      <w:szCs w:val="21"/>
                      <w:highlight w:val="none"/>
                    </w:rPr>
                    <w:t>废UV光管</w:t>
                  </w:r>
                  <w:r>
                    <w:rPr>
                      <w:rFonts w:hint="eastAsia" w:ascii="Times New Roman" w:hAnsi="Times New Roman" w:eastAsia="宋体" w:cs="Times New Roman"/>
                      <w:bCs/>
                      <w:color w:val="auto"/>
                      <w:szCs w:val="21"/>
                      <w:highlight w:val="none"/>
                    </w:rPr>
                    <w:t>、废活性炭</w:t>
                  </w:r>
                </w:p>
              </w:tc>
              <w:tc>
                <w:tcPr>
                  <w:tcW w:w="2185" w:type="dxa"/>
                  <w:vMerge w:val="continue"/>
                  <w:tcBorders>
                    <w:tl2br w:val="nil"/>
                    <w:tr2bl w:val="nil"/>
                  </w:tcBorders>
                  <w:vAlign w:val="center"/>
                </w:tcPr>
                <w:p>
                  <w:pPr>
                    <w:jc w:val="center"/>
                    <w:rPr>
                      <w:rFonts w:ascii="Times New Roman" w:hAnsi="Times New Roman" w:eastAsia="宋体" w:cs="Times New Roman"/>
                      <w:color w:val="auto"/>
                      <w:szCs w:val="21"/>
                      <w:highlight w:val="none"/>
                    </w:rPr>
                  </w:pPr>
                </w:p>
              </w:tc>
              <w:tc>
                <w:tcPr>
                  <w:tcW w:w="3084" w:type="dxa"/>
                  <w:vMerge w:val="continue"/>
                  <w:tcBorders>
                    <w:tl2br w:val="nil"/>
                    <w:tr2bl w:val="nil"/>
                  </w:tcBorders>
                  <w:vAlign w:val="center"/>
                </w:tcPr>
                <w:p>
                  <w:pPr>
                    <w:rPr>
                      <w:rFonts w:ascii="Times New Roman" w:hAnsi="Times New Roman" w:eastAsia="宋体" w:cs="Times New Roman"/>
                      <w:color w:val="auto"/>
                      <w:szCs w:val="21"/>
                      <w:highlight w:val="none"/>
                    </w:rPr>
                  </w:pPr>
                </w:p>
              </w:tc>
            </w:tr>
          </w:tbl>
          <w:p>
            <w:pPr>
              <w:spacing w:line="360" w:lineRule="auto"/>
              <w:ind w:firstLine="482" w:firstLineChars="200"/>
              <w:rPr>
                <w:rFonts w:ascii="Times New Roman" w:hAnsi="Times New Roman" w:eastAsia="宋体" w:cs="Times New Roman"/>
                <w:b/>
                <w:color w:val="auto"/>
                <w:sz w:val="24"/>
                <w:highlight w:val="none"/>
              </w:rPr>
            </w:pPr>
            <w:r>
              <w:rPr>
                <w:rFonts w:hint="eastAsia" w:ascii="Times New Roman" w:hAnsi="Times New Roman" w:eastAsia="宋体" w:cs="Times New Roman"/>
                <w:b/>
                <w:color w:val="auto"/>
                <w:sz w:val="24"/>
                <w:highlight w:val="none"/>
              </w:rPr>
              <w:t>7</w:t>
            </w:r>
            <w:r>
              <w:rPr>
                <w:rFonts w:ascii="Times New Roman" w:hAnsi="Times New Roman" w:eastAsia="宋体" w:cs="Times New Roman"/>
                <w:b/>
                <w:color w:val="auto"/>
                <w:sz w:val="24"/>
                <w:highlight w:val="none"/>
              </w:rPr>
              <w:t xml:space="preserve"> 、项目环保投资估算</w:t>
            </w:r>
          </w:p>
          <w:p>
            <w:pPr>
              <w:spacing w:line="360" w:lineRule="auto"/>
              <w:ind w:firstLine="480" w:firstLineChars="200"/>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 xml:space="preserve">项目名称总投资150万元，其中环保投资20万元，约占总投资的13%，主要用于废气处理、降噪设施、危险废物等建设及处理。各项环保设施落实后，可使废水、废气、噪声达标排放，不会对周边环境造成不良影响，达到良好的环境效益。因此，各环保设施在经济上可行。环保投资估算见下表所示。 </w:t>
            </w:r>
          </w:p>
          <w:p>
            <w:pPr>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 xml:space="preserve">表 </w:t>
            </w:r>
            <w:r>
              <w:rPr>
                <w:rFonts w:hint="eastAsia" w:ascii="Times New Roman" w:hAnsi="Times New Roman" w:eastAsia="宋体" w:cs="Times New Roman"/>
                <w:b/>
                <w:color w:val="auto"/>
                <w:szCs w:val="21"/>
                <w:highlight w:val="none"/>
              </w:rPr>
              <w:t>7-1</w:t>
            </w:r>
            <w:r>
              <w:rPr>
                <w:rFonts w:ascii="Times New Roman" w:hAnsi="Times New Roman" w:eastAsia="宋体" w:cs="Times New Roman"/>
                <w:b/>
                <w:color w:val="auto"/>
                <w:szCs w:val="21"/>
                <w:highlight w:val="none"/>
              </w:rPr>
              <w:t>7环保投资估算表</w:t>
            </w:r>
          </w:p>
          <w:tbl>
            <w:tblPr>
              <w:tblStyle w:val="22"/>
              <w:tblW w:w="8276"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91"/>
              <w:gridCol w:w="2165"/>
              <w:gridCol w:w="4289"/>
              <w:gridCol w:w="113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691" w:type="dxa"/>
                  <w:vAlign w:val="center"/>
                </w:tcPr>
                <w:p>
                  <w:pPr>
                    <w:pStyle w:val="36"/>
                    <w:rPr>
                      <w:rFonts w:ascii="Times New Roman" w:hAnsi="Times New Roman" w:cs="Times New Roman"/>
                      <w:b/>
                      <w:bCs/>
                      <w:color w:val="auto"/>
                      <w:highlight w:val="none"/>
                    </w:rPr>
                  </w:pPr>
                  <w:r>
                    <w:rPr>
                      <w:rFonts w:ascii="Times New Roman" w:hAnsi="Times New Roman" w:cs="Times New Roman"/>
                      <w:b/>
                      <w:bCs/>
                      <w:color w:val="auto"/>
                      <w:highlight w:val="none"/>
                    </w:rPr>
                    <w:t>序号</w:t>
                  </w:r>
                </w:p>
              </w:tc>
              <w:tc>
                <w:tcPr>
                  <w:tcW w:w="2165" w:type="dxa"/>
                  <w:vAlign w:val="center"/>
                </w:tcPr>
                <w:p>
                  <w:pPr>
                    <w:pStyle w:val="36"/>
                    <w:rPr>
                      <w:rFonts w:ascii="Times New Roman" w:hAnsi="Times New Roman" w:cs="Times New Roman"/>
                      <w:b/>
                      <w:bCs/>
                      <w:color w:val="auto"/>
                      <w:highlight w:val="none"/>
                    </w:rPr>
                  </w:pPr>
                  <w:r>
                    <w:rPr>
                      <w:rFonts w:ascii="Times New Roman" w:hAnsi="Times New Roman" w:cs="Times New Roman"/>
                      <w:b/>
                      <w:bCs/>
                      <w:color w:val="auto"/>
                      <w:highlight w:val="none"/>
                    </w:rPr>
                    <w:t>污染源</w:t>
                  </w:r>
                </w:p>
              </w:tc>
              <w:tc>
                <w:tcPr>
                  <w:tcW w:w="4289" w:type="dxa"/>
                  <w:vAlign w:val="center"/>
                </w:tcPr>
                <w:p>
                  <w:pPr>
                    <w:pStyle w:val="36"/>
                    <w:rPr>
                      <w:rFonts w:ascii="Times New Roman" w:hAnsi="Times New Roman" w:cs="Times New Roman"/>
                      <w:b/>
                      <w:bCs/>
                      <w:color w:val="auto"/>
                      <w:highlight w:val="none"/>
                    </w:rPr>
                  </w:pPr>
                  <w:r>
                    <w:rPr>
                      <w:rFonts w:ascii="Times New Roman" w:hAnsi="Times New Roman" w:cs="Times New Roman"/>
                      <w:b/>
                      <w:bCs/>
                      <w:color w:val="auto"/>
                      <w:highlight w:val="none"/>
                    </w:rPr>
                    <w:t>主要环保措施或生态保护内容</w:t>
                  </w:r>
                </w:p>
              </w:tc>
              <w:tc>
                <w:tcPr>
                  <w:tcW w:w="1131" w:type="dxa"/>
                  <w:vAlign w:val="center"/>
                </w:tcPr>
                <w:p>
                  <w:pPr>
                    <w:pStyle w:val="36"/>
                    <w:rPr>
                      <w:rFonts w:ascii="Times New Roman" w:hAnsi="Times New Roman" w:cs="Times New Roman"/>
                      <w:b/>
                      <w:bCs/>
                      <w:color w:val="auto"/>
                      <w:highlight w:val="none"/>
                    </w:rPr>
                  </w:pPr>
                  <w:r>
                    <w:rPr>
                      <w:rFonts w:ascii="Times New Roman" w:hAnsi="Times New Roman" w:cs="Times New Roman"/>
                      <w:b/>
                      <w:bCs/>
                      <w:color w:val="auto"/>
                      <w:highlight w:val="none"/>
                    </w:rPr>
                    <w:t>投资</w:t>
                  </w:r>
                </w:p>
                <w:p>
                  <w:pPr>
                    <w:pStyle w:val="36"/>
                    <w:rPr>
                      <w:rFonts w:ascii="Times New Roman" w:hAnsi="Times New Roman" w:cs="Times New Roman"/>
                      <w:b/>
                      <w:bCs/>
                      <w:color w:val="auto"/>
                      <w:highlight w:val="none"/>
                    </w:rPr>
                  </w:pPr>
                  <w:r>
                    <w:rPr>
                      <w:rFonts w:ascii="Times New Roman" w:hAnsi="Times New Roman" w:cs="Times New Roman"/>
                      <w:b/>
                      <w:bCs/>
                      <w:color w:val="auto"/>
                      <w:highlight w:val="none"/>
                    </w:rPr>
                    <w:t>（万元）</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691" w:type="dxa"/>
                  <w:vAlign w:val="center"/>
                </w:tcPr>
                <w:p>
                  <w:pPr>
                    <w:pStyle w:val="36"/>
                    <w:rPr>
                      <w:rFonts w:ascii="Times New Roman" w:hAnsi="Times New Roman" w:cs="Times New Roman"/>
                      <w:color w:val="auto"/>
                      <w:highlight w:val="none"/>
                    </w:rPr>
                  </w:pPr>
                  <w:r>
                    <w:rPr>
                      <w:rFonts w:ascii="Times New Roman" w:hAnsi="Times New Roman" w:cs="Times New Roman"/>
                      <w:color w:val="auto"/>
                      <w:highlight w:val="none"/>
                    </w:rPr>
                    <w:t>1</w:t>
                  </w:r>
                </w:p>
              </w:tc>
              <w:tc>
                <w:tcPr>
                  <w:tcW w:w="2165" w:type="dxa"/>
                  <w:vAlign w:val="center"/>
                </w:tcPr>
                <w:p>
                  <w:pPr>
                    <w:pStyle w:val="36"/>
                    <w:rPr>
                      <w:rFonts w:ascii="Times New Roman" w:hAnsi="Times New Roman" w:cs="Times New Roman"/>
                      <w:color w:val="auto"/>
                      <w:highlight w:val="none"/>
                    </w:rPr>
                  </w:pPr>
                  <w:r>
                    <w:rPr>
                      <w:rFonts w:ascii="Times New Roman" w:hAnsi="Times New Roman" w:cs="Times New Roman"/>
                      <w:color w:val="auto"/>
                      <w:highlight w:val="none"/>
                    </w:rPr>
                    <w:t>生活污水</w:t>
                  </w:r>
                </w:p>
              </w:tc>
              <w:tc>
                <w:tcPr>
                  <w:tcW w:w="4289" w:type="dxa"/>
                  <w:vAlign w:val="center"/>
                </w:tcPr>
                <w:p>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依托开平裕进纺织厂有限公司的污水站</w:t>
                  </w:r>
                </w:p>
              </w:tc>
              <w:tc>
                <w:tcPr>
                  <w:tcW w:w="1131" w:type="dxa"/>
                  <w:vAlign w:val="center"/>
                </w:tcPr>
                <w:p>
                  <w:pPr>
                    <w:adjustRightInd w:val="0"/>
                    <w:snapToGrid w:val="0"/>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18" w:hRule="atLeast"/>
                <w:jc w:val="center"/>
              </w:trPr>
              <w:tc>
                <w:tcPr>
                  <w:tcW w:w="691" w:type="dxa"/>
                  <w:vAlign w:val="center"/>
                </w:tcPr>
                <w:p>
                  <w:pPr>
                    <w:pStyle w:val="36"/>
                    <w:rPr>
                      <w:rFonts w:ascii="Times New Roman" w:hAnsi="Times New Roman" w:cs="Times New Roman"/>
                      <w:color w:val="auto"/>
                      <w:highlight w:val="none"/>
                    </w:rPr>
                  </w:pPr>
                  <w:r>
                    <w:rPr>
                      <w:rFonts w:ascii="Times New Roman" w:hAnsi="Times New Roman" w:cs="Times New Roman"/>
                      <w:color w:val="auto"/>
                      <w:highlight w:val="none"/>
                    </w:rPr>
                    <w:t>2</w:t>
                  </w:r>
                </w:p>
              </w:tc>
              <w:tc>
                <w:tcPr>
                  <w:tcW w:w="2165" w:type="dxa"/>
                  <w:vAlign w:val="center"/>
                </w:tcPr>
                <w:p>
                  <w:pPr>
                    <w:adjustRightIn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发泡废气</w:t>
                  </w:r>
                </w:p>
              </w:tc>
              <w:tc>
                <w:tcPr>
                  <w:tcW w:w="4289" w:type="dxa"/>
                  <w:vAlign w:val="center"/>
                </w:tcPr>
                <w:p>
                  <w:pPr>
                    <w:adjustRightIn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集气罩收集经</w:t>
                  </w:r>
                  <w:r>
                    <w:rPr>
                      <w:rFonts w:hint="eastAsia" w:ascii="Times New Roman" w:hAnsi="Times New Roman" w:cs="Times New Roman"/>
                      <w:color w:val="auto"/>
                      <w:szCs w:val="21"/>
                      <w:highlight w:val="none"/>
                    </w:rPr>
                    <w:t>“水雾分离器+UV光解+活性炭吸附”</w:t>
                  </w:r>
                  <w:r>
                    <w:rPr>
                      <w:rFonts w:ascii="Times New Roman" w:hAnsi="Times New Roman" w:cs="Times New Roman"/>
                      <w:color w:val="auto"/>
                      <w:szCs w:val="21"/>
                      <w:highlight w:val="none"/>
                    </w:rPr>
                    <w:t>处理后高空排放</w:t>
                  </w:r>
                </w:p>
              </w:tc>
              <w:tc>
                <w:tcPr>
                  <w:tcW w:w="1131" w:type="dxa"/>
                  <w:vAlign w:val="center"/>
                </w:tcPr>
                <w:p>
                  <w:pPr>
                    <w:adjustRightInd w:val="0"/>
                    <w:snapToGrid w:val="0"/>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37" w:hRule="atLeast"/>
                <w:jc w:val="center"/>
              </w:trPr>
              <w:tc>
                <w:tcPr>
                  <w:tcW w:w="691" w:type="dxa"/>
                  <w:vAlign w:val="center"/>
                </w:tcPr>
                <w:p>
                  <w:pPr>
                    <w:pStyle w:val="36"/>
                    <w:rPr>
                      <w:rFonts w:ascii="Times New Roman" w:hAnsi="Times New Roman" w:cs="Times New Roman"/>
                      <w:color w:val="auto"/>
                      <w:highlight w:val="none"/>
                    </w:rPr>
                  </w:pPr>
                  <w:r>
                    <w:rPr>
                      <w:rFonts w:ascii="Times New Roman" w:hAnsi="Times New Roman" w:cs="Times New Roman"/>
                      <w:color w:val="auto"/>
                      <w:highlight w:val="none"/>
                    </w:rPr>
                    <w:t>3</w:t>
                  </w:r>
                </w:p>
              </w:tc>
              <w:tc>
                <w:tcPr>
                  <w:tcW w:w="2165" w:type="dxa"/>
                  <w:vAlign w:val="center"/>
                </w:tcPr>
                <w:p>
                  <w:pPr>
                    <w:adjustRightIn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饭堂油烟</w:t>
                  </w:r>
                </w:p>
              </w:tc>
              <w:tc>
                <w:tcPr>
                  <w:tcW w:w="4289" w:type="dxa"/>
                  <w:vAlign w:val="center"/>
                </w:tcPr>
                <w:p>
                  <w:pPr>
                    <w:adjustRightIn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静电油烟</w:t>
                  </w:r>
                </w:p>
              </w:tc>
              <w:tc>
                <w:tcPr>
                  <w:tcW w:w="1131" w:type="dxa"/>
                  <w:vAlign w:val="center"/>
                </w:tcPr>
                <w:p>
                  <w:pPr>
                    <w:adjustRightInd w:val="0"/>
                    <w:snapToGrid w:val="0"/>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691" w:type="dxa"/>
                  <w:vMerge w:val="restart"/>
                  <w:vAlign w:val="center"/>
                </w:tcPr>
                <w:p>
                  <w:pPr>
                    <w:pStyle w:val="36"/>
                    <w:rPr>
                      <w:rFonts w:ascii="Times New Roman" w:hAnsi="Times New Roman" w:cs="Times New Roman"/>
                      <w:color w:val="auto"/>
                      <w:highlight w:val="none"/>
                    </w:rPr>
                  </w:pPr>
                  <w:r>
                    <w:rPr>
                      <w:rFonts w:ascii="Times New Roman" w:hAnsi="Times New Roman" w:cs="Times New Roman"/>
                      <w:color w:val="auto"/>
                      <w:highlight w:val="none"/>
                    </w:rPr>
                    <w:t>4</w:t>
                  </w:r>
                </w:p>
              </w:tc>
              <w:tc>
                <w:tcPr>
                  <w:tcW w:w="2165" w:type="dxa"/>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一般固体废物</w:t>
                  </w:r>
                </w:p>
              </w:tc>
              <w:tc>
                <w:tcPr>
                  <w:tcW w:w="4289" w:type="dxa"/>
                  <w:vAlign w:val="center"/>
                </w:tcPr>
                <w:p>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交专业公司回收处理</w:t>
                  </w:r>
                </w:p>
              </w:tc>
              <w:tc>
                <w:tcPr>
                  <w:tcW w:w="1131" w:type="dxa"/>
                  <w:vAlign w:val="center"/>
                </w:tcPr>
                <w:p>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691" w:type="dxa"/>
                  <w:vMerge w:val="continue"/>
                  <w:vAlign w:val="center"/>
                </w:tcPr>
                <w:p>
                  <w:pPr>
                    <w:pStyle w:val="36"/>
                    <w:ind w:firstLine="440"/>
                    <w:rPr>
                      <w:rFonts w:ascii="Times New Roman" w:hAnsi="Times New Roman" w:cs="Times New Roman"/>
                      <w:color w:val="auto"/>
                      <w:highlight w:val="none"/>
                    </w:rPr>
                  </w:pPr>
                </w:p>
              </w:tc>
              <w:tc>
                <w:tcPr>
                  <w:tcW w:w="2165" w:type="dxa"/>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生活垃圾</w:t>
                  </w:r>
                </w:p>
              </w:tc>
              <w:tc>
                <w:tcPr>
                  <w:tcW w:w="4289" w:type="dxa"/>
                  <w:vAlign w:val="center"/>
                </w:tcPr>
                <w:p>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固体废物收集设施（垃圾桶等）</w:t>
                  </w:r>
                </w:p>
              </w:tc>
              <w:tc>
                <w:tcPr>
                  <w:tcW w:w="1131" w:type="dxa"/>
                  <w:vAlign w:val="center"/>
                </w:tcPr>
                <w:p>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691" w:type="dxa"/>
                  <w:vMerge w:val="continue"/>
                  <w:vAlign w:val="center"/>
                </w:tcPr>
                <w:p>
                  <w:pPr>
                    <w:pStyle w:val="36"/>
                    <w:ind w:firstLine="440"/>
                    <w:rPr>
                      <w:rFonts w:ascii="Times New Roman" w:hAnsi="Times New Roman" w:cs="Times New Roman"/>
                      <w:color w:val="auto"/>
                      <w:highlight w:val="none"/>
                    </w:rPr>
                  </w:pPr>
                </w:p>
              </w:tc>
              <w:tc>
                <w:tcPr>
                  <w:tcW w:w="2165" w:type="dxa"/>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危险废物</w:t>
                  </w:r>
                </w:p>
              </w:tc>
              <w:tc>
                <w:tcPr>
                  <w:tcW w:w="4289" w:type="dxa"/>
                  <w:vAlign w:val="center"/>
                </w:tcPr>
                <w:p>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危险废物收集设施（储物桶等）</w:t>
                  </w:r>
                </w:p>
              </w:tc>
              <w:tc>
                <w:tcPr>
                  <w:tcW w:w="1131" w:type="dxa"/>
                  <w:vAlign w:val="center"/>
                </w:tcPr>
                <w:p>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691" w:type="dxa"/>
                  <w:vAlign w:val="center"/>
                </w:tcPr>
                <w:p>
                  <w:pPr>
                    <w:pStyle w:val="36"/>
                    <w:rPr>
                      <w:rFonts w:ascii="Times New Roman" w:hAnsi="Times New Roman" w:cs="Times New Roman"/>
                      <w:color w:val="auto"/>
                      <w:highlight w:val="none"/>
                    </w:rPr>
                  </w:pPr>
                  <w:r>
                    <w:rPr>
                      <w:rFonts w:ascii="Times New Roman" w:hAnsi="Times New Roman" w:cs="Times New Roman"/>
                      <w:color w:val="auto"/>
                      <w:highlight w:val="none"/>
                    </w:rPr>
                    <w:t>5</w:t>
                  </w:r>
                </w:p>
              </w:tc>
              <w:tc>
                <w:tcPr>
                  <w:tcW w:w="2165" w:type="dxa"/>
                  <w:vAlign w:val="center"/>
                </w:tcPr>
                <w:p>
                  <w:pPr>
                    <w:pStyle w:val="36"/>
                    <w:rPr>
                      <w:rFonts w:ascii="Times New Roman" w:hAnsi="Times New Roman" w:cs="Times New Roman"/>
                      <w:color w:val="auto"/>
                      <w:highlight w:val="none"/>
                    </w:rPr>
                  </w:pPr>
                  <w:r>
                    <w:rPr>
                      <w:rFonts w:ascii="Times New Roman" w:hAnsi="Times New Roman" w:cs="Times New Roman"/>
                      <w:color w:val="auto"/>
                      <w:highlight w:val="none"/>
                    </w:rPr>
                    <w:t>噪声</w:t>
                  </w:r>
                </w:p>
              </w:tc>
              <w:tc>
                <w:tcPr>
                  <w:tcW w:w="4289" w:type="dxa"/>
                  <w:vAlign w:val="center"/>
                </w:tcPr>
                <w:p>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生产设备 隔声、吸声、减震等措施</w:t>
                  </w:r>
                </w:p>
              </w:tc>
              <w:tc>
                <w:tcPr>
                  <w:tcW w:w="1131" w:type="dxa"/>
                  <w:vAlign w:val="center"/>
                </w:tcPr>
                <w:p>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2856" w:type="dxa"/>
                  <w:gridSpan w:val="2"/>
                  <w:vAlign w:val="center"/>
                </w:tcPr>
                <w:p>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总计</w:t>
                  </w:r>
                </w:p>
              </w:tc>
              <w:tc>
                <w:tcPr>
                  <w:tcW w:w="4289" w:type="dxa"/>
                  <w:vAlign w:val="center"/>
                </w:tcPr>
                <w:p>
                  <w:pPr>
                    <w:adjustRightInd w:val="0"/>
                    <w:snapToGrid w:val="0"/>
                    <w:ind w:firstLine="44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w:t>
                  </w:r>
                </w:p>
              </w:tc>
              <w:tc>
                <w:tcPr>
                  <w:tcW w:w="1131" w:type="dxa"/>
                  <w:vAlign w:val="center"/>
                </w:tcPr>
                <w:p>
                  <w:pPr>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20</w:t>
                  </w:r>
                </w:p>
              </w:tc>
            </w:tr>
          </w:tbl>
          <w:p>
            <w:pPr>
              <w:pStyle w:val="10"/>
              <w:ind w:firstLine="502"/>
              <w:rPr>
                <w:rFonts w:ascii="Times New Roman" w:hAnsi="Times New Roman" w:cs="Times New Roman"/>
                <w:b/>
                <w:bCs/>
                <w:color w:val="auto"/>
                <w:sz w:val="24"/>
                <w:highlight w:val="none"/>
              </w:rPr>
            </w:pPr>
            <w:r>
              <w:rPr>
                <w:rFonts w:hint="eastAsia" w:ascii="Times New Roman" w:hAnsi="Times New Roman" w:cs="Times New Roman"/>
                <w:b/>
                <w:bCs/>
                <w:color w:val="auto"/>
                <w:sz w:val="24"/>
                <w:highlight w:val="none"/>
              </w:rPr>
              <w:t>8</w:t>
            </w:r>
            <w:r>
              <w:rPr>
                <w:rFonts w:ascii="Times New Roman" w:hAnsi="Times New Roman" w:cs="Times New Roman"/>
                <w:b/>
                <w:bCs/>
                <w:color w:val="auto"/>
                <w:sz w:val="24"/>
                <w:highlight w:val="none"/>
              </w:rPr>
              <w:t>、清洁生产</w:t>
            </w:r>
          </w:p>
          <w:p>
            <w:pPr>
              <w:pStyle w:val="24"/>
              <w:snapToGrid w:val="0"/>
              <w:spacing w:line="360" w:lineRule="auto"/>
              <w:ind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推行清洁生产，不但可以减少污染，而且可以提高产量。为使项目达到国内清洁生产基本水平，实现可持续发展战略，控制污染，推行清洁生产势在必行。</w:t>
            </w:r>
          </w:p>
          <w:p>
            <w:pPr>
              <w:pStyle w:val="24"/>
              <w:snapToGrid w:val="0"/>
              <w:spacing w:line="360" w:lineRule="auto"/>
              <w:ind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根据建设单位拟建项目的实际情况，项目拟采取的清洁生产措施如下：</w:t>
            </w:r>
          </w:p>
          <w:p>
            <w:pPr>
              <w:pStyle w:val="24"/>
              <w:snapToGrid w:val="0"/>
              <w:spacing w:line="360" w:lineRule="auto"/>
              <w:ind w:firstLine="482" w:firstLineChars="200"/>
              <w:jc w:val="both"/>
              <w:rPr>
                <w:rFonts w:ascii="Times New Roman" w:hAnsi="Times New Roman" w:cs="Times New Roman"/>
                <w:color w:val="auto"/>
                <w:highlight w:val="none"/>
              </w:rPr>
            </w:pPr>
            <w:r>
              <w:rPr>
                <w:rFonts w:ascii="Times New Roman" w:hAnsi="Times New Roman" w:cs="Times New Roman"/>
                <w:b/>
                <w:bCs/>
                <w:color w:val="auto"/>
                <w:highlight w:val="none"/>
              </w:rPr>
              <w:t>①生产环节：</w:t>
            </w:r>
            <w:r>
              <w:rPr>
                <w:rFonts w:ascii="Times New Roman" w:hAnsi="Times New Roman" w:cs="Times New Roman"/>
                <w:color w:val="auto"/>
                <w:highlight w:val="none"/>
              </w:rPr>
              <w:t>项目属于塑料制品业，产品为泡沫包装产品。通过加强设备的维护、提高设备完好率；积极推行优化节能措施；提高自动化操作水平。</w:t>
            </w:r>
          </w:p>
          <w:p>
            <w:pPr>
              <w:pStyle w:val="24"/>
              <w:snapToGrid w:val="0"/>
              <w:spacing w:line="360" w:lineRule="auto"/>
              <w:ind w:firstLine="482" w:firstLineChars="200"/>
              <w:jc w:val="both"/>
              <w:rPr>
                <w:rFonts w:ascii="Times New Roman" w:hAnsi="Times New Roman" w:cs="Times New Roman"/>
                <w:color w:val="auto"/>
                <w:highlight w:val="none"/>
              </w:rPr>
            </w:pPr>
            <w:r>
              <w:rPr>
                <w:rFonts w:ascii="Times New Roman" w:hAnsi="Times New Roman" w:cs="Times New Roman"/>
                <w:b/>
                <w:bCs/>
                <w:color w:val="auto"/>
                <w:highlight w:val="none"/>
              </w:rPr>
              <w:t>②污染物产生环节：</w:t>
            </w:r>
            <w:r>
              <w:rPr>
                <w:rFonts w:ascii="Times New Roman" w:hAnsi="Times New Roman" w:cs="Times New Roman"/>
                <w:color w:val="auto"/>
                <w:highlight w:val="none"/>
              </w:rPr>
              <w:t>项目拟将生产废气设置集气装置对其进行收集后引至</w:t>
            </w:r>
            <w:r>
              <w:rPr>
                <w:rFonts w:hint="eastAsia" w:ascii="Times New Roman" w:hAnsi="Times New Roman" w:cs="Times New Roman"/>
                <w:color w:val="auto"/>
                <w:highlight w:val="none"/>
              </w:rPr>
              <w:t>“水雾分离器+UV光解+活性炭吸附”</w:t>
            </w:r>
            <w:r>
              <w:rPr>
                <w:rFonts w:ascii="Times New Roman" w:hAnsi="Times New Roman" w:cs="Times New Roman"/>
                <w:color w:val="auto"/>
                <w:highlight w:val="none"/>
              </w:rPr>
              <w:t>处理后（处理效率为80%）15m高空排放。加强员工培训，增强员工操作水平及环保意识，以减少污染物较少。</w:t>
            </w:r>
          </w:p>
          <w:p>
            <w:pPr>
              <w:pStyle w:val="24"/>
              <w:snapToGrid w:val="0"/>
              <w:spacing w:line="360" w:lineRule="auto"/>
              <w:ind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为进一步提高项目清洁生产水平，建议项目采取措施：</w:t>
            </w:r>
          </w:p>
          <w:p>
            <w:pPr>
              <w:pStyle w:val="24"/>
              <w:snapToGrid w:val="0"/>
              <w:spacing w:line="360" w:lineRule="auto"/>
              <w:ind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①产品包装环节：选用环保包装材料，尽量使用可回收利用的包装材料，避免二次污染。</w:t>
            </w:r>
          </w:p>
          <w:p>
            <w:pPr>
              <w:pStyle w:val="24"/>
              <w:snapToGrid w:val="0"/>
              <w:spacing w:line="360" w:lineRule="auto"/>
              <w:ind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②环境管理要求：要项目对产生的工业固废、生活垃圾等进行分类处理储存，建议项目加强管理，提高员工的总体素质，严格规范员工操作水平。</w:t>
            </w:r>
          </w:p>
          <w:p>
            <w:pPr>
              <w:pStyle w:val="24"/>
              <w:snapToGrid w:val="0"/>
              <w:spacing w:line="360" w:lineRule="auto"/>
              <w:ind w:firstLine="482" w:firstLineChars="200"/>
              <w:jc w:val="both"/>
              <w:rPr>
                <w:rFonts w:ascii="Times New Roman" w:hAnsi="Times New Roman" w:cs="Times New Roman"/>
                <w:b/>
                <w:bCs/>
                <w:color w:val="auto"/>
                <w:highlight w:val="none"/>
              </w:rPr>
            </w:pPr>
            <w:r>
              <w:rPr>
                <w:rFonts w:ascii="Times New Roman" w:hAnsi="Times New Roman" w:cs="Times New Roman"/>
                <w:b/>
                <w:bCs/>
                <w:color w:val="auto"/>
                <w:highlight w:val="none"/>
              </w:rPr>
              <w:t xml:space="preserve">  </w:t>
            </w:r>
            <w:r>
              <w:rPr>
                <w:rStyle w:val="21"/>
                <w:rFonts w:hint="eastAsia" w:ascii="Times New Roman" w:hAnsi="Times New Roman" w:cs="Times New Roman"/>
                <w:b/>
                <w:bCs/>
                <w:color w:val="auto"/>
                <w:kern w:val="2"/>
                <w:sz w:val="24"/>
                <w:szCs w:val="24"/>
                <w:highlight w:val="none"/>
              </w:rPr>
              <w:t>9</w:t>
            </w:r>
            <w:r>
              <w:rPr>
                <w:rStyle w:val="21"/>
                <w:rFonts w:ascii="Times New Roman" w:hAnsi="Times New Roman" w:cs="Times New Roman"/>
                <w:b/>
                <w:bCs/>
                <w:color w:val="auto"/>
                <w:kern w:val="2"/>
                <w:sz w:val="24"/>
                <w:szCs w:val="24"/>
                <w:highlight w:val="none"/>
              </w:rPr>
              <w:t>、环境风险分析</w:t>
            </w:r>
          </w:p>
          <w:p>
            <w:pPr>
              <w:pStyle w:val="24"/>
              <w:spacing w:line="360" w:lineRule="auto"/>
              <w:ind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根据《建设项目环境风险评价技术导则》</w:t>
            </w:r>
            <w:r>
              <w:rPr>
                <w:rFonts w:hint="eastAsia" w:ascii="Times New Roman" w:hAnsi="Times New Roman" w:cs="Times New Roman"/>
                <w:color w:val="auto"/>
                <w:highlight w:val="none"/>
              </w:rPr>
              <w:t>（HJ169-2018），环境风险评价应以突发性事故的危险物质环境急性损害防控为目标，对建设项目的环境风险进行分析、预测和评估，提出环境风险预防、控制、减缓措施，明确环境风险监控及应急建议要求，为建设项目环境风险防控提供科学依据。</w:t>
            </w:r>
          </w:p>
          <w:p>
            <w:pPr>
              <w:spacing w:line="360" w:lineRule="auto"/>
              <w:ind w:firstLine="480"/>
              <w:rPr>
                <w:rFonts w:ascii="Calibri" w:hAnsi="Calibri" w:eastAsia="宋体" w:cs="Times New Roman"/>
                <w:b/>
                <w:color w:val="auto"/>
                <w:sz w:val="24"/>
                <w:highlight w:val="none"/>
              </w:rPr>
            </w:pPr>
            <w:r>
              <w:rPr>
                <w:rFonts w:ascii="Calibri" w:hAnsi="Calibri" w:eastAsia="宋体" w:cs="Times New Roman"/>
                <w:b/>
                <w:color w:val="auto"/>
                <w:sz w:val="24"/>
                <w:highlight w:val="none"/>
              </w:rPr>
              <w:t>（1）评价依据</w:t>
            </w:r>
          </w:p>
          <w:p>
            <w:pPr>
              <w:spacing w:line="360" w:lineRule="auto"/>
              <w:ind w:firstLine="480"/>
              <w:rPr>
                <w:rFonts w:ascii="Calibri" w:hAnsi="Calibri" w:eastAsia="宋体" w:cs="Times New Roman"/>
                <w:color w:val="auto"/>
                <w:sz w:val="24"/>
                <w:highlight w:val="none"/>
              </w:rPr>
            </w:pPr>
            <w:r>
              <w:rPr>
                <w:rFonts w:hint="eastAsia" w:ascii="宋体" w:hAnsi="宋体" w:eastAsia="宋体" w:cs="宋体"/>
                <w:color w:val="auto"/>
                <w:sz w:val="24"/>
                <w:highlight w:val="none"/>
              </w:rPr>
              <w:t>①</w:t>
            </w:r>
            <w:r>
              <w:rPr>
                <w:rFonts w:ascii="Calibri" w:hAnsi="Calibri" w:eastAsia="宋体" w:cs="Times New Roman"/>
                <w:color w:val="auto"/>
                <w:sz w:val="24"/>
                <w:highlight w:val="none"/>
              </w:rPr>
              <w:t>风险调查</w:t>
            </w:r>
          </w:p>
          <w:p>
            <w:pPr>
              <w:spacing w:line="360" w:lineRule="auto"/>
              <w:ind w:firstLine="480"/>
              <w:rPr>
                <w:rFonts w:ascii="Calibri" w:hAnsi="Calibri" w:eastAsia="宋体" w:cs="Times New Roman"/>
                <w:color w:val="auto"/>
                <w:sz w:val="24"/>
                <w:highlight w:val="none"/>
              </w:rPr>
            </w:pPr>
            <w:r>
              <w:rPr>
                <w:rFonts w:hint="eastAsia"/>
                <w:color w:val="auto"/>
                <w:sz w:val="24"/>
                <w:highlight w:val="none"/>
              </w:rPr>
              <w:t>本项目涉及的危险物质主要为EPS</w:t>
            </w:r>
            <w:r>
              <w:rPr>
                <w:rFonts w:hint="eastAsia" w:ascii="Calibri" w:hAnsi="Calibri" w:eastAsia="宋体" w:cs="Times New Roman"/>
                <w:color w:val="auto"/>
                <w:sz w:val="24"/>
                <w:highlight w:val="none"/>
              </w:rPr>
              <w:t>及废润滑油、含油废抹布、废UV光管、废活性炭等危险废物。危险物质数量和分布情况详见下表：</w:t>
            </w:r>
          </w:p>
          <w:p>
            <w:pPr>
              <w:pStyle w:val="24"/>
              <w:jc w:val="center"/>
              <w:rPr>
                <w:b/>
                <w:bCs/>
                <w:color w:val="auto"/>
                <w:sz w:val="21"/>
                <w:szCs w:val="21"/>
                <w:highlight w:val="none"/>
              </w:rPr>
            </w:pPr>
            <w:r>
              <w:rPr>
                <w:b/>
                <w:bCs/>
                <w:color w:val="auto"/>
                <w:sz w:val="21"/>
                <w:szCs w:val="21"/>
                <w:highlight w:val="none"/>
              </w:rPr>
              <w:t>表7-18 危险</w:t>
            </w:r>
            <w:r>
              <w:rPr>
                <w:rFonts w:hint="eastAsia"/>
                <w:b/>
                <w:bCs/>
                <w:color w:val="auto"/>
                <w:sz w:val="21"/>
                <w:szCs w:val="21"/>
                <w:highlight w:val="none"/>
              </w:rPr>
              <w:t>物质一览表</w:t>
            </w:r>
          </w:p>
          <w:tbl>
            <w:tblPr>
              <w:tblStyle w:val="23"/>
              <w:tblW w:w="8286"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83"/>
              <w:gridCol w:w="1914"/>
              <w:gridCol w:w="1435"/>
              <w:gridCol w:w="2295"/>
              <w:gridCol w:w="165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983" w:type="dxa"/>
                  <w:vAlign w:val="center"/>
                </w:tcPr>
                <w:p>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序号</w:t>
                  </w:r>
                </w:p>
              </w:tc>
              <w:tc>
                <w:tcPr>
                  <w:tcW w:w="1914" w:type="dxa"/>
                  <w:vAlign w:val="center"/>
                </w:tcPr>
                <w:p>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名称</w:t>
                  </w:r>
                </w:p>
              </w:tc>
              <w:tc>
                <w:tcPr>
                  <w:tcW w:w="1435" w:type="dxa"/>
                  <w:vAlign w:val="center"/>
                </w:tcPr>
                <w:p>
                  <w:pPr>
                    <w:jc w:val="center"/>
                    <w:rPr>
                      <w:rFonts w:ascii="Times New Roman" w:hAnsi="Times New Roman" w:cs="Times New Roman"/>
                      <w:b/>
                      <w:bCs/>
                      <w:color w:val="auto"/>
                      <w:szCs w:val="21"/>
                      <w:highlight w:val="none"/>
                    </w:rPr>
                  </w:pPr>
                  <w:r>
                    <w:rPr>
                      <w:rFonts w:hint="eastAsia" w:ascii="Times New Roman" w:hAnsi="Times New Roman" w:cs="Times New Roman"/>
                      <w:b/>
                      <w:bCs/>
                      <w:color w:val="auto"/>
                      <w:szCs w:val="21"/>
                      <w:highlight w:val="none"/>
                    </w:rPr>
                    <w:t>主要成分</w:t>
                  </w:r>
                </w:p>
              </w:tc>
              <w:tc>
                <w:tcPr>
                  <w:tcW w:w="2295" w:type="dxa"/>
                  <w:vAlign w:val="center"/>
                </w:tcPr>
                <w:p>
                  <w:pPr>
                    <w:jc w:val="center"/>
                    <w:rPr>
                      <w:rFonts w:ascii="Times New Roman" w:hAnsi="Times New Roman" w:cs="Times New Roman"/>
                      <w:b/>
                      <w:bCs/>
                      <w:color w:val="auto"/>
                      <w:szCs w:val="21"/>
                      <w:highlight w:val="none"/>
                    </w:rPr>
                  </w:pPr>
                  <w:r>
                    <w:rPr>
                      <w:rFonts w:hint="eastAsia" w:ascii="Times New Roman" w:hAnsi="Times New Roman" w:cs="Times New Roman"/>
                      <w:b/>
                      <w:bCs/>
                      <w:color w:val="auto"/>
                      <w:szCs w:val="21"/>
                      <w:highlight w:val="none"/>
                    </w:rPr>
                    <w:t>最大存在总量t</w:t>
                  </w:r>
                </w:p>
              </w:tc>
              <w:tc>
                <w:tcPr>
                  <w:tcW w:w="1659" w:type="dxa"/>
                  <w:vAlign w:val="center"/>
                </w:tcPr>
                <w:p>
                  <w:pPr>
                    <w:jc w:val="center"/>
                    <w:rPr>
                      <w:rFonts w:ascii="Times New Roman" w:hAnsi="Times New Roman" w:cs="Times New Roman"/>
                      <w:b/>
                      <w:bCs/>
                      <w:color w:val="auto"/>
                      <w:szCs w:val="21"/>
                      <w:highlight w:val="none"/>
                    </w:rPr>
                  </w:pPr>
                  <w:r>
                    <w:rPr>
                      <w:rFonts w:hint="eastAsia" w:ascii="Times New Roman" w:hAnsi="Times New Roman" w:cs="Times New Roman"/>
                      <w:b/>
                      <w:bCs/>
                      <w:color w:val="auto"/>
                      <w:szCs w:val="21"/>
                      <w:highlight w:val="none"/>
                    </w:rPr>
                    <w:t>储存位置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983" w:type="dxa"/>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w:t>
                  </w:r>
                </w:p>
              </w:tc>
              <w:tc>
                <w:tcPr>
                  <w:tcW w:w="1914" w:type="dxa"/>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EPS</w:t>
                  </w:r>
                </w:p>
              </w:tc>
              <w:tc>
                <w:tcPr>
                  <w:tcW w:w="1435" w:type="dxa"/>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石油醚</w:t>
                  </w:r>
                </w:p>
              </w:tc>
              <w:tc>
                <w:tcPr>
                  <w:tcW w:w="2295" w:type="dxa"/>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1</w:t>
                  </w:r>
                  <w:r>
                    <w:rPr>
                      <w:rFonts w:ascii="Times New Roman" w:hAnsi="Times New Roman" w:cs="Times New Roman"/>
                      <w:color w:val="auto"/>
                      <w:szCs w:val="21"/>
                      <w:highlight w:val="none"/>
                    </w:rPr>
                    <w:t>0</w:t>
                  </w:r>
                </w:p>
              </w:tc>
              <w:tc>
                <w:tcPr>
                  <w:tcW w:w="1659" w:type="dxa"/>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原料仓库</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983" w:type="dxa"/>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2</w:t>
                  </w:r>
                </w:p>
              </w:tc>
              <w:tc>
                <w:tcPr>
                  <w:tcW w:w="1914" w:type="dxa"/>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highlight w:val="none"/>
                    </w:rPr>
                    <w:t>废润滑油</w:t>
                  </w:r>
                </w:p>
              </w:tc>
              <w:tc>
                <w:tcPr>
                  <w:tcW w:w="1435" w:type="dxa"/>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机油</w:t>
                  </w:r>
                </w:p>
              </w:tc>
              <w:tc>
                <w:tcPr>
                  <w:tcW w:w="2295" w:type="dxa"/>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0</w:t>
                  </w:r>
                  <w:r>
                    <w:rPr>
                      <w:rFonts w:ascii="Times New Roman" w:hAnsi="Times New Roman" w:cs="Times New Roman"/>
                      <w:color w:val="auto"/>
                      <w:szCs w:val="21"/>
                      <w:highlight w:val="none"/>
                    </w:rPr>
                    <w:t>.001</w:t>
                  </w:r>
                </w:p>
              </w:tc>
              <w:tc>
                <w:tcPr>
                  <w:tcW w:w="1659" w:type="dxa"/>
                  <w:vMerge w:val="restart"/>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危险废物仓库</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983" w:type="dxa"/>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3</w:t>
                  </w:r>
                </w:p>
              </w:tc>
              <w:tc>
                <w:tcPr>
                  <w:tcW w:w="1914" w:type="dxa"/>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highlight w:val="none"/>
                    </w:rPr>
                    <w:t>含油废抹布</w:t>
                  </w:r>
                </w:p>
              </w:tc>
              <w:tc>
                <w:tcPr>
                  <w:tcW w:w="1435" w:type="dxa"/>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机油</w:t>
                  </w:r>
                </w:p>
              </w:tc>
              <w:tc>
                <w:tcPr>
                  <w:tcW w:w="2295" w:type="dxa"/>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0</w:t>
                  </w:r>
                  <w:r>
                    <w:rPr>
                      <w:rFonts w:ascii="Times New Roman" w:hAnsi="Times New Roman" w:cs="Times New Roman"/>
                      <w:color w:val="auto"/>
                      <w:szCs w:val="21"/>
                      <w:highlight w:val="none"/>
                    </w:rPr>
                    <w:t>.1</w:t>
                  </w:r>
                </w:p>
              </w:tc>
              <w:tc>
                <w:tcPr>
                  <w:tcW w:w="1659" w:type="dxa"/>
                  <w:vMerge w:val="continue"/>
                  <w:vAlign w:val="center"/>
                </w:tcPr>
                <w:p>
                  <w:pPr>
                    <w:jc w:val="center"/>
                    <w:rPr>
                      <w:rFonts w:ascii="Times New Roman" w:hAnsi="Times New Roman" w:cs="Times New Roman"/>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983" w:type="dxa"/>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4</w:t>
                  </w:r>
                </w:p>
              </w:tc>
              <w:tc>
                <w:tcPr>
                  <w:tcW w:w="1914" w:type="dxa"/>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highlight w:val="none"/>
                    </w:rPr>
                    <w:t>废UV光管</w:t>
                  </w:r>
                </w:p>
              </w:tc>
              <w:tc>
                <w:tcPr>
                  <w:tcW w:w="1435" w:type="dxa"/>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含汞废物</w:t>
                  </w:r>
                </w:p>
              </w:tc>
              <w:tc>
                <w:tcPr>
                  <w:tcW w:w="2295" w:type="dxa"/>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0</w:t>
                  </w:r>
                  <w:r>
                    <w:rPr>
                      <w:rFonts w:ascii="Times New Roman" w:hAnsi="Times New Roman" w:cs="Times New Roman"/>
                      <w:color w:val="auto"/>
                      <w:szCs w:val="21"/>
                      <w:highlight w:val="none"/>
                    </w:rPr>
                    <w:t>.01</w:t>
                  </w:r>
                </w:p>
              </w:tc>
              <w:tc>
                <w:tcPr>
                  <w:tcW w:w="1659" w:type="dxa"/>
                  <w:vMerge w:val="continue"/>
                  <w:vAlign w:val="center"/>
                </w:tcPr>
                <w:p>
                  <w:pPr>
                    <w:jc w:val="center"/>
                    <w:rPr>
                      <w:rFonts w:ascii="Times New Roman" w:hAnsi="Times New Roman" w:cs="Times New Roman"/>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983" w:type="dxa"/>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5</w:t>
                  </w:r>
                </w:p>
              </w:tc>
              <w:tc>
                <w:tcPr>
                  <w:tcW w:w="1914" w:type="dxa"/>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highlight w:val="none"/>
                    </w:rPr>
                    <w:t>废活性炭</w:t>
                  </w:r>
                </w:p>
              </w:tc>
              <w:tc>
                <w:tcPr>
                  <w:tcW w:w="1435" w:type="dxa"/>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有机废物</w:t>
                  </w:r>
                </w:p>
              </w:tc>
              <w:tc>
                <w:tcPr>
                  <w:tcW w:w="2295" w:type="dxa"/>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2.14</w:t>
                  </w:r>
                </w:p>
              </w:tc>
              <w:tc>
                <w:tcPr>
                  <w:tcW w:w="1659" w:type="dxa"/>
                  <w:vMerge w:val="continue"/>
                  <w:vAlign w:val="center"/>
                </w:tcPr>
                <w:p>
                  <w:pPr>
                    <w:jc w:val="center"/>
                    <w:rPr>
                      <w:rFonts w:ascii="Times New Roman" w:hAnsi="Times New Roman" w:cs="Times New Roman"/>
                      <w:color w:val="auto"/>
                      <w:szCs w:val="21"/>
                      <w:highlight w:val="none"/>
                    </w:rPr>
                  </w:pPr>
                </w:p>
              </w:tc>
            </w:tr>
          </w:tbl>
          <w:p>
            <w:pPr>
              <w:spacing w:line="360" w:lineRule="auto"/>
              <w:ind w:firstLine="480"/>
              <w:rPr>
                <w:rFonts w:ascii="Calibri" w:hAnsi="Calibri" w:eastAsia="宋体" w:cs="Times New Roman"/>
                <w:color w:val="auto"/>
                <w:sz w:val="24"/>
                <w:highlight w:val="none"/>
              </w:rPr>
            </w:pPr>
            <w:r>
              <w:rPr>
                <w:rFonts w:hint="eastAsia" w:ascii="宋体" w:hAnsi="宋体" w:eastAsia="宋体" w:cs="宋体"/>
                <w:color w:val="auto"/>
                <w:sz w:val="24"/>
                <w:highlight w:val="none"/>
              </w:rPr>
              <w:t>②</w:t>
            </w:r>
            <w:r>
              <w:rPr>
                <w:rFonts w:ascii="Calibri" w:hAnsi="Calibri" w:eastAsia="宋体" w:cs="Times New Roman"/>
                <w:color w:val="auto"/>
                <w:sz w:val="24"/>
                <w:highlight w:val="none"/>
              </w:rPr>
              <w:t>风险潜势判定</w:t>
            </w:r>
          </w:p>
          <w:p>
            <w:pPr>
              <w:spacing w:line="360" w:lineRule="auto"/>
              <w:ind w:firstLine="480"/>
              <w:rPr>
                <w:rFonts w:ascii="Calibri" w:hAnsi="Calibri" w:eastAsia="宋体" w:cs="Times New Roman"/>
                <w:color w:val="auto"/>
                <w:sz w:val="24"/>
                <w:highlight w:val="none"/>
              </w:rPr>
            </w:pPr>
            <w:r>
              <w:rPr>
                <w:rFonts w:ascii="Calibri" w:hAnsi="Calibri" w:eastAsia="宋体" w:cs="Times New Roman"/>
                <w:color w:val="auto"/>
                <w:sz w:val="24"/>
                <w:highlight w:val="none"/>
              </w:rPr>
              <w:t>建设项目环境风险潜势划</w:t>
            </w:r>
            <w:r>
              <w:rPr>
                <w:rFonts w:ascii="Times New Roman" w:hAnsi="Times New Roman" w:eastAsia="宋体" w:cs="Times New Roman"/>
                <w:color w:val="auto"/>
                <w:sz w:val="24"/>
                <w:highlight w:val="none"/>
              </w:rPr>
              <w:t>分为Ⅰ、Ⅱ、Ⅲ、Ⅳ、Ⅳ</w:t>
            </w:r>
            <w:r>
              <w:rPr>
                <w:rFonts w:ascii="Times New Roman" w:hAnsi="Times New Roman" w:eastAsia="宋体" w:cs="Times New Roman"/>
                <w:color w:val="auto"/>
                <w:sz w:val="24"/>
                <w:highlight w:val="none"/>
                <w:vertAlign w:val="superscript"/>
              </w:rPr>
              <w:t>+</w:t>
            </w:r>
            <w:r>
              <w:rPr>
                <w:rFonts w:ascii="Times New Roman" w:hAnsi="Times New Roman" w:eastAsia="宋体" w:cs="Times New Roman"/>
                <w:color w:val="auto"/>
                <w:sz w:val="24"/>
                <w:highlight w:val="none"/>
              </w:rPr>
              <w:t>，</w:t>
            </w:r>
            <w:r>
              <w:rPr>
                <w:rFonts w:ascii="Calibri" w:hAnsi="Calibri" w:eastAsia="宋体" w:cs="Times New Roman"/>
                <w:color w:val="auto"/>
                <w:sz w:val="24"/>
                <w:highlight w:val="none"/>
              </w:rPr>
              <w:t>建设项目环境风险潜势由危险物质及工艺系统危险性（P）和环境敏感程度（E）确定。</w:t>
            </w:r>
          </w:p>
          <w:p>
            <w:pPr>
              <w:spacing w:line="360" w:lineRule="auto"/>
              <w:ind w:firstLine="480"/>
              <w:rPr>
                <w:rFonts w:ascii="Calibri" w:hAnsi="Calibri" w:eastAsia="宋体" w:cs="Times New Roman"/>
                <w:color w:val="auto"/>
                <w:sz w:val="24"/>
                <w:highlight w:val="none"/>
              </w:rPr>
            </w:pPr>
            <w:r>
              <w:rPr>
                <w:rFonts w:ascii="Calibri" w:hAnsi="Calibri" w:eastAsia="宋体" w:cs="Times New Roman"/>
                <w:color w:val="auto"/>
                <w:sz w:val="24"/>
                <w:highlight w:val="none"/>
              </w:rPr>
              <w:t>危险物质及工艺系统危险性（P）由危险物质数量与临界量比值（Q）与行业及生产工艺（M）确定。</w:t>
            </w:r>
          </w:p>
          <w:p>
            <w:pPr>
              <w:spacing w:line="360" w:lineRule="auto"/>
              <w:ind w:firstLine="480"/>
              <w:rPr>
                <w:rFonts w:ascii="Calibri" w:hAnsi="Calibri" w:eastAsia="宋体" w:cs="Times New Roman"/>
                <w:color w:val="auto"/>
                <w:sz w:val="24"/>
                <w:highlight w:val="none"/>
              </w:rPr>
            </w:pPr>
            <w:r>
              <w:rPr>
                <w:rFonts w:ascii="Calibri" w:hAnsi="Calibri" w:eastAsia="宋体" w:cs="Times New Roman"/>
                <w:color w:val="auto"/>
                <w:sz w:val="24"/>
                <w:highlight w:val="none"/>
              </w:rPr>
              <w:t>在危险物质数量与临界量比值（Q）计算中，在不同厂区的同一种物质，按其在厂界内的最大存在总量计算。对于长输管线项目，按照两个截断阀室之间管段危险物质最大存在总量计算。</w:t>
            </w:r>
          </w:p>
          <w:p>
            <w:pPr>
              <w:spacing w:line="360" w:lineRule="auto"/>
              <w:ind w:firstLine="480"/>
              <w:rPr>
                <w:rFonts w:ascii="Calibri" w:hAnsi="Calibri" w:eastAsia="宋体" w:cs="Times New Roman"/>
                <w:color w:val="auto"/>
                <w:sz w:val="24"/>
                <w:highlight w:val="none"/>
              </w:rPr>
            </w:pPr>
            <w:r>
              <w:rPr>
                <w:rFonts w:ascii="Calibri" w:hAnsi="Calibri" w:eastAsia="宋体" w:cs="Times New Roman"/>
                <w:color w:val="auto"/>
                <w:sz w:val="24"/>
                <w:highlight w:val="none"/>
              </w:rPr>
              <w:t>当只涉及一种危险物质时，计算该物质的总量与其临界量比值，即为Q；</w:t>
            </w:r>
          </w:p>
          <w:p>
            <w:pPr>
              <w:spacing w:line="360" w:lineRule="auto"/>
              <w:ind w:firstLine="480"/>
              <w:rPr>
                <w:rFonts w:ascii="Calibri" w:hAnsi="Calibri" w:eastAsia="宋体" w:cs="Times New Roman"/>
                <w:color w:val="auto"/>
                <w:sz w:val="24"/>
                <w:highlight w:val="none"/>
              </w:rPr>
            </w:pPr>
            <w:r>
              <w:rPr>
                <w:rFonts w:ascii="Calibri" w:hAnsi="Calibri" w:eastAsia="宋体" w:cs="Times New Roman"/>
                <w:color w:val="auto"/>
                <w:sz w:val="24"/>
                <w:highlight w:val="none"/>
              </w:rPr>
              <w:t>当存在多种危险物质时，则按下式计算物质总量与其临界量比值（Q）：</w:t>
            </w:r>
          </w:p>
          <w:p>
            <w:pPr>
              <w:spacing w:line="360" w:lineRule="auto"/>
              <w:ind w:firstLine="480"/>
              <w:jc w:val="center"/>
              <w:rPr>
                <w:rFonts w:ascii="Calibri" w:hAnsi="Calibri" w:eastAsia="宋体" w:cs="Times New Roman"/>
                <w:color w:val="auto"/>
                <w:sz w:val="24"/>
                <w:highlight w:val="none"/>
              </w:rPr>
            </w:pPr>
            <w:r>
              <w:rPr>
                <w:rFonts w:ascii="Calibri" w:hAnsi="Calibri" w:eastAsia="宋体" w:cs="Times New Roman"/>
                <w:color w:val="auto"/>
                <w:sz w:val="24"/>
                <w:highlight w:val="none"/>
              </w:rPr>
              <w:t>Q=q1/Q1+ q2/Q2+…+ qn/Qn</w:t>
            </w:r>
          </w:p>
          <w:p>
            <w:pPr>
              <w:spacing w:line="360" w:lineRule="auto"/>
              <w:ind w:firstLine="480"/>
              <w:rPr>
                <w:rFonts w:ascii="Calibri" w:hAnsi="Calibri" w:eastAsia="宋体" w:cs="Times New Roman"/>
                <w:color w:val="auto"/>
                <w:sz w:val="24"/>
                <w:highlight w:val="none"/>
              </w:rPr>
            </w:pPr>
            <w:r>
              <w:rPr>
                <w:rFonts w:ascii="Calibri" w:hAnsi="Calibri" w:eastAsia="宋体" w:cs="Times New Roman"/>
                <w:color w:val="auto"/>
                <w:sz w:val="24"/>
                <w:highlight w:val="none"/>
              </w:rPr>
              <w:t>式：q1，q2，…，qn——每种危险物质的最大存在总量，t；</w:t>
            </w:r>
          </w:p>
          <w:p>
            <w:pPr>
              <w:spacing w:line="360" w:lineRule="auto"/>
              <w:ind w:firstLine="480"/>
              <w:rPr>
                <w:rFonts w:ascii="Calibri" w:hAnsi="Calibri" w:eastAsia="宋体" w:cs="Times New Roman"/>
                <w:color w:val="auto"/>
                <w:sz w:val="24"/>
                <w:highlight w:val="none"/>
              </w:rPr>
            </w:pPr>
            <w:r>
              <w:rPr>
                <w:rFonts w:ascii="Calibri" w:hAnsi="Calibri" w:eastAsia="宋体" w:cs="Times New Roman"/>
                <w:color w:val="auto"/>
                <w:sz w:val="24"/>
                <w:highlight w:val="none"/>
              </w:rPr>
              <w:t>Q1，Q2，…，Qn——每种危险物质的临界量，t。</w:t>
            </w:r>
          </w:p>
          <w:p>
            <w:pPr>
              <w:spacing w:line="360" w:lineRule="auto"/>
              <w:ind w:firstLine="480"/>
              <w:rPr>
                <w:rFonts w:ascii="Calibri" w:hAnsi="Calibri" w:eastAsia="宋体" w:cs="Times New Roman"/>
                <w:color w:val="auto"/>
                <w:sz w:val="24"/>
                <w:highlight w:val="none"/>
              </w:rPr>
            </w:pPr>
            <w:r>
              <w:rPr>
                <w:rFonts w:ascii="Calibri" w:hAnsi="Calibri" w:eastAsia="宋体" w:cs="Times New Roman"/>
                <w:color w:val="auto"/>
                <w:sz w:val="24"/>
                <w:highlight w:val="none"/>
              </w:rPr>
              <w:t>当Q&lt;1时，该项目环境风险潜势为Ⅰ。</w:t>
            </w:r>
          </w:p>
          <w:p>
            <w:pPr>
              <w:spacing w:line="360" w:lineRule="auto"/>
              <w:ind w:firstLine="480"/>
              <w:rPr>
                <w:rFonts w:ascii="Calibri" w:hAnsi="Calibri" w:eastAsia="宋体" w:cs="Times New Roman"/>
                <w:color w:val="auto"/>
                <w:sz w:val="24"/>
                <w:highlight w:val="none"/>
              </w:rPr>
            </w:pPr>
            <w:r>
              <w:rPr>
                <w:rFonts w:ascii="Calibri" w:hAnsi="Calibri" w:eastAsia="宋体" w:cs="Times New Roman"/>
                <w:color w:val="auto"/>
                <w:sz w:val="24"/>
                <w:highlight w:val="none"/>
              </w:rPr>
              <w:t>当Q≥1时，将Q值划分为：（1）； 1≤Q&lt;10（2）10≤Q&lt;100；（3）Q≥100</w:t>
            </w:r>
          </w:p>
          <w:p>
            <w:pPr>
              <w:spacing w:line="360" w:lineRule="auto"/>
              <w:ind w:firstLine="480" w:firstLineChars="200"/>
              <w:rPr>
                <w:rFonts w:ascii="Times New Roman" w:hAnsi="Times New Roman" w:cs="Times New Roman"/>
                <w:color w:val="auto"/>
                <w:sz w:val="24"/>
                <w:highlight w:val="none"/>
              </w:rPr>
            </w:pPr>
            <w:r>
              <w:rPr>
                <w:rFonts w:hint="eastAsia" w:ascii="Times New Roman" w:hAnsi="Times New Roman" w:cs="Times New Roman"/>
                <w:color w:val="auto"/>
                <w:sz w:val="24"/>
                <w:highlight w:val="none"/>
              </w:rPr>
              <w:t>查阅《建设项目环境风险评价技术导则》（HJ169-2018）附录B可知：</w:t>
            </w:r>
          </w:p>
          <w:p>
            <w:pPr>
              <w:spacing w:line="360" w:lineRule="auto"/>
              <w:ind w:firstLine="422" w:firstLineChars="200"/>
              <w:jc w:val="center"/>
              <w:rPr>
                <w:rFonts w:ascii="Times New Roman" w:hAnsi="Times New Roman" w:cs="Times New Roman"/>
                <w:b/>
                <w:bCs/>
                <w:color w:val="auto"/>
                <w:szCs w:val="21"/>
                <w:highlight w:val="none"/>
              </w:rPr>
            </w:pPr>
            <w:r>
              <w:rPr>
                <w:rFonts w:hint="eastAsia" w:ascii="Times New Roman" w:hAnsi="Times New Roman" w:cs="Times New Roman"/>
                <w:b/>
                <w:bCs/>
                <w:color w:val="auto"/>
                <w:szCs w:val="21"/>
                <w:highlight w:val="none"/>
              </w:rPr>
              <w:t>表</w:t>
            </w:r>
            <w:r>
              <w:rPr>
                <w:rFonts w:ascii="Times New Roman" w:hAnsi="Times New Roman" w:cs="Times New Roman"/>
                <w:b/>
                <w:bCs/>
                <w:color w:val="auto"/>
                <w:szCs w:val="21"/>
                <w:highlight w:val="none"/>
              </w:rPr>
              <w:t>7-19</w:t>
            </w:r>
            <w:r>
              <w:rPr>
                <w:rFonts w:hint="eastAsia" w:ascii="Times New Roman" w:hAnsi="Times New Roman" w:cs="Times New Roman"/>
                <w:b/>
                <w:bCs/>
                <w:color w:val="auto"/>
                <w:szCs w:val="21"/>
                <w:highlight w:val="none"/>
              </w:rPr>
              <w:t>危险物质临界量比值一览表</w:t>
            </w:r>
          </w:p>
          <w:tbl>
            <w:tblPr>
              <w:tblStyle w:val="23"/>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8"/>
              <w:gridCol w:w="1660"/>
              <w:gridCol w:w="1658"/>
              <w:gridCol w:w="1660"/>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8" w:type="dxa"/>
                  <w:vAlign w:val="center"/>
                </w:tcPr>
                <w:p>
                  <w:pPr>
                    <w:jc w:val="center"/>
                    <w:rPr>
                      <w:rFonts w:ascii="Times New Roman" w:hAnsi="Times New Roman" w:cs="Times New Roman"/>
                      <w:b/>
                      <w:bCs/>
                      <w:color w:val="auto"/>
                      <w:highlight w:val="none"/>
                    </w:rPr>
                  </w:pPr>
                  <w:r>
                    <w:rPr>
                      <w:rFonts w:ascii="Times New Roman" w:hAnsi="Times New Roman" w:cs="Times New Roman"/>
                      <w:b/>
                      <w:bCs/>
                      <w:color w:val="auto"/>
                      <w:highlight w:val="none"/>
                    </w:rPr>
                    <w:t>原料名称</w:t>
                  </w:r>
                </w:p>
              </w:tc>
              <w:tc>
                <w:tcPr>
                  <w:tcW w:w="1660" w:type="dxa"/>
                  <w:vAlign w:val="center"/>
                </w:tcPr>
                <w:p>
                  <w:pPr>
                    <w:jc w:val="center"/>
                    <w:rPr>
                      <w:rFonts w:ascii="Times New Roman" w:hAnsi="Times New Roman" w:cs="Times New Roman"/>
                      <w:b/>
                      <w:bCs/>
                      <w:color w:val="auto"/>
                      <w:highlight w:val="none"/>
                    </w:rPr>
                  </w:pPr>
                  <w:r>
                    <w:rPr>
                      <w:rFonts w:ascii="Times New Roman" w:hAnsi="Times New Roman" w:cs="Times New Roman"/>
                      <w:b/>
                      <w:bCs/>
                      <w:color w:val="auto"/>
                      <w:highlight w:val="none"/>
                    </w:rPr>
                    <w:t>原料年最大储</w:t>
                  </w:r>
                </w:p>
                <w:p>
                  <w:pPr>
                    <w:jc w:val="center"/>
                    <w:rPr>
                      <w:rFonts w:ascii="Times New Roman" w:hAnsi="Times New Roman" w:cs="Times New Roman"/>
                      <w:b/>
                      <w:bCs/>
                      <w:color w:val="auto"/>
                      <w:highlight w:val="none"/>
                    </w:rPr>
                  </w:pPr>
                  <w:r>
                    <w:rPr>
                      <w:rFonts w:ascii="Times New Roman" w:hAnsi="Times New Roman" w:cs="Times New Roman"/>
                      <w:b/>
                      <w:bCs/>
                      <w:color w:val="auto"/>
                      <w:highlight w:val="none"/>
                    </w:rPr>
                    <w:t>存量（t）</w:t>
                  </w:r>
                </w:p>
              </w:tc>
              <w:tc>
                <w:tcPr>
                  <w:tcW w:w="1658" w:type="dxa"/>
                  <w:vAlign w:val="center"/>
                </w:tcPr>
                <w:p>
                  <w:pPr>
                    <w:jc w:val="center"/>
                    <w:rPr>
                      <w:rFonts w:ascii="Times New Roman" w:hAnsi="Times New Roman" w:cs="Times New Roman"/>
                      <w:b/>
                      <w:bCs/>
                      <w:color w:val="auto"/>
                      <w:highlight w:val="none"/>
                    </w:rPr>
                  </w:pPr>
                  <w:r>
                    <w:rPr>
                      <w:rFonts w:ascii="Times New Roman" w:hAnsi="Times New Roman" w:cs="Times New Roman"/>
                      <w:b/>
                      <w:bCs/>
                      <w:color w:val="auto"/>
                      <w:highlight w:val="none"/>
                    </w:rPr>
                    <w:t>原料中危险物质</w:t>
                  </w:r>
                </w:p>
              </w:tc>
              <w:tc>
                <w:tcPr>
                  <w:tcW w:w="1660" w:type="dxa"/>
                  <w:vAlign w:val="center"/>
                </w:tcPr>
                <w:p>
                  <w:pPr>
                    <w:jc w:val="center"/>
                    <w:rPr>
                      <w:rFonts w:ascii="Times New Roman" w:hAnsi="Times New Roman" w:cs="Times New Roman"/>
                      <w:b/>
                      <w:bCs/>
                      <w:color w:val="auto"/>
                      <w:highlight w:val="none"/>
                    </w:rPr>
                  </w:pPr>
                  <w:r>
                    <w:rPr>
                      <w:rFonts w:ascii="Times New Roman" w:hAnsi="Times New Roman" w:cs="Times New Roman"/>
                      <w:b/>
                      <w:bCs/>
                      <w:color w:val="auto"/>
                      <w:highlight w:val="none"/>
                    </w:rPr>
                    <w:t>危险物质年最大储存量（t）</w:t>
                  </w:r>
                </w:p>
              </w:tc>
              <w:tc>
                <w:tcPr>
                  <w:tcW w:w="1660" w:type="dxa"/>
                  <w:vAlign w:val="center"/>
                </w:tcPr>
                <w:p>
                  <w:pPr>
                    <w:jc w:val="center"/>
                    <w:rPr>
                      <w:rFonts w:ascii="Times New Roman" w:hAnsi="Times New Roman" w:cs="Times New Roman"/>
                      <w:b/>
                      <w:bCs/>
                      <w:color w:val="auto"/>
                      <w:highlight w:val="none"/>
                    </w:rPr>
                  </w:pPr>
                  <w:r>
                    <w:rPr>
                      <w:rFonts w:ascii="Times New Roman" w:hAnsi="Times New Roman" w:cs="Times New Roman"/>
                      <w:b/>
                      <w:bCs/>
                      <w:color w:val="auto"/>
                      <w:highlight w:val="none"/>
                    </w:rPr>
                    <w:t>危险物质临界量Q（t）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8" w:type="dxa"/>
                  <w:vAlign w:val="center"/>
                </w:tcPr>
                <w:p>
                  <w:pPr>
                    <w:jc w:val="center"/>
                    <w:rPr>
                      <w:rFonts w:ascii="Times New Roman" w:hAnsi="Times New Roman" w:cs="Times New Roman"/>
                      <w:color w:val="auto"/>
                      <w:highlight w:val="none"/>
                    </w:rPr>
                  </w:pPr>
                  <w:r>
                    <w:rPr>
                      <w:rFonts w:ascii="Times New Roman" w:hAnsi="Times New Roman" w:cs="Times New Roman"/>
                      <w:color w:val="auto"/>
                      <w:highlight w:val="none"/>
                    </w:rPr>
                    <w:t>EPS</w:t>
                  </w:r>
                </w:p>
              </w:tc>
              <w:tc>
                <w:tcPr>
                  <w:tcW w:w="1660" w:type="dxa"/>
                  <w:vAlign w:val="center"/>
                </w:tcPr>
                <w:p>
                  <w:pPr>
                    <w:jc w:val="center"/>
                    <w:rPr>
                      <w:rFonts w:ascii="Times New Roman" w:hAnsi="Times New Roman" w:cs="Times New Roman"/>
                      <w:color w:val="auto"/>
                      <w:highlight w:val="none"/>
                    </w:rPr>
                  </w:pPr>
                  <w:r>
                    <w:rPr>
                      <w:rFonts w:ascii="Times New Roman" w:hAnsi="Times New Roman" w:cs="Times New Roman"/>
                      <w:color w:val="auto"/>
                      <w:highlight w:val="none"/>
                    </w:rPr>
                    <w:t>10</w:t>
                  </w:r>
                </w:p>
              </w:tc>
              <w:tc>
                <w:tcPr>
                  <w:tcW w:w="1658" w:type="dxa"/>
                  <w:vAlign w:val="center"/>
                </w:tcPr>
                <w:p>
                  <w:pPr>
                    <w:jc w:val="center"/>
                    <w:rPr>
                      <w:rFonts w:ascii="Times New Roman" w:hAnsi="Times New Roman" w:cs="Times New Roman"/>
                      <w:color w:val="auto"/>
                      <w:highlight w:val="none"/>
                    </w:rPr>
                  </w:pPr>
                  <w:r>
                    <w:rPr>
                      <w:rFonts w:ascii="Times New Roman" w:hAnsi="Times New Roman" w:cs="Times New Roman"/>
                      <w:color w:val="auto"/>
                      <w:highlight w:val="none"/>
                    </w:rPr>
                    <w:t>石油醚</w:t>
                  </w:r>
                </w:p>
              </w:tc>
              <w:tc>
                <w:tcPr>
                  <w:tcW w:w="1660" w:type="dxa"/>
                  <w:vAlign w:val="center"/>
                </w:tcPr>
                <w:p>
                  <w:pPr>
                    <w:jc w:val="center"/>
                    <w:rPr>
                      <w:rFonts w:ascii="Times New Roman" w:hAnsi="Times New Roman" w:cs="Times New Roman"/>
                      <w:color w:val="auto"/>
                      <w:highlight w:val="none"/>
                    </w:rPr>
                  </w:pPr>
                  <w:r>
                    <w:rPr>
                      <w:rFonts w:hint="eastAsia" w:ascii="Times New Roman" w:hAnsi="Times New Roman" w:cs="Times New Roman"/>
                      <w:color w:val="auto"/>
                      <w:highlight w:val="none"/>
                    </w:rPr>
                    <w:t>0</w:t>
                  </w:r>
                  <w:r>
                    <w:rPr>
                      <w:rFonts w:ascii="Times New Roman" w:hAnsi="Times New Roman" w:cs="Times New Roman"/>
                      <w:color w:val="auto"/>
                      <w:highlight w:val="none"/>
                    </w:rPr>
                    <w:t>.2</w:t>
                  </w:r>
                </w:p>
              </w:tc>
              <w:tc>
                <w:tcPr>
                  <w:tcW w:w="1660" w:type="dxa"/>
                  <w:vAlign w:val="center"/>
                </w:tcPr>
                <w:p>
                  <w:pPr>
                    <w:jc w:val="center"/>
                    <w:rPr>
                      <w:rFonts w:ascii="Times New Roman" w:hAnsi="Times New Roman" w:cs="Times New Roman"/>
                      <w:color w:val="auto"/>
                      <w:highlight w:val="none"/>
                    </w:rPr>
                  </w:pPr>
                  <w:r>
                    <w:rPr>
                      <w:rFonts w:ascii="Times New Roman" w:hAnsi="Times New Roman" w:cs="Times New Roman"/>
                      <w:color w:val="auto"/>
                      <w:highlight w:val="none"/>
                    </w:rPr>
                    <w:t>10</w:t>
                  </w:r>
                </w:p>
              </w:tc>
            </w:tr>
          </w:tbl>
          <w:p>
            <w:pPr>
              <w:spacing w:line="360" w:lineRule="auto"/>
              <w:ind w:firstLine="480" w:firstLineChars="200"/>
              <w:rPr>
                <w:rFonts w:ascii="Times New Roman" w:hAnsi="Times New Roman" w:cs="Times New Roman"/>
                <w:b/>
                <w:bCs/>
                <w:color w:val="auto"/>
                <w:sz w:val="24"/>
                <w:highlight w:val="none"/>
              </w:rPr>
            </w:pPr>
            <w:r>
              <w:rPr>
                <w:rFonts w:hint="eastAsia" w:ascii="Times New Roman" w:hAnsi="Times New Roman" w:cs="Times New Roman"/>
                <w:color w:val="auto"/>
                <w:sz w:val="24"/>
                <w:highlight w:val="none"/>
              </w:rPr>
              <w:t>本项目危险物质数量与临界量比值</w:t>
            </w:r>
            <w:r>
              <w:rPr>
                <w:rFonts w:ascii="Times New Roman" w:hAnsi="Times New Roman" w:cs="Times New Roman"/>
                <w:color w:val="auto"/>
                <w:sz w:val="24"/>
                <w:highlight w:val="none"/>
              </w:rPr>
              <w:t>Q=0.02〈1，环境风险潜势为Ⅰ。</w:t>
            </w:r>
          </w:p>
          <w:p>
            <w:pPr>
              <w:spacing w:line="360" w:lineRule="auto"/>
              <w:ind w:firstLine="480"/>
              <w:rPr>
                <w:rFonts w:ascii="Calibri" w:hAnsi="Calibri" w:eastAsia="宋体" w:cs="Times New Roman"/>
                <w:color w:val="auto"/>
                <w:sz w:val="24"/>
                <w:highlight w:val="none"/>
              </w:rPr>
            </w:pPr>
            <w:r>
              <w:rPr>
                <w:rFonts w:hint="eastAsia" w:ascii="宋体" w:hAnsi="宋体" w:eastAsia="宋体" w:cs="宋体"/>
                <w:color w:val="auto"/>
                <w:sz w:val="24"/>
                <w:highlight w:val="none"/>
              </w:rPr>
              <w:t>③</w:t>
            </w:r>
            <w:r>
              <w:rPr>
                <w:rFonts w:ascii="Calibri" w:hAnsi="Calibri" w:eastAsia="宋体" w:cs="Times New Roman"/>
                <w:color w:val="auto"/>
                <w:sz w:val="24"/>
                <w:highlight w:val="none"/>
              </w:rPr>
              <w:t>评价等级</w:t>
            </w:r>
          </w:p>
          <w:p>
            <w:pPr>
              <w:spacing w:line="360" w:lineRule="auto"/>
              <w:ind w:firstLine="480"/>
              <w:rPr>
                <w:rFonts w:ascii="Calibri" w:hAnsi="Calibri" w:eastAsia="宋体" w:cs="Times New Roman"/>
                <w:color w:val="auto"/>
                <w:sz w:val="24"/>
                <w:highlight w:val="none"/>
              </w:rPr>
            </w:pPr>
            <w:r>
              <w:rPr>
                <w:rFonts w:ascii="Calibri" w:hAnsi="Calibri" w:eastAsia="宋体" w:cs="Times New Roman"/>
                <w:color w:val="auto"/>
                <w:sz w:val="24"/>
                <w:highlight w:val="none"/>
              </w:rPr>
              <w:t>根据《建设项目环境风险评价技术导则》（HJ169-2018），环境风险评价工作等级划分为一级、二级、三级。根据建设项目涉及的物质及工艺系统危险性和所在地的环境敏感性确定环境风险潜势，按照下表确定评价工作等级。风险潜势为Ⅳ及以上，进行一级评价；风险潜势为Ⅲ，进行二级评价；风险潜势为Ⅱ，进行三级评价；风险潜势为Ⅰ，可开展简单分析。</w:t>
            </w:r>
          </w:p>
          <w:p>
            <w:pPr>
              <w:spacing w:line="360" w:lineRule="auto"/>
              <w:ind w:firstLine="480"/>
              <w:rPr>
                <w:rFonts w:ascii="Calibri" w:hAnsi="Calibri" w:eastAsia="宋体" w:cs="Times New Roman"/>
                <w:color w:val="auto"/>
                <w:sz w:val="24"/>
                <w:highlight w:val="none"/>
              </w:rPr>
            </w:pPr>
            <w:r>
              <w:rPr>
                <w:rFonts w:ascii="Calibri" w:hAnsi="Calibri" w:eastAsia="宋体" w:cs="Times New Roman"/>
                <w:color w:val="auto"/>
                <w:sz w:val="24"/>
                <w:highlight w:val="none"/>
              </w:rPr>
              <w:t>建设项目环境风险评价工作等级划分见下表。</w:t>
            </w:r>
          </w:p>
          <w:p>
            <w:pPr>
              <w:spacing w:line="360" w:lineRule="auto"/>
              <w:ind w:firstLine="422"/>
              <w:jc w:val="center"/>
              <w:rPr>
                <w:rFonts w:ascii="Calibri" w:hAnsi="Calibri" w:eastAsia="宋体" w:cs="Times New Roman"/>
                <w:b/>
                <w:color w:val="auto"/>
                <w:szCs w:val="21"/>
                <w:highlight w:val="none"/>
              </w:rPr>
            </w:pPr>
            <w:r>
              <w:rPr>
                <w:rFonts w:ascii="Calibri" w:hAnsi="Calibri" w:eastAsia="宋体" w:cs="Times New Roman"/>
                <w:b/>
                <w:color w:val="auto"/>
                <w:szCs w:val="21"/>
                <w:highlight w:val="none"/>
              </w:rPr>
              <w:t>表</w:t>
            </w:r>
            <w:r>
              <w:rPr>
                <w:rFonts w:hint="eastAsia"/>
                <w:b/>
                <w:color w:val="auto"/>
                <w:szCs w:val="21"/>
                <w:highlight w:val="none"/>
              </w:rPr>
              <w:t>7-</w:t>
            </w:r>
            <w:r>
              <w:rPr>
                <w:b/>
                <w:color w:val="auto"/>
                <w:szCs w:val="21"/>
                <w:highlight w:val="none"/>
              </w:rPr>
              <w:t>20</w:t>
            </w:r>
            <w:r>
              <w:rPr>
                <w:rFonts w:ascii="Calibri" w:hAnsi="Calibri" w:eastAsia="宋体" w:cs="Times New Roman"/>
                <w:b/>
                <w:color w:val="auto"/>
                <w:szCs w:val="21"/>
                <w:highlight w:val="none"/>
              </w:rPr>
              <w:t>评价工作等级划分</w:t>
            </w:r>
          </w:p>
          <w:tbl>
            <w:tblPr>
              <w:tblStyle w:val="2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4"/>
              <w:gridCol w:w="1683"/>
              <w:gridCol w:w="1653"/>
              <w:gridCol w:w="1653"/>
              <w:gridCol w:w="1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4" w:type="dxa"/>
                  <w:vAlign w:val="center"/>
                </w:tcPr>
                <w:p>
                  <w:pPr>
                    <w:spacing w:line="360" w:lineRule="auto"/>
                    <w:jc w:val="center"/>
                    <w:rPr>
                      <w:rFonts w:ascii="Calibri" w:hAnsi="Calibri" w:eastAsia="宋体" w:cs="Times New Roman"/>
                      <w:color w:val="auto"/>
                      <w:szCs w:val="21"/>
                      <w:highlight w:val="none"/>
                    </w:rPr>
                  </w:pPr>
                  <w:r>
                    <w:rPr>
                      <w:rFonts w:ascii="Calibri" w:hAnsi="Calibri" w:eastAsia="宋体" w:cs="Times New Roman"/>
                      <w:color w:val="auto"/>
                      <w:szCs w:val="21"/>
                      <w:highlight w:val="none"/>
                    </w:rPr>
                    <w:t>环境风险潜势</w:t>
                  </w:r>
                </w:p>
              </w:tc>
              <w:tc>
                <w:tcPr>
                  <w:tcW w:w="1683" w:type="dxa"/>
                  <w:vAlign w:val="center"/>
                </w:tcPr>
                <w:p>
                  <w:pPr>
                    <w:spacing w:line="360" w:lineRule="auto"/>
                    <w:jc w:val="center"/>
                    <w:rPr>
                      <w:rFonts w:ascii="Calibri" w:hAnsi="Calibri" w:eastAsia="宋体" w:cs="Times New Roman"/>
                      <w:color w:val="auto"/>
                      <w:szCs w:val="21"/>
                      <w:highlight w:val="none"/>
                    </w:rPr>
                  </w:pPr>
                  <w:r>
                    <w:rPr>
                      <w:rFonts w:ascii="Calibri" w:hAnsi="Calibri" w:eastAsia="宋体" w:cs="Times New Roman"/>
                      <w:color w:val="auto"/>
                      <w:szCs w:val="21"/>
                      <w:highlight w:val="none"/>
                    </w:rPr>
                    <w:t>Ⅳ、Ⅳ</w:t>
                  </w:r>
                  <w:r>
                    <w:rPr>
                      <w:rFonts w:ascii="Calibri" w:hAnsi="Calibri" w:eastAsia="宋体" w:cs="Times New Roman"/>
                      <w:color w:val="auto"/>
                      <w:szCs w:val="21"/>
                      <w:highlight w:val="none"/>
                      <w:vertAlign w:val="superscript"/>
                    </w:rPr>
                    <w:t>+</w:t>
                  </w:r>
                </w:p>
              </w:tc>
              <w:tc>
                <w:tcPr>
                  <w:tcW w:w="1653" w:type="dxa"/>
                  <w:vAlign w:val="center"/>
                </w:tcPr>
                <w:p>
                  <w:pPr>
                    <w:spacing w:line="360" w:lineRule="auto"/>
                    <w:jc w:val="center"/>
                    <w:rPr>
                      <w:rFonts w:ascii="Calibri" w:hAnsi="Calibri" w:eastAsia="宋体" w:cs="Times New Roman"/>
                      <w:color w:val="auto"/>
                      <w:szCs w:val="21"/>
                      <w:highlight w:val="none"/>
                    </w:rPr>
                  </w:pPr>
                  <w:r>
                    <w:rPr>
                      <w:rFonts w:ascii="Calibri" w:hAnsi="Calibri" w:eastAsia="宋体" w:cs="Times New Roman"/>
                      <w:color w:val="auto"/>
                      <w:szCs w:val="21"/>
                      <w:highlight w:val="none"/>
                    </w:rPr>
                    <w:t>Ⅲ</w:t>
                  </w:r>
                </w:p>
              </w:tc>
              <w:tc>
                <w:tcPr>
                  <w:tcW w:w="1653" w:type="dxa"/>
                  <w:vAlign w:val="center"/>
                </w:tcPr>
                <w:p>
                  <w:pPr>
                    <w:spacing w:line="360" w:lineRule="auto"/>
                    <w:jc w:val="center"/>
                    <w:rPr>
                      <w:rFonts w:ascii="Calibri" w:hAnsi="Calibri" w:eastAsia="宋体" w:cs="Times New Roman"/>
                      <w:color w:val="auto"/>
                      <w:szCs w:val="21"/>
                      <w:highlight w:val="none"/>
                    </w:rPr>
                  </w:pPr>
                  <w:r>
                    <w:rPr>
                      <w:rFonts w:ascii="Calibri" w:hAnsi="Calibri" w:eastAsia="宋体" w:cs="Times New Roman"/>
                      <w:color w:val="auto"/>
                      <w:szCs w:val="21"/>
                      <w:highlight w:val="none"/>
                    </w:rPr>
                    <w:t>Ⅱ</w:t>
                  </w:r>
                </w:p>
              </w:tc>
              <w:tc>
                <w:tcPr>
                  <w:tcW w:w="1653" w:type="dxa"/>
                  <w:vAlign w:val="center"/>
                </w:tcPr>
                <w:p>
                  <w:pPr>
                    <w:spacing w:line="360" w:lineRule="auto"/>
                    <w:jc w:val="center"/>
                    <w:rPr>
                      <w:rFonts w:ascii="Calibri" w:hAnsi="Calibri" w:eastAsia="宋体" w:cs="Times New Roman"/>
                      <w:color w:val="auto"/>
                      <w:szCs w:val="21"/>
                      <w:highlight w:val="none"/>
                    </w:rPr>
                  </w:pPr>
                  <w:r>
                    <w:rPr>
                      <w:rFonts w:ascii="Calibri" w:hAnsi="Calibri" w:eastAsia="宋体" w:cs="Times New Roman"/>
                      <w:color w:val="auto"/>
                      <w:szCs w:val="21"/>
                      <w:highlight w:val="none"/>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4" w:type="dxa"/>
                  <w:vAlign w:val="center"/>
                </w:tcPr>
                <w:p>
                  <w:pPr>
                    <w:spacing w:line="360" w:lineRule="auto"/>
                    <w:jc w:val="center"/>
                    <w:rPr>
                      <w:rFonts w:ascii="Calibri" w:hAnsi="Calibri" w:eastAsia="宋体" w:cs="Times New Roman"/>
                      <w:color w:val="auto"/>
                      <w:szCs w:val="21"/>
                      <w:highlight w:val="none"/>
                    </w:rPr>
                  </w:pPr>
                  <w:r>
                    <w:rPr>
                      <w:rFonts w:ascii="Calibri" w:hAnsi="Calibri" w:eastAsia="宋体" w:cs="Times New Roman"/>
                      <w:color w:val="auto"/>
                      <w:szCs w:val="21"/>
                      <w:highlight w:val="none"/>
                    </w:rPr>
                    <w:t>评价工作等级</w:t>
                  </w:r>
                </w:p>
              </w:tc>
              <w:tc>
                <w:tcPr>
                  <w:tcW w:w="1683" w:type="dxa"/>
                  <w:vAlign w:val="center"/>
                </w:tcPr>
                <w:p>
                  <w:pPr>
                    <w:spacing w:line="360" w:lineRule="auto"/>
                    <w:jc w:val="center"/>
                    <w:rPr>
                      <w:rFonts w:ascii="Calibri" w:hAnsi="Calibri" w:eastAsia="宋体" w:cs="Times New Roman"/>
                      <w:color w:val="auto"/>
                      <w:szCs w:val="21"/>
                      <w:highlight w:val="none"/>
                    </w:rPr>
                  </w:pPr>
                  <w:r>
                    <w:rPr>
                      <w:rFonts w:ascii="Calibri" w:hAnsi="Calibri" w:eastAsia="宋体" w:cs="Times New Roman"/>
                      <w:color w:val="auto"/>
                      <w:szCs w:val="21"/>
                      <w:highlight w:val="none"/>
                    </w:rPr>
                    <w:t>一</w:t>
                  </w:r>
                </w:p>
              </w:tc>
              <w:tc>
                <w:tcPr>
                  <w:tcW w:w="1653" w:type="dxa"/>
                  <w:vAlign w:val="center"/>
                </w:tcPr>
                <w:p>
                  <w:pPr>
                    <w:spacing w:line="360" w:lineRule="auto"/>
                    <w:jc w:val="center"/>
                    <w:rPr>
                      <w:rFonts w:ascii="Calibri" w:hAnsi="Calibri" w:eastAsia="宋体" w:cs="Times New Roman"/>
                      <w:color w:val="auto"/>
                      <w:szCs w:val="21"/>
                      <w:highlight w:val="none"/>
                    </w:rPr>
                  </w:pPr>
                  <w:r>
                    <w:rPr>
                      <w:rFonts w:ascii="Calibri" w:hAnsi="Calibri" w:eastAsia="宋体" w:cs="Times New Roman"/>
                      <w:color w:val="auto"/>
                      <w:szCs w:val="21"/>
                      <w:highlight w:val="none"/>
                    </w:rPr>
                    <w:t>二</w:t>
                  </w:r>
                </w:p>
              </w:tc>
              <w:tc>
                <w:tcPr>
                  <w:tcW w:w="1653" w:type="dxa"/>
                  <w:vAlign w:val="center"/>
                </w:tcPr>
                <w:p>
                  <w:pPr>
                    <w:spacing w:line="360" w:lineRule="auto"/>
                    <w:jc w:val="center"/>
                    <w:rPr>
                      <w:rFonts w:ascii="Calibri" w:hAnsi="Calibri" w:eastAsia="宋体" w:cs="Times New Roman"/>
                      <w:color w:val="auto"/>
                      <w:szCs w:val="21"/>
                      <w:highlight w:val="none"/>
                    </w:rPr>
                  </w:pPr>
                  <w:r>
                    <w:rPr>
                      <w:rFonts w:ascii="Calibri" w:hAnsi="Calibri" w:eastAsia="宋体" w:cs="Times New Roman"/>
                      <w:color w:val="auto"/>
                      <w:szCs w:val="21"/>
                      <w:highlight w:val="none"/>
                    </w:rPr>
                    <w:t>三</w:t>
                  </w:r>
                </w:p>
              </w:tc>
              <w:tc>
                <w:tcPr>
                  <w:tcW w:w="1653" w:type="dxa"/>
                  <w:vAlign w:val="center"/>
                </w:tcPr>
                <w:p>
                  <w:pPr>
                    <w:spacing w:line="360" w:lineRule="auto"/>
                    <w:jc w:val="center"/>
                    <w:rPr>
                      <w:rFonts w:ascii="Calibri" w:hAnsi="Calibri" w:eastAsia="宋体" w:cs="Times New Roman"/>
                      <w:color w:val="auto"/>
                      <w:szCs w:val="21"/>
                      <w:highlight w:val="none"/>
                    </w:rPr>
                  </w:pPr>
                  <w:r>
                    <w:rPr>
                      <w:rFonts w:ascii="Calibri" w:hAnsi="Calibri" w:eastAsia="宋体" w:cs="Times New Roman"/>
                      <w:color w:val="auto"/>
                      <w:szCs w:val="21"/>
                      <w:highlight w:val="none"/>
                    </w:rPr>
                    <w:t>简单分析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6" w:type="dxa"/>
                  <w:gridSpan w:val="5"/>
                  <w:vAlign w:val="center"/>
                </w:tcPr>
                <w:p>
                  <w:pPr>
                    <w:spacing w:line="360" w:lineRule="auto"/>
                    <w:jc w:val="left"/>
                    <w:rPr>
                      <w:rFonts w:ascii="Calibri" w:hAnsi="Calibri" w:eastAsia="宋体" w:cs="Times New Roman"/>
                      <w:color w:val="auto"/>
                      <w:szCs w:val="21"/>
                      <w:highlight w:val="none"/>
                    </w:rPr>
                  </w:pPr>
                  <w:r>
                    <w:rPr>
                      <w:rFonts w:ascii="Calibri" w:hAnsi="Calibri" w:eastAsia="宋体" w:cs="Times New Roman"/>
                      <w:color w:val="auto"/>
                      <w:szCs w:val="21"/>
                      <w:highlight w:val="none"/>
                    </w:rPr>
                    <w:t>*是相对于详细评价工作内容而言，在描述危险物质、环境影响途径、环境危害后果、风险防范措施等方面给出定性的说明。</w:t>
                  </w:r>
                </w:p>
              </w:tc>
            </w:tr>
          </w:tbl>
          <w:p>
            <w:pPr>
              <w:spacing w:line="360" w:lineRule="auto"/>
              <w:ind w:firstLine="480"/>
              <w:jc w:val="left"/>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本项目环境风险潜势为Ⅰ，根据评价工作等级划分表，本项目环境风险评价仅进行简单分析。</w:t>
            </w:r>
          </w:p>
          <w:p>
            <w:pPr>
              <w:spacing w:line="360" w:lineRule="auto"/>
              <w:ind w:firstLine="480"/>
              <w:jc w:val="left"/>
              <w:rPr>
                <w:rFonts w:ascii="Times New Roman" w:hAnsi="Times New Roman" w:cs="Times New Roman"/>
                <w:b/>
                <w:color w:val="auto"/>
                <w:sz w:val="24"/>
                <w:highlight w:val="none"/>
              </w:rPr>
            </w:pPr>
            <w:r>
              <w:rPr>
                <w:rFonts w:ascii="Times New Roman" w:hAnsi="Times New Roman" w:cs="Times New Roman"/>
                <w:b/>
                <w:color w:val="auto"/>
                <w:sz w:val="24"/>
                <w:highlight w:val="none"/>
              </w:rPr>
              <w:t>（2）环境敏感目标概况</w:t>
            </w:r>
          </w:p>
          <w:p>
            <w:pPr>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根据风险潜势分析，本项目风险潜势为Ⅰ，评价工作等级低于三级，仅需要进行简单分析。根据危险物质可能的影响途径，本项目周围环境敏感目标主要为周边居民区和地表水，环境敏感目标详细信息详见表3-6，环境敏感目标区位分布图详见附图2。</w:t>
            </w:r>
          </w:p>
          <w:p>
            <w:pPr>
              <w:spacing w:line="360" w:lineRule="auto"/>
              <w:ind w:firstLine="482" w:firstLineChars="200"/>
              <w:rPr>
                <w:rFonts w:ascii="Times New Roman" w:hAnsi="Times New Roman" w:cs="Times New Roman"/>
                <w:b/>
                <w:bCs/>
                <w:color w:val="auto"/>
                <w:sz w:val="24"/>
                <w:highlight w:val="none"/>
              </w:rPr>
            </w:pPr>
            <w:r>
              <w:rPr>
                <w:rFonts w:hint="eastAsia" w:ascii="Times New Roman" w:hAnsi="Times New Roman" w:cs="Times New Roman"/>
                <w:b/>
                <w:bCs/>
                <w:color w:val="auto"/>
                <w:sz w:val="24"/>
                <w:highlight w:val="none"/>
              </w:rPr>
              <w:t>（3）</w:t>
            </w:r>
            <w:r>
              <w:rPr>
                <w:rFonts w:ascii="Times New Roman" w:hAnsi="Times New Roman" w:cs="Times New Roman"/>
                <w:b/>
                <w:bCs/>
                <w:color w:val="auto"/>
                <w:sz w:val="24"/>
                <w:highlight w:val="none"/>
              </w:rPr>
              <w:t>环境风险识别</w:t>
            </w:r>
          </w:p>
          <w:p>
            <w:pPr>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本项目涉及的 EPS属于可燃物质，存放在原料仓库，当电路短路或工作人员操作不规范时，可能会引发火灾，从而影响环境。</w:t>
            </w:r>
            <w:r>
              <w:rPr>
                <w:rFonts w:hint="eastAsia" w:ascii="Calibri" w:hAnsi="Calibri" w:eastAsia="宋体" w:cs="Times New Roman"/>
                <w:color w:val="auto"/>
                <w:sz w:val="24"/>
                <w:highlight w:val="none"/>
              </w:rPr>
              <w:t>废润滑油、含油废抹布、废UV光管、废活性炭</w:t>
            </w:r>
            <w:r>
              <w:rPr>
                <w:rFonts w:ascii="Times New Roman" w:hAnsi="Times New Roman" w:cs="Times New Roman"/>
                <w:color w:val="auto"/>
                <w:sz w:val="24"/>
                <w:highlight w:val="none"/>
              </w:rPr>
              <w:t>等危险废物储存在车间东部的危险废物暂存区，若危险废物的储存场所不规范或转运过程不规范可能会导致危险废物进入外环境。</w:t>
            </w:r>
          </w:p>
          <w:p>
            <w:pPr>
              <w:spacing w:line="360" w:lineRule="auto"/>
              <w:ind w:firstLine="482" w:firstLineChars="200"/>
              <w:rPr>
                <w:rFonts w:ascii="Calibri" w:hAnsi="Calibri" w:eastAsia="宋体" w:cs="Times New Roman"/>
                <w:color w:val="auto"/>
                <w:sz w:val="24"/>
                <w:highlight w:val="none"/>
              </w:rPr>
            </w:pPr>
            <w:r>
              <w:rPr>
                <w:rFonts w:ascii="Calibri" w:hAnsi="Calibri" w:eastAsia="宋体" w:cs="Times New Roman"/>
                <w:b/>
                <w:color w:val="auto"/>
                <w:sz w:val="24"/>
                <w:highlight w:val="none"/>
              </w:rPr>
              <w:t>（4）环境风险分析</w:t>
            </w:r>
          </w:p>
          <w:p>
            <w:pPr>
              <w:spacing w:line="360" w:lineRule="auto"/>
              <w:ind w:firstLine="480"/>
              <w:rPr>
                <w:rFonts w:ascii="Calibri" w:hAnsi="Calibri" w:eastAsia="宋体" w:cs="Times New Roman"/>
                <w:color w:val="auto"/>
                <w:sz w:val="24"/>
                <w:highlight w:val="none"/>
              </w:rPr>
            </w:pPr>
            <w:r>
              <w:rPr>
                <w:rFonts w:hint="eastAsia" w:ascii="Calibri" w:hAnsi="Calibri" w:eastAsia="宋体" w:cs="Times New Roman"/>
                <w:color w:val="auto"/>
                <w:sz w:val="24"/>
                <w:highlight w:val="none"/>
              </w:rPr>
              <w:t>当 EPS贮运过程和生产操作过程不规范导致发生火灾时，其燃烧产生的二次污染物会对大气环境造成一定的影响。当废润滑油、含油废抹布、废UV光管、废活性炭等危险废物在运输或储运过程中发生泄露事件，危险废物上的机油、汞和有机废气会随着地表径流进入地表水和渗入土壤环境，对地表水和土壤造成一定的影响。</w:t>
            </w:r>
          </w:p>
          <w:p>
            <w:pPr>
              <w:spacing w:line="360" w:lineRule="auto"/>
              <w:ind w:firstLine="480"/>
              <w:rPr>
                <w:rFonts w:ascii="Calibri" w:hAnsi="Calibri" w:eastAsia="宋体" w:cs="Times New Roman"/>
                <w:color w:val="auto"/>
                <w:sz w:val="24"/>
                <w:highlight w:val="none"/>
              </w:rPr>
            </w:pPr>
            <w:r>
              <w:rPr>
                <w:rFonts w:ascii="Calibri" w:hAnsi="Calibri" w:eastAsia="宋体" w:cs="Times New Roman"/>
                <w:b/>
                <w:color w:val="auto"/>
                <w:sz w:val="24"/>
                <w:highlight w:val="none"/>
              </w:rPr>
              <w:t>（5）环境风险防范措施及应急要求</w:t>
            </w:r>
          </w:p>
          <w:p>
            <w:pPr>
              <w:spacing w:line="360" w:lineRule="auto"/>
              <w:ind w:firstLine="482"/>
              <w:rPr>
                <w:rFonts w:ascii="Calibri" w:hAnsi="Calibri" w:eastAsia="宋体" w:cs="Times New Roman"/>
                <w:b/>
                <w:color w:val="auto"/>
                <w:sz w:val="24"/>
                <w:highlight w:val="none"/>
              </w:rPr>
            </w:pPr>
            <w:r>
              <w:rPr>
                <w:rFonts w:ascii="Calibri" w:hAnsi="Calibri" w:eastAsia="宋体" w:cs="Times New Roman"/>
                <w:b/>
                <w:color w:val="auto"/>
                <w:sz w:val="24"/>
                <w:highlight w:val="none"/>
              </w:rPr>
              <w:t>环境风险防范措施</w:t>
            </w:r>
          </w:p>
          <w:p>
            <w:pPr>
              <w:spacing w:line="360" w:lineRule="auto"/>
              <w:ind w:firstLine="480"/>
              <w:rPr>
                <w:rFonts w:ascii="Calibri" w:hAnsi="Calibri" w:eastAsia="宋体" w:cs="Times New Roman"/>
                <w:color w:val="auto"/>
                <w:sz w:val="24"/>
                <w:highlight w:val="none"/>
              </w:rPr>
            </w:pPr>
            <w:r>
              <w:rPr>
                <w:rFonts w:ascii="Calibri" w:hAnsi="Calibri" w:eastAsia="宋体" w:cs="Times New Roman"/>
                <w:color w:val="auto"/>
                <w:sz w:val="24"/>
                <w:highlight w:val="none"/>
              </w:rPr>
              <w:t>a.加强工艺管理，严格控制工艺指标。企业应建立科学、严格的生产操作规程和安全管理体系，做到各车间、工段生产、安全都有专业人员专职负责。</w:t>
            </w:r>
          </w:p>
          <w:p>
            <w:pPr>
              <w:spacing w:line="360" w:lineRule="auto"/>
              <w:ind w:firstLine="480"/>
              <w:rPr>
                <w:rFonts w:ascii="Calibri" w:hAnsi="Calibri" w:eastAsia="宋体" w:cs="Times New Roman"/>
                <w:color w:val="auto"/>
                <w:sz w:val="24"/>
                <w:highlight w:val="none"/>
              </w:rPr>
            </w:pPr>
            <w:r>
              <w:rPr>
                <w:rFonts w:ascii="Calibri" w:hAnsi="Calibri" w:eastAsia="宋体" w:cs="Times New Roman"/>
                <w:color w:val="auto"/>
                <w:sz w:val="24"/>
                <w:highlight w:val="none"/>
              </w:rPr>
              <w:t>b.加强安全生产教育。安全生产教育包括安全教育、特殊工种安全教育、日常安全教育、装置开工前安全教育和外来人员安全教育五部分内容。让所有员工了解本厂各种原材料以及废料的物理、化学和生理特性及其毒性，所有防护措施、环境影响等。</w:t>
            </w:r>
          </w:p>
          <w:p>
            <w:pPr>
              <w:spacing w:line="360" w:lineRule="auto"/>
              <w:ind w:firstLine="480"/>
              <w:rPr>
                <w:rFonts w:ascii="Calibri" w:hAnsi="Calibri" w:eastAsia="宋体" w:cs="Times New Roman"/>
                <w:color w:val="auto"/>
                <w:sz w:val="24"/>
                <w:highlight w:val="none"/>
              </w:rPr>
            </w:pPr>
            <w:r>
              <w:rPr>
                <w:rFonts w:ascii="Calibri" w:hAnsi="Calibri" w:eastAsia="宋体" w:cs="Times New Roman"/>
                <w:color w:val="auto"/>
                <w:sz w:val="24"/>
                <w:highlight w:val="none"/>
              </w:rPr>
              <w:t>c.</w:t>
            </w:r>
            <w:r>
              <w:rPr>
                <w:rFonts w:hint="eastAsia"/>
                <w:color w:val="auto"/>
                <w:highlight w:val="none"/>
              </w:rPr>
              <w:t xml:space="preserve"> </w:t>
            </w:r>
            <w:r>
              <w:rPr>
                <w:rFonts w:hint="eastAsia" w:ascii="Calibri" w:hAnsi="Calibri" w:eastAsia="宋体" w:cs="Times New Roman"/>
                <w:color w:val="auto"/>
                <w:sz w:val="24"/>
                <w:highlight w:val="none"/>
              </w:rPr>
              <w:t>可燃原辅料需设置专用场地进行保管，并设置专人管理，原辅料进出厂必须进行核查登记，并定期检查库存；配备消防栓和消防灭火器材等灭火装置，预留安全疏散通道，严禁在车间内吸烟，对电路定期检查，严格控制用电负荷，并严格监督执行，以杜绝火灾隐患。发生安全事故时有相应安全应急措施，企业内部制定严格的管理条例和岗位责任制，加强职工的安全生产教育，提高风险意识。</w:t>
            </w:r>
          </w:p>
          <w:p>
            <w:pPr>
              <w:spacing w:line="360" w:lineRule="auto"/>
              <w:ind w:firstLine="480"/>
              <w:rPr>
                <w:rFonts w:ascii="Calibri" w:hAnsi="Calibri" w:eastAsia="宋体" w:cs="Times New Roman"/>
                <w:color w:val="auto"/>
                <w:sz w:val="24"/>
                <w:highlight w:val="none"/>
              </w:rPr>
            </w:pPr>
            <w:r>
              <w:rPr>
                <w:rFonts w:ascii="Calibri" w:hAnsi="Calibri" w:eastAsia="宋体" w:cs="Times New Roman"/>
                <w:color w:val="auto"/>
                <w:sz w:val="24"/>
                <w:highlight w:val="none"/>
              </w:rPr>
              <w:t>d.对生产过程中产生的</w:t>
            </w:r>
            <w:r>
              <w:rPr>
                <w:rFonts w:hint="eastAsia" w:ascii="Calibri" w:hAnsi="Calibri" w:eastAsia="宋体" w:cs="Times New Roman"/>
                <w:color w:val="auto"/>
                <w:sz w:val="24"/>
                <w:highlight w:val="none"/>
              </w:rPr>
              <w:t>固废</w:t>
            </w:r>
            <w:r>
              <w:rPr>
                <w:rFonts w:ascii="Calibri" w:hAnsi="Calibri" w:eastAsia="宋体" w:cs="Times New Roman"/>
                <w:color w:val="auto"/>
                <w:sz w:val="24"/>
                <w:highlight w:val="none"/>
              </w:rPr>
              <w:t>，分类收集，分别包装临时储存，定期交有相应类别处理资质的单位处理。</w:t>
            </w:r>
          </w:p>
          <w:p>
            <w:pPr>
              <w:spacing w:line="360" w:lineRule="auto"/>
              <w:ind w:firstLine="480"/>
              <w:rPr>
                <w:rFonts w:ascii="Calibri" w:hAnsi="Calibri" w:eastAsia="宋体" w:cs="Times New Roman"/>
                <w:color w:val="auto"/>
                <w:sz w:val="24"/>
                <w:highlight w:val="none"/>
              </w:rPr>
            </w:pPr>
            <w:r>
              <w:rPr>
                <w:rFonts w:hint="eastAsia" w:ascii="Calibri" w:hAnsi="Calibri" w:eastAsia="宋体" w:cs="Times New Roman"/>
                <w:color w:val="auto"/>
                <w:sz w:val="24"/>
                <w:highlight w:val="none"/>
              </w:rPr>
              <w:t>e</w:t>
            </w:r>
            <w:r>
              <w:rPr>
                <w:rFonts w:ascii="Calibri" w:hAnsi="Calibri" w:eastAsia="宋体" w:cs="Times New Roman"/>
                <w:color w:val="auto"/>
                <w:sz w:val="24"/>
                <w:highlight w:val="none"/>
              </w:rPr>
              <w:t>.</w:t>
            </w:r>
            <w:r>
              <w:rPr>
                <w:rFonts w:hint="eastAsia" w:ascii="Calibri" w:hAnsi="Calibri" w:eastAsia="宋体" w:cs="Times New Roman"/>
                <w:color w:val="auto"/>
                <w:sz w:val="24"/>
                <w:highlight w:val="none"/>
              </w:rPr>
              <w:t>对聚苯乙烯采用专用存储场所，且存放地点应按有关消防部门的规范要求进行设计和建设。危险废物暂存间设置在生产车间内、地面硬化处理、并在周围设置围堰，做到防淋、防渗、防泄漏，防止泄漏下渗污染地下。</w:t>
            </w:r>
          </w:p>
          <w:p>
            <w:pPr>
              <w:spacing w:line="360" w:lineRule="auto"/>
              <w:ind w:firstLine="480"/>
              <w:rPr>
                <w:rFonts w:ascii="Calibri" w:hAnsi="Calibri" w:eastAsia="宋体" w:cs="Times New Roman"/>
                <w:color w:val="auto"/>
                <w:sz w:val="24"/>
                <w:highlight w:val="none"/>
              </w:rPr>
            </w:pPr>
            <w:r>
              <w:rPr>
                <w:rFonts w:hint="eastAsia" w:ascii="Calibri" w:hAnsi="Calibri" w:eastAsia="宋体" w:cs="Times New Roman"/>
                <w:color w:val="auto"/>
                <w:sz w:val="24"/>
                <w:highlight w:val="none"/>
              </w:rPr>
              <w:t>f</w:t>
            </w:r>
            <w:r>
              <w:rPr>
                <w:rFonts w:ascii="Calibri" w:hAnsi="Calibri" w:eastAsia="宋体" w:cs="Times New Roman"/>
                <w:color w:val="auto"/>
                <w:sz w:val="24"/>
                <w:highlight w:val="none"/>
              </w:rPr>
              <w:t>.</w:t>
            </w:r>
            <w:r>
              <w:rPr>
                <w:rFonts w:hint="eastAsia" w:ascii="Calibri" w:hAnsi="Calibri" w:eastAsia="宋体" w:cs="Times New Roman"/>
                <w:color w:val="auto"/>
                <w:sz w:val="24"/>
                <w:highlight w:val="none"/>
              </w:rPr>
              <w:t>边角料妥善收集，及时回收利用，临时堆存时间不得过长，堆存量不得超过规定要求，以防造成安全事故。</w:t>
            </w:r>
          </w:p>
          <w:p>
            <w:pPr>
              <w:spacing w:line="360" w:lineRule="auto"/>
              <w:ind w:firstLine="480"/>
              <w:rPr>
                <w:rFonts w:ascii="Calibri" w:hAnsi="Calibri" w:eastAsia="宋体" w:cs="Times New Roman"/>
                <w:color w:val="auto"/>
                <w:sz w:val="24"/>
                <w:highlight w:val="none"/>
              </w:rPr>
            </w:pPr>
            <w:r>
              <w:rPr>
                <w:rFonts w:ascii="Calibri" w:hAnsi="Calibri" w:eastAsia="宋体" w:cs="Times New Roman"/>
                <w:color w:val="auto"/>
                <w:sz w:val="24"/>
                <w:highlight w:val="none"/>
              </w:rPr>
              <w:t>建设单位应在生产中落实各项风险防范措施，可以把环境风险控制在最低范围，环境风险程度可以接受。</w:t>
            </w:r>
          </w:p>
          <w:p>
            <w:pPr>
              <w:spacing w:line="360" w:lineRule="auto"/>
              <w:ind w:firstLine="482"/>
              <w:rPr>
                <w:rFonts w:ascii="Calibri" w:hAnsi="Calibri" w:eastAsia="宋体" w:cs="Times New Roman"/>
                <w:b/>
                <w:color w:val="auto"/>
                <w:sz w:val="24"/>
                <w:highlight w:val="none"/>
              </w:rPr>
            </w:pPr>
            <w:r>
              <w:rPr>
                <w:rFonts w:ascii="Calibri" w:hAnsi="Calibri" w:eastAsia="宋体" w:cs="Times New Roman"/>
                <w:b/>
                <w:color w:val="auto"/>
                <w:sz w:val="24"/>
                <w:highlight w:val="none"/>
              </w:rPr>
              <w:t>应急要求</w:t>
            </w:r>
          </w:p>
          <w:p>
            <w:pPr>
              <w:spacing w:line="360" w:lineRule="auto"/>
              <w:ind w:firstLine="480"/>
              <w:rPr>
                <w:rFonts w:ascii="Calibri" w:hAnsi="Calibri" w:eastAsia="宋体" w:cs="Times New Roman"/>
                <w:color w:val="auto"/>
                <w:sz w:val="24"/>
                <w:highlight w:val="none"/>
              </w:rPr>
            </w:pPr>
            <w:r>
              <w:rPr>
                <w:rFonts w:ascii="Calibri" w:hAnsi="Calibri" w:eastAsia="宋体" w:cs="Times New Roman"/>
                <w:color w:val="auto"/>
                <w:sz w:val="24"/>
                <w:highlight w:val="none"/>
              </w:rPr>
              <w:t>针对</w:t>
            </w:r>
            <w:r>
              <w:rPr>
                <w:rFonts w:hint="eastAsia" w:ascii="Calibri" w:hAnsi="Calibri" w:eastAsia="宋体" w:cs="Times New Roman"/>
                <w:color w:val="auto"/>
                <w:sz w:val="24"/>
                <w:highlight w:val="none"/>
              </w:rPr>
              <w:t>火灾事故</w:t>
            </w:r>
            <w:r>
              <w:rPr>
                <w:rFonts w:ascii="Calibri" w:hAnsi="Calibri" w:eastAsia="宋体" w:cs="Times New Roman"/>
                <w:color w:val="auto"/>
                <w:sz w:val="24"/>
                <w:highlight w:val="none"/>
              </w:rPr>
              <w:t>可能带来的风险，提出以下应急要求：</w:t>
            </w:r>
          </w:p>
          <w:p>
            <w:pPr>
              <w:spacing w:line="360" w:lineRule="auto"/>
              <w:ind w:firstLine="480"/>
              <w:rPr>
                <w:rFonts w:ascii="宋体" w:hAnsi="宋体" w:eastAsia="宋体" w:cs="宋体"/>
                <w:color w:val="auto"/>
                <w:sz w:val="24"/>
                <w:highlight w:val="none"/>
              </w:rPr>
            </w:pPr>
            <w:r>
              <w:rPr>
                <w:rFonts w:hint="eastAsia" w:cs="宋体" w:asciiTheme="minorEastAsia" w:hAnsiTheme="minorEastAsia"/>
                <w:color w:val="auto"/>
                <w:sz w:val="24"/>
                <w:highlight w:val="none"/>
              </w:rPr>
              <w:t>①</w:t>
            </w:r>
            <w:r>
              <w:rPr>
                <w:rFonts w:hint="eastAsia" w:ascii="宋体" w:hAnsi="宋体" w:eastAsia="宋体" w:cs="宋体"/>
                <w:color w:val="auto"/>
                <w:sz w:val="24"/>
                <w:highlight w:val="none"/>
              </w:rPr>
              <w:t>厂房内应配备泡沫灭火器、消防砂箱和防毒面具等消防应急设备，并定期检查设备有效性。</w:t>
            </w:r>
          </w:p>
          <w:p>
            <w:pPr>
              <w:spacing w:line="36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②</w:t>
            </w:r>
            <w:r>
              <w:rPr>
                <w:rFonts w:ascii="Calibri" w:hAnsi="Calibri" w:eastAsia="宋体" w:cs="Times New Roman"/>
                <w:color w:val="auto"/>
                <w:sz w:val="24"/>
                <w:highlight w:val="none"/>
              </w:rPr>
              <w:t>车间各功能区之间设有环形通道，有利于安全疏散和消防。各建筑物均按火灾危险等级进行设计，考虑整体通风与局部排风相结合，避免死角造成有害物质的聚焦。</w:t>
            </w:r>
          </w:p>
          <w:p>
            <w:pPr>
              <w:spacing w:line="360" w:lineRule="auto"/>
              <w:ind w:firstLine="480"/>
              <w:rPr>
                <w:rFonts w:ascii="Calibri" w:hAnsi="Calibri" w:eastAsia="宋体" w:cs="Times New Roman"/>
                <w:color w:val="auto"/>
                <w:sz w:val="24"/>
                <w:highlight w:val="none"/>
              </w:rPr>
            </w:pPr>
            <w:r>
              <w:rPr>
                <w:rFonts w:hint="eastAsia" w:ascii="宋体" w:hAnsi="宋体" w:eastAsia="宋体" w:cs="宋体"/>
                <w:color w:val="auto"/>
                <w:sz w:val="24"/>
                <w:highlight w:val="none"/>
              </w:rPr>
              <w:t>③</w:t>
            </w:r>
            <w:r>
              <w:rPr>
                <w:rFonts w:ascii="Calibri" w:hAnsi="Calibri" w:eastAsia="宋体" w:cs="Times New Roman"/>
                <w:color w:val="auto"/>
                <w:sz w:val="24"/>
                <w:highlight w:val="none"/>
              </w:rPr>
              <w:t>建立和完善各级安全生产责任制，并切实落到实处。各级领导和生产管理人员必须重视安全生产，积极推广科学安全管理方法，强化安全操作制度和劳动纪律。</w:t>
            </w:r>
          </w:p>
          <w:p>
            <w:pPr>
              <w:spacing w:line="360" w:lineRule="auto"/>
              <w:ind w:firstLine="480"/>
              <w:rPr>
                <w:rFonts w:ascii="Calibri" w:hAnsi="Calibri" w:eastAsia="宋体" w:cs="Times New Roman"/>
                <w:color w:val="auto"/>
                <w:sz w:val="24"/>
                <w:highlight w:val="none"/>
              </w:rPr>
            </w:pPr>
            <w:r>
              <w:rPr>
                <w:rFonts w:hint="eastAsia" w:ascii="宋体" w:hAnsi="宋体" w:eastAsia="宋体" w:cs="宋体"/>
                <w:color w:val="auto"/>
                <w:sz w:val="24"/>
                <w:highlight w:val="none"/>
              </w:rPr>
              <w:t>④</w:t>
            </w:r>
            <w:r>
              <w:rPr>
                <w:rFonts w:ascii="Calibri" w:hAnsi="Calibri" w:eastAsia="宋体" w:cs="Times New Roman"/>
                <w:color w:val="auto"/>
                <w:sz w:val="24"/>
                <w:highlight w:val="none"/>
              </w:rPr>
              <w:t>对职工要加强职业培训和安全教育。培养职工要有高度的安全生产责任心，并且要熟悉相应的业务，有熟练的操作技能。</w:t>
            </w:r>
          </w:p>
          <w:p>
            <w:pPr>
              <w:spacing w:line="360" w:lineRule="auto"/>
              <w:ind w:firstLine="480"/>
              <w:rPr>
                <w:rFonts w:ascii="Calibri" w:hAnsi="Calibri" w:eastAsia="宋体" w:cs="Times New Roman"/>
                <w:color w:val="auto"/>
                <w:sz w:val="24"/>
                <w:highlight w:val="none"/>
              </w:rPr>
            </w:pPr>
            <w:r>
              <w:rPr>
                <w:rFonts w:ascii="Calibri" w:hAnsi="Calibri" w:eastAsia="宋体" w:cs="Times New Roman"/>
                <w:color w:val="auto"/>
                <w:sz w:val="24"/>
                <w:highlight w:val="none"/>
              </w:rPr>
              <w:t>由于本项目</w:t>
            </w:r>
            <w:r>
              <w:rPr>
                <w:rFonts w:hint="eastAsia" w:ascii="Calibri" w:hAnsi="Calibri" w:eastAsia="宋体" w:cs="Times New Roman"/>
                <w:color w:val="auto"/>
                <w:sz w:val="24"/>
                <w:highlight w:val="none"/>
              </w:rPr>
              <w:t>风险主要为火灾风险</w:t>
            </w:r>
            <w:r>
              <w:rPr>
                <w:rFonts w:ascii="Calibri" w:hAnsi="Calibri" w:eastAsia="宋体" w:cs="Times New Roman"/>
                <w:color w:val="auto"/>
                <w:sz w:val="24"/>
                <w:highlight w:val="none"/>
              </w:rPr>
              <w:t>，项目不构成重大风险源，通过采取相应的风险防范措施，可以将项目的风险水平降到较低的水平，因此本项目环境风险水平在可接受的范围。一旦发生事故，建设单位应立即执行事故应急预案，采取合理的事故应急处理措施，将事故影响降到最低限度。</w:t>
            </w:r>
          </w:p>
          <w:p>
            <w:pPr>
              <w:pStyle w:val="24"/>
              <w:spacing w:line="360" w:lineRule="auto"/>
              <w:ind w:firstLine="482" w:firstLineChars="200"/>
              <w:jc w:val="both"/>
              <w:rPr>
                <w:rFonts w:ascii="Times New Roman" w:cs="Times New Roman"/>
                <w:b/>
                <w:color w:val="auto"/>
                <w:highlight w:val="none"/>
              </w:rPr>
            </w:pPr>
            <w:r>
              <w:rPr>
                <w:rFonts w:ascii="Times New Roman" w:cs="Times New Roman"/>
                <w:b/>
                <w:color w:val="auto"/>
                <w:highlight w:val="none"/>
              </w:rPr>
              <w:t>（6）分析结论</w:t>
            </w:r>
          </w:p>
          <w:p>
            <w:pPr>
              <w:snapToGrid w:val="0"/>
              <w:spacing w:line="360" w:lineRule="auto"/>
              <w:ind w:firstLine="480"/>
              <w:rPr>
                <w:rFonts w:ascii="Calibri" w:hAnsi="Calibri" w:eastAsia="宋体" w:cs="Times New Roman"/>
                <w:color w:val="auto"/>
                <w:kern w:val="0"/>
                <w:sz w:val="24"/>
                <w:highlight w:val="none"/>
              </w:rPr>
            </w:pPr>
            <w:r>
              <w:rPr>
                <w:rFonts w:ascii="Calibri" w:hAnsi="Calibri" w:eastAsia="宋体" w:cs="Times New Roman"/>
                <w:color w:val="auto"/>
                <w:kern w:val="0"/>
                <w:sz w:val="24"/>
                <w:highlight w:val="none"/>
              </w:rPr>
              <w:t>综上所述，本项目环境风险主要来自</w:t>
            </w:r>
            <w:r>
              <w:rPr>
                <w:rFonts w:hint="eastAsia" w:ascii="Calibri" w:hAnsi="Calibri" w:eastAsia="宋体" w:cs="Times New Roman"/>
                <w:color w:val="auto"/>
                <w:sz w:val="24"/>
                <w:highlight w:val="none"/>
              </w:rPr>
              <w:t>生产过程、原料堆放及线路老化等引起的火灾事故</w:t>
            </w:r>
            <w:r>
              <w:rPr>
                <w:rFonts w:ascii="Calibri" w:hAnsi="Calibri" w:eastAsia="宋体" w:cs="Times New Roman"/>
                <w:color w:val="auto"/>
                <w:sz w:val="24"/>
                <w:highlight w:val="none"/>
              </w:rPr>
              <w:t>。</w:t>
            </w:r>
            <w:r>
              <w:rPr>
                <w:rFonts w:ascii="Calibri" w:hAnsi="Calibri" w:eastAsia="宋体" w:cs="Times New Roman"/>
                <w:color w:val="auto"/>
                <w:kern w:val="0"/>
                <w:sz w:val="24"/>
                <w:highlight w:val="none"/>
              </w:rPr>
              <w:t>建设单位须进一步加强风险管理，严格风险管理机制，落实本评价提出的环境风险防范措施和应急措施，并应经常或定期开展应急救援培训和演练，一旦发生事故，能够及时启动应急预案，将风险事故的影响降到较低水平。在此基础上，本项目</w:t>
            </w:r>
            <w:r>
              <w:rPr>
                <w:rFonts w:ascii="Calibri" w:hAnsi="Calibri" w:eastAsia="宋体" w:cs="Times New Roman"/>
                <w:color w:val="auto"/>
                <w:sz w:val="24"/>
                <w:highlight w:val="none"/>
              </w:rPr>
              <w:t>环境风险可接受。</w:t>
            </w:r>
          </w:p>
          <w:p>
            <w:pPr>
              <w:pStyle w:val="24"/>
              <w:spacing w:line="360" w:lineRule="auto"/>
              <w:ind w:firstLine="422"/>
              <w:jc w:val="center"/>
              <w:rPr>
                <w:b/>
                <w:color w:val="auto"/>
                <w:sz w:val="21"/>
                <w:szCs w:val="21"/>
                <w:highlight w:val="none"/>
              </w:rPr>
            </w:pPr>
            <w:r>
              <w:rPr>
                <w:rFonts w:ascii="Times New Roman" w:hAnsi="Times New Roman" w:cs="Times New Roman"/>
                <w:b/>
                <w:color w:val="auto"/>
                <w:sz w:val="21"/>
                <w:szCs w:val="21"/>
                <w:highlight w:val="none"/>
              </w:rPr>
              <w:t>表</w:t>
            </w:r>
            <w:r>
              <w:rPr>
                <w:rFonts w:hint="eastAsia" w:ascii="Times New Roman" w:hAnsi="Times New Roman" w:cs="Times New Roman"/>
                <w:b/>
                <w:color w:val="auto"/>
                <w:sz w:val="21"/>
                <w:szCs w:val="21"/>
                <w:highlight w:val="none"/>
              </w:rPr>
              <w:t>7-</w:t>
            </w:r>
            <w:r>
              <w:rPr>
                <w:rFonts w:ascii="Times New Roman" w:hAnsi="Times New Roman" w:cs="Times New Roman"/>
                <w:b/>
                <w:color w:val="auto"/>
                <w:sz w:val="21"/>
                <w:szCs w:val="21"/>
                <w:highlight w:val="none"/>
              </w:rPr>
              <w:t>21建设项目环境风险简单分析内容</w:t>
            </w:r>
            <w:r>
              <w:rPr>
                <w:b/>
                <w:color w:val="auto"/>
                <w:sz w:val="21"/>
                <w:szCs w:val="21"/>
                <w:highlight w:val="none"/>
              </w:rPr>
              <w:t>表</w:t>
            </w:r>
          </w:p>
          <w:tbl>
            <w:tblPr>
              <w:tblStyle w:val="22"/>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8"/>
              <w:gridCol w:w="1301"/>
              <w:gridCol w:w="330"/>
              <w:gridCol w:w="981"/>
              <w:gridCol w:w="662"/>
              <w:gridCol w:w="644"/>
              <w:gridCol w:w="986"/>
              <w:gridCol w:w="322"/>
              <w:gridCol w:w="1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58" w:type="dxa"/>
                  <w:vAlign w:val="center"/>
                </w:tcPr>
                <w:p>
                  <w:pPr>
                    <w:pStyle w:val="24"/>
                    <w:jc w:val="center"/>
                    <w:rPr>
                      <w:color w:val="auto"/>
                      <w:sz w:val="21"/>
                      <w:szCs w:val="21"/>
                      <w:highlight w:val="none"/>
                    </w:rPr>
                  </w:pPr>
                  <w:r>
                    <w:rPr>
                      <w:rFonts w:hint="eastAsia"/>
                      <w:color w:val="auto"/>
                      <w:sz w:val="21"/>
                      <w:szCs w:val="21"/>
                      <w:highlight w:val="none"/>
                    </w:rPr>
                    <w:t>建设项目名称</w:t>
                  </w:r>
                </w:p>
              </w:tc>
              <w:tc>
                <w:tcPr>
                  <w:tcW w:w="6538" w:type="dxa"/>
                  <w:gridSpan w:val="8"/>
                  <w:vAlign w:val="center"/>
                </w:tcPr>
                <w:p>
                  <w:pPr>
                    <w:pStyle w:val="24"/>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开平市鹏裕包装材料有限公司建设项目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58" w:type="dxa"/>
                  <w:vAlign w:val="center"/>
                </w:tcPr>
                <w:p>
                  <w:pPr>
                    <w:pStyle w:val="24"/>
                    <w:jc w:val="center"/>
                    <w:rPr>
                      <w:color w:val="auto"/>
                      <w:sz w:val="21"/>
                      <w:szCs w:val="21"/>
                      <w:highlight w:val="none"/>
                    </w:rPr>
                  </w:pPr>
                  <w:r>
                    <w:rPr>
                      <w:rFonts w:hint="eastAsia"/>
                      <w:color w:val="auto"/>
                      <w:sz w:val="21"/>
                      <w:szCs w:val="21"/>
                      <w:highlight w:val="none"/>
                    </w:rPr>
                    <w:t>建设地点</w:t>
                  </w:r>
                </w:p>
              </w:tc>
              <w:tc>
                <w:tcPr>
                  <w:tcW w:w="1301" w:type="dxa"/>
                  <w:vAlign w:val="center"/>
                </w:tcPr>
                <w:p>
                  <w:pPr>
                    <w:pStyle w:val="24"/>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（广东）省</w:t>
                  </w:r>
                </w:p>
              </w:tc>
              <w:tc>
                <w:tcPr>
                  <w:tcW w:w="1311" w:type="dxa"/>
                  <w:gridSpan w:val="2"/>
                  <w:vAlign w:val="center"/>
                </w:tcPr>
                <w:p>
                  <w:pPr>
                    <w:pStyle w:val="24"/>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rPr>
                    <w:t>江门</w:t>
                  </w:r>
                  <w:r>
                    <w:rPr>
                      <w:rFonts w:ascii="Times New Roman" w:hAnsi="Times New Roman" w:cs="Times New Roman"/>
                      <w:color w:val="auto"/>
                      <w:sz w:val="21"/>
                      <w:szCs w:val="21"/>
                      <w:highlight w:val="none"/>
                    </w:rPr>
                    <w:t>）市</w:t>
                  </w:r>
                </w:p>
              </w:tc>
              <w:tc>
                <w:tcPr>
                  <w:tcW w:w="1306" w:type="dxa"/>
                  <w:gridSpan w:val="2"/>
                  <w:vAlign w:val="center"/>
                </w:tcPr>
                <w:p>
                  <w:pPr>
                    <w:pStyle w:val="24"/>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rPr>
                    <w:t>开平</w:t>
                  </w:r>
                  <w:r>
                    <w:rPr>
                      <w:rFonts w:ascii="Times New Roman" w:hAnsi="Times New Roman" w:cs="Times New Roman"/>
                      <w:color w:val="auto"/>
                      <w:sz w:val="21"/>
                      <w:szCs w:val="21"/>
                      <w:highlight w:val="none"/>
                    </w:rPr>
                    <w:t>）区</w:t>
                  </w:r>
                </w:p>
              </w:tc>
              <w:tc>
                <w:tcPr>
                  <w:tcW w:w="1308" w:type="dxa"/>
                  <w:gridSpan w:val="2"/>
                  <w:vAlign w:val="center"/>
                </w:tcPr>
                <w:p>
                  <w:pPr>
                    <w:pStyle w:val="24"/>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（/）县</w:t>
                  </w:r>
                </w:p>
              </w:tc>
              <w:tc>
                <w:tcPr>
                  <w:tcW w:w="1312" w:type="dxa"/>
                  <w:vAlign w:val="center"/>
                </w:tcPr>
                <w:p>
                  <w:pPr>
                    <w:pStyle w:val="24"/>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58" w:type="dxa"/>
                  <w:vAlign w:val="center"/>
                </w:tcPr>
                <w:p>
                  <w:pPr>
                    <w:pStyle w:val="24"/>
                    <w:jc w:val="center"/>
                    <w:rPr>
                      <w:color w:val="auto"/>
                      <w:sz w:val="21"/>
                      <w:szCs w:val="21"/>
                      <w:highlight w:val="none"/>
                    </w:rPr>
                  </w:pPr>
                  <w:r>
                    <w:rPr>
                      <w:rFonts w:hint="eastAsia"/>
                      <w:color w:val="auto"/>
                      <w:sz w:val="21"/>
                      <w:szCs w:val="21"/>
                      <w:highlight w:val="none"/>
                    </w:rPr>
                    <w:t>地理坐标</w:t>
                  </w:r>
                </w:p>
              </w:tc>
              <w:tc>
                <w:tcPr>
                  <w:tcW w:w="1631" w:type="dxa"/>
                  <w:gridSpan w:val="2"/>
                  <w:vAlign w:val="center"/>
                </w:tcPr>
                <w:p>
                  <w:pPr>
                    <w:pStyle w:val="24"/>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经度</w:t>
                  </w:r>
                </w:p>
              </w:tc>
              <w:tc>
                <w:tcPr>
                  <w:tcW w:w="1643" w:type="dxa"/>
                  <w:gridSpan w:val="2"/>
                  <w:vAlign w:val="center"/>
                </w:tcPr>
                <w:p>
                  <w:pPr>
                    <w:pStyle w:val="24"/>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112°37′32″</w:t>
                  </w:r>
                </w:p>
              </w:tc>
              <w:tc>
                <w:tcPr>
                  <w:tcW w:w="1630" w:type="dxa"/>
                  <w:gridSpan w:val="2"/>
                  <w:vAlign w:val="center"/>
                </w:tcPr>
                <w:p>
                  <w:pPr>
                    <w:pStyle w:val="24"/>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纬度</w:t>
                  </w:r>
                </w:p>
              </w:tc>
              <w:tc>
                <w:tcPr>
                  <w:tcW w:w="1634" w:type="dxa"/>
                  <w:gridSpan w:val="2"/>
                  <w:vAlign w:val="center"/>
                </w:tcPr>
                <w:p>
                  <w:pPr>
                    <w:pStyle w:val="24"/>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22°24′24″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58" w:type="dxa"/>
                  <w:vAlign w:val="center"/>
                </w:tcPr>
                <w:p>
                  <w:pPr>
                    <w:pStyle w:val="24"/>
                    <w:jc w:val="center"/>
                    <w:rPr>
                      <w:color w:val="auto"/>
                      <w:sz w:val="21"/>
                      <w:szCs w:val="21"/>
                      <w:highlight w:val="none"/>
                    </w:rPr>
                  </w:pPr>
                  <w:r>
                    <w:rPr>
                      <w:rFonts w:hint="eastAsia"/>
                      <w:color w:val="auto"/>
                      <w:sz w:val="21"/>
                      <w:szCs w:val="21"/>
                      <w:highlight w:val="none"/>
                    </w:rPr>
                    <w:t>主要危险物质及分布</w:t>
                  </w:r>
                </w:p>
              </w:tc>
              <w:tc>
                <w:tcPr>
                  <w:tcW w:w="6538" w:type="dxa"/>
                  <w:gridSpan w:val="8"/>
                  <w:vAlign w:val="center"/>
                </w:tcPr>
                <w:p>
                  <w:pPr>
                    <w:pStyle w:val="24"/>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本项目环境风险为生产过程、原料堆放及线路老化等引起的火灾事故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58" w:type="dxa"/>
                  <w:vAlign w:val="center"/>
                </w:tcPr>
                <w:p>
                  <w:pPr>
                    <w:pStyle w:val="24"/>
                    <w:jc w:val="center"/>
                    <w:rPr>
                      <w:color w:val="auto"/>
                      <w:sz w:val="21"/>
                      <w:szCs w:val="21"/>
                      <w:highlight w:val="none"/>
                    </w:rPr>
                  </w:pPr>
                  <w:r>
                    <w:rPr>
                      <w:rFonts w:hint="eastAsia"/>
                      <w:color w:val="auto"/>
                      <w:sz w:val="21"/>
                      <w:szCs w:val="21"/>
                      <w:highlight w:val="none"/>
                    </w:rPr>
                    <w:t>环境影响途径及危害后果</w:t>
                  </w:r>
                </w:p>
              </w:tc>
              <w:tc>
                <w:tcPr>
                  <w:tcW w:w="6538" w:type="dxa"/>
                  <w:gridSpan w:val="8"/>
                  <w:vAlign w:val="center"/>
                </w:tcPr>
                <w:p>
                  <w:pPr>
                    <w:pStyle w:val="24"/>
                    <w:spacing w:line="276" w:lineRule="auto"/>
                    <w:ind w:firstLine="420" w:firstLineChars="200"/>
                    <w:jc w:val="both"/>
                    <w:rPr>
                      <w:bCs/>
                      <w:color w:val="auto"/>
                      <w:sz w:val="21"/>
                      <w:highlight w:val="none"/>
                    </w:rPr>
                  </w:pPr>
                  <w:r>
                    <w:rPr>
                      <w:rFonts w:hint="eastAsia"/>
                      <w:bCs/>
                      <w:color w:val="auto"/>
                      <w:sz w:val="21"/>
                      <w:highlight w:val="none"/>
                    </w:rPr>
                    <w:t>生产车间火灾燃烧产生的烟气逸散到大气对环境造成影响；消防废水未能收集后可能污染地表水和地下水。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58" w:type="dxa"/>
                  <w:vAlign w:val="center"/>
                </w:tcPr>
                <w:p>
                  <w:pPr>
                    <w:pStyle w:val="24"/>
                    <w:jc w:val="center"/>
                    <w:rPr>
                      <w:color w:val="auto"/>
                      <w:sz w:val="21"/>
                      <w:szCs w:val="21"/>
                      <w:highlight w:val="none"/>
                    </w:rPr>
                  </w:pPr>
                  <w:r>
                    <w:rPr>
                      <w:rFonts w:hint="eastAsia"/>
                      <w:color w:val="auto"/>
                      <w:sz w:val="21"/>
                      <w:szCs w:val="21"/>
                      <w:highlight w:val="none"/>
                    </w:rPr>
                    <w:t>风险防范措施要求</w:t>
                  </w:r>
                </w:p>
              </w:tc>
              <w:tc>
                <w:tcPr>
                  <w:tcW w:w="6538" w:type="dxa"/>
                  <w:gridSpan w:val="8"/>
                  <w:vAlign w:val="center"/>
                </w:tcPr>
                <w:p>
                  <w:pPr>
                    <w:pStyle w:val="24"/>
                    <w:spacing w:line="276" w:lineRule="auto"/>
                    <w:ind w:firstLine="420" w:firstLineChars="200"/>
                    <w:jc w:val="both"/>
                    <w:rPr>
                      <w:bCs/>
                      <w:color w:val="auto"/>
                      <w:sz w:val="21"/>
                      <w:highlight w:val="none"/>
                    </w:rPr>
                  </w:pPr>
                  <w:r>
                    <w:rPr>
                      <w:rFonts w:hint="eastAsia"/>
                      <w:bCs/>
                      <w:color w:val="auto"/>
                      <w:sz w:val="21"/>
                      <w:highlight w:val="none"/>
                    </w:rPr>
                    <w:t>①制定严格的生产操作规程，加强作业工人的安全教育，杜绝工作失误造成的事故。</w:t>
                  </w:r>
                </w:p>
                <w:p>
                  <w:pPr>
                    <w:pStyle w:val="24"/>
                    <w:spacing w:line="276" w:lineRule="auto"/>
                    <w:ind w:firstLine="420" w:firstLineChars="200"/>
                    <w:jc w:val="both"/>
                    <w:rPr>
                      <w:bCs/>
                      <w:color w:val="auto"/>
                      <w:sz w:val="21"/>
                      <w:highlight w:val="none"/>
                    </w:rPr>
                  </w:pPr>
                  <w:r>
                    <w:rPr>
                      <w:rFonts w:hint="eastAsia"/>
                      <w:bCs/>
                      <w:color w:val="auto"/>
                      <w:sz w:val="21"/>
                      <w:highlight w:val="none"/>
                    </w:rPr>
                    <w:t>②在厂房及项目进入口的明显位置张贴禁用明火的告示。</w:t>
                  </w:r>
                </w:p>
                <w:p>
                  <w:pPr>
                    <w:pStyle w:val="24"/>
                    <w:spacing w:line="276" w:lineRule="auto"/>
                    <w:ind w:firstLine="420" w:firstLineChars="200"/>
                    <w:rPr>
                      <w:bCs/>
                      <w:color w:val="auto"/>
                      <w:sz w:val="21"/>
                      <w:highlight w:val="none"/>
                    </w:rPr>
                  </w:pPr>
                  <w:r>
                    <w:rPr>
                      <w:rFonts w:hint="eastAsia"/>
                      <w:bCs/>
                      <w:color w:val="auto"/>
                      <w:sz w:val="21"/>
                      <w:highlight w:val="none"/>
                    </w:rPr>
                    <w:t>③项目内合理配置移动式式泡沫灭火器。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58" w:type="dxa"/>
                  <w:vAlign w:val="center"/>
                </w:tcPr>
                <w:p>
                  <w:pPr>
                    <w:pStyle w:val="24"/>
                    <w:jc w:val="center"/>
                    <w:rPr>
                      <w:color w:val="auto"/>
                      <w:sz w:val="21"/>
                      <w:szCs w:val="21"/>
                      <w:highlight w:val="none"/>
                    </w:rPr>
                  </w:pPr>
                  <w:r>
                    <w:rPr>
                      <w:rFonts w:hint="eastAsia"/>
                      <w:color w:val="auto"/>
                      <w:sz w:val="21"/>
                      <w:szCs w:val="21"/>
                      <w:highlight w:val="none"/>
                    </w:rPr>
                    <w:t>填表说明</w:t>
                  </w:r>
                </w:p>
              </w:tc>
              <w:tc>
                <w:tcPr>
                  <w:tcW w:w="6538" w:type="dxa"/>
                  <w:gridSpan w:val="8"/>
                  <w:vAlign w:val="center"/>
                </w:tcPr>
                <w:p>
                  <w:pPr>
                    <w:ind w:firstLine="420" w:firstLineChars="200"/>
                    <w:rPr>
                      <w:rFonts w:ascii="Times New Roman" w:hAnsi="Times New Roman"/>
                      <w:color w:val="auto"/>
                      <w:szCs w:val="21"/>
                      <w:highlight w:val="none"/>
                    </w:rPr>
                  </w:pPr>
                  <w:r>
                    <w:rPr>
                      <w:rFonts w:hint="eastAsia" w:ascii="Times New Roman" w:hAnsi="Times New Roman"/>
                      <w:color w:val="auto"/>
                      <w:szCs w:val="21"/>
                      <w:highlight w:val="none"/>
                    </w:rPr>
                    <w:t>本项目环境风险潜势为Ⅰ，通过采取相应的风险防范措施，项目的环境风险可控。一旦发生事故，建设单位应立即执行事故应急预案，采取合理的事故应急处理措施，将事故影响降到最低限度。</w:t>
                  </w:r>
                </w:p>
              </w:tc>
            </w:tr>
          </w:tbl>
          <w:p>
            <w:pPr>
              <w:snapToGrid w:val="0"/>
              <w:spacing w:line="360" w:lineRule="auto"/>
              <w:ind w:firstLine="502"/>
              <w:rPr>
                <w:rFonts w:ascii="Times New Roman" w:hAnsi="Times New Roman" w:cs="Times New Roman"/>
                <w:b/>
                <w:color w:val="auto"/>
                <w:sz w:val="24"/>
                <w:highlight w:val="none"/>
              </w:rPr>
            </w:pPr>
            <w:r>
              <w:rPr>
                <w:rFonts w:hint="eastAsia" w:ascii="Times New Roman" w:hAnsi="Times New Roman" w:cs="Times New Roman"/>
                <w:b/>
                <w:color w:val="auto"/>
                <w:sz w:val="24"/>
                <w:highlight w:val="none"/>
              </w:rPr>
              <w:t>10</w:t>
            </w:r>
            <w:r>
              <w:rPr>
                <w:rFonts w:ascii="Times New Roman" w:hAnsi="Times New Roman" w:cs="Times New Roman"/>
                <w:b/>
                <w:color w:val="auto"/>
                <w:sz w:val="24"/>
                <w:highlight w:val="none"/>
              </w:rPr>
              <w:t>、环境监测管理要求</w:t>
            </w:r>
          </w:p>
          <w:p>
            <w:pPr>
              <w:widowControl/>
              <w:spacing w:line="360" w:lineRule="auto"/>
              <w:ind w:firstLine="502"/>
              <w:rPr>
                <w:rFonts w:ascii="Times New Roman" w:hAnsi="Times New Roman" w:cs="Times New Roman"/>
                <w:b/>
                <w:bCs/>
                <w:color w:val="auto"/>
                <w:kern w:val="0"/>
                <w:sz w:val="24"/>
                <w:highlight w:val="none"/>
              </w:rPr>
            </w:pPr>
            <w:r>
              <w:rPr>
                <w:rFonts w:ascii="Times New Roman" w:hAnsi="Times New Roman" w:cs="Times New Roman"/>
                <w:b/>
                <w:bCs/>
                <w:color w:val="auto"/>
                <w:kern w:val="0"/>
                <w:sz w:val="24"/>
                <w:highlight w:val="none"/>
              </w:rPr>
              <w:t>（1）环境管理</w:t>
            </w:r>
          </w:p>
          <w:p>
            <w:pPr>
              <w:widowControl/>
              <w:spacing w:line="360" w:lineRule="auto"/>
              <w:ind w:firstLine="500"/>
              <w:rPr>
                <w:rFonts w:ascii="Times New Roman" w:hAnsi="Times New Roman" w:cs="Times New Roman"/>
                <w:color w:val="auto"/>
                <w:kern w:val="0"/>
                <w:sz w:val="24"/>
                <w:highlight w:val="none"/>
              </w:rPr>
            </w:pPr>
            <w:r>
              <w:rPr>
                <w:rFonts w:ascii="Times New Roman" w:hAnsi="Times New Roman" w:cs="Times New Roman"/>
                <w:color w:val="auto"/>
                <w:kern w:val="0"/>
                <w:sz w:val="24"/>
                <w:highlight w:val="none"/>
              </w:rPr>
              <w:t>项目建设完成投入运行后，其环境管理是一项长期的管理工作，必须建立完善的管理机构和体系，并在此基础上建立健全各项环境监督和管理制度。</w:t>
            </w:r>
          </w:p>
          <w:p>
            <w:pPr>
              <w:widowControl/>
              <w:spacing w:line="360" w:lineRule="auto"/>
              <w:ind w:firstLine="500"/>
              <w:rPr>
                <w:rFonts w:ascii="Times New Roman" w:hAnsi="Times New Roman" w:cs="Times New Roman"/>
                <w:color w:val="auto"/>
                <w:kern w:val="0"/>
                <w:sz w:val="24"/>
                <w:highlight w:val="none"/>
              </w:rPr>
            </w:pPr>
            <w:r>
              <w:rPr>
                <w:rFonts w:ascii="Times New Roman" w:hAnsi="Times New Roman" w:cs="Times New Roman"/>
                <w:color w:val="auto"/>
                <w:kern w:val="0"/>
                <w:sz w:val="24"/>
                <w:highlight w:val="none"/>
              </w:rPr>
              <w:t>建设项目的环境影响评价制度和环境保护设施与主体工程同时设计、同时施工、同时投产使用的“三同时”制度是我国预防为主环境保护政策的体现，两种制度相互衔接，形成了对建设项目的全过程管理，是防止建设项目产生的新污染源和生态环境破坏的重要措施。</w:t>
            </w:r>
          </w:p>
          <w:p>
            <w:pPr>
              <w:widowControl/>
              <w:spacing w:line="360" w:lineRule="auto"/>
              <w:ind w:firstLine="500"/>
              <w:rPr>
                <w:rFonts w:ascii="Times New Roman" w:hAnsi="Times New Roman" w:cs="Times New Roman"/>
                <w:color w:val="auto"/>
                <w:kern w:val="0"/>
                <w:sz w:val="24"/>
                <w:highlight w:val="none"/>
              </w:rPr>
            </w:pPr>
            <w:r>
              <w:rPr>
                <w:rFonts w:ascii="Times New Roman" w:hAnsi="Times New Roman" w:cs="Times New Roman"/>
                <w:color w:val="auto"/>
                <w:kern w:val="0"/>
                <w:sz w:val="24"/>
                <w:highlight w:val="none"/>
              </w:rPr>
              <w:t>项目在运营期，对项目的污染物进行全面处理和全面达标控制；坚持生态保护与污染防治相结合，生态建设与生态保护并举，大力推进区域生态建设的步伐。加强环境管理能力建设，提高企业环境管理水平。</w:t>
            </w:r>
          </w:p>
          <w:p>
            <w:pPr>
              <w:widowControl/>
              <w:spacing w:line="360" w:lineRule="auto"/>
              <w:ind w:firstLine="500"/>
              <w:rPr>
                <w:rFonts w:ascii="Times New Roman" w:hAnsi="Times New Roman" w:cs="Times New Roman"/>
                <w:color w:val="auto"/>
                <w:kern w:val="0"/>
                <w:sz w:val="24"/>
                <w:highlight w:val="none"/>
              </w:rPr>
            </w:pPr>
            <w:r>
              <w:rPr>
                <w:rFonts w:ascii="Times New Roman" w:hAnsi="Times New Roman" w:cs="Times New Roman"/>
                <w:color w:val="auto"/>
                <w:kern w:val="0"/>
                <w:sz w:val="24"/>
                <w:highlight w:val="none"/>
              </w:rPr>
              <w:t>建议企业设立内部环境保护管理机构，专人负责环境保护工作，实行定岗定员，岗位责任制，负责各生产环节的环境保护管理，保证环保设施的正常运行。</w:t>
            </w:r>
          </w:p>
          <w:p>
            <w:pPr>
              <w:widowControl/>
              <w:spacing w:line="360" w:lineRule="auto"/>
              <w:ind w:firstLine="500"/>
              <w:rPr>
                <w:rFonts w:ascii="Times New Roman" w:hAnsi="Times New Roman" w:cs="Times New Roman"/>
                <w:color w:val="auto"/>
                <w:kern w:val="0"/>
                <w:sz w:val="24"/>
                <w:highlight w:val="none"/>
              </w:rPr>
            </w:pPr>
            <w:r>
              <w:rPr>
                <w:rFonts w:ascii="Times New Roman" w:hAnsi="Times New Roman" w:cs="Times New Roman"/>
                <w:color w:val="auto"/>
                <w:kern w:val="0"/>
                <w:sz w:val="24"/>
                <w:highlight w:val="none"/>
              </w:rPr>
              <w:t>加强建设项目的环境管理，根据本报告提出的污染防治措施和对策，制定出切实可行的环境污染防治办法和措施；做好环境教育和宣传工作，提高各级管理人员和操作人员的环境保护意识，加强员工对环境污染防治的责任心，自觉遵守和执行各项环境保护的规章制度；定期对环境保护设施进行维护和保养，确保环境保护设施的正常运行，防止污染事故的发生；加强与环境保护管理部门的沟通和联系，主动接受环境管理主管部门的管理、监督和指导。</w:t>
            </w:r>
          </w:p>
          <w:p>
            <w:pPr>
              <w:widowControl/>
              <w:spacing w:line="360" w:lineRule="auto"/>
              <w:ind w:firstLine="502"/>
              <w:rPr>
                <w:rFonts w:ascii="Times New Roman" w:hAnsi="Times New Roman" w:cs="Times New Roman"/>
                <w:b/>
                <w:bCs/>
                <w:color w:val="auto"/>
                <w:kern w:val="0"/>
                <w:sz w:val="24"/>
                <w:highlight w:val="none"/>
              </w:rPr>
            </w:pPr>
            <w:r>
              <w:rPr>
                <w:rFonts w:ascii="Times New Roman" w:hAnsi="Times New Roman" w:cs="Times New Roman"/>
                <w:b/>
                <w:bCs/>
                <w:color w:val="auto"/>
                <w:kern w:val="0"/>
                <w:sz w:val="24"/>
                <w:highlight w:val="none"/>
              </w:rPr>
              <w:t>（2）环境监测</w:t>
            </w:r>
          </w:p>
          <w:p>
            <w:pPr>
              <w:widowControl/>
              <w:spacing w:line="360" w:lineRule="auto"/>
              <w:ind w:firstLine="500"/>
              <w:rPr>
                <w:rFonts w:ascii="Times New Roman" w:hAnsi="Times New Roman" w:cs="Times New Roman"/>
                <w:color w:val="auto"/>
                <w:kern w:val="0"/>
                <w:sz w:val="24"/>
                <w:highlight w:val="none"/>
              </w:rPr>
            </w:pPr>
            <w:r>
              <w:rPr>
                <w:rFonts w:ascii="Times New Roman" w:hAnsi="Times New Roman" w:cs="Times New Roman"/>
                <w:color w:val="auto"/>
                <w:kern w:val="0"/>
                <w:sz w:val="24"/>
                <w:highlight w:val="none"/>
              </w:rPr>
              <w:t>本项目建成投产后，应根据工程特征和建设项目环境保护管理的有关规定，积极配合和接受各级环保部门的监督、监测。按时申请本项目的“三同时”验收监测。</w:t>
            </w:r>
          </w:p>
          <w:p>
            <w:pPr>
              <w:widowControl/>
              <w:ind w:firstLine="500"/>
              <w:jc w:val="left"/>
              <w:rPr>
                <w:rFonts w:ascii="Times New Roman" w:hAnsi="Times New Roman" w:cs="Times New Roman"/>
                <w:color w:val="auto"/>
                <w:kern w:val="0"/>
                <w:sz w:val="24"/>
                <w:highlight w:val="none"/>
              </w:rPr>
            </w:pPr>
            <w:r>
              <w:rPr>
                <w:rFonts w:ascii="Times New Roman" w:hAnsi="Times New Roman" w:cs="Times New Roman"/>
                <w:color w:val="auto"/>
                <w:kern w:val="0"/>
                <w:sz w:val="24"/>
                <w:highlight w:val="none"/>
              </w:rPr>
              <w:t>运营期环境监测计划见表</w:t>
            </w:r>
            <w:r>
              <w:rPr>
                <w:rFonts w:hint="eastAsia" w:ascii="Times New Roman" w:hAnsi="Times New Roman" w:cs="Times New Roman"/>
                <w:color w:val="auto"/>
                <w:kern w:val="0"/>
                <w:sz w:val="24"/>
                <w:highlight w:val="none"/>
              </w:rPr>
              <w:t>7-</w:t>
            </w:r>
            <w:r>
              <w:rPr>
                <w:rFonts w:ascii="Times New Roman" w:hAnsi="Times New Roman" w:cs="Times New Roman"/>
                <w:color w:val="auto"/>
                <w:kern w:val="0"/>
                <w:sz w:val="24"/>
                <w:highlight w:val="none"/>
              </w:rPr>
              <w:t>22。</w:t>
            </w:r>
          </w:p>
          <w:p>
            <w:pPr>
              <w:widowControl/>
              <w:adjustRightInd w:val="0"/>
              <w:snapToGrid w:val="0"/>
              <w:spacing w:after="200"/>
              <w:ind w:firstLine="442"/>
              <w:jc w:val="center"/>
              <w:rPr>
                <w:rFonts w:ascii="Times New Roman" w:hAnsi="Times New Roman" w:cs="Times New Roman"/>
                <w:b/>
                <w:color w:val="auto"/>
                <w:kern w:val="0"/>
                <w:szCs w:val="21"/>
                <w:highlight w:val="none"/>
              </w:rPr>
            </w:pPr>
            <w:r>
              <w:rPr>
                <w:rFonts w:ascii="Times New Roman" w:hAnsi="Times New Roman" w:cs="Times New Roman"/>
                <w:b/>
                <w:color w:val="auto"/>
                <w:kern w:val="0"/>
                <w:szCs w:val="21"/>
                <w:highlight w:val="none"/>
              </w:rPr>
              <w:t>表</w:t>
            </w:r>
            <w:r>
              <w:rPr>
                <w:rFonts w:hint="eastAsia" w:ascii="Times New Roman" w:hAnsi="Times New Roman" w:cs="Times New Roman"/>
                <w:b/>
                <w:color w:val="auto"/>
                <w:kern w:val="0"/>
                <w:szCs w:val="21"/>
                <w:highlight w:val="none"/>
              </w:rPr>
              <w:t>7-</w:t>
            </w:r>
            <w:r>
              <w:rPr>
                <w:rFonts w:ascii="Times New Roman" w:hAnsi="Times New Roman" w:cs="Times New Roman"/>
                <w:b/>
                <w:color w:val="auto"/>
                <w:kern w:val="0"/>
                <w:szCs w:val="21"/>
                <w:highlight w:val="none"/>
              </w:rPr>
              <w:t>22 运营期环境监测计划表</w:t>
            </w:r>
          </w:p>
          <w:tbl>
            <w:tblPr>
              <w:tblStyle w:val="22"/>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
            <w:tblGrid>
              <w:gridCol w:w="642"/>
              <w:gridCol w:w="1612"/>
              <w:gridCol w:w="1134"/>
              <w:gridCol w:w="1422"/>
              <w:gridCol w:w="34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Ex>
              <w:trPr>
                <w:trHeight w:val="340" w:hRule="atLeast"/>
                <w:jc w:val="center"/>
              </w:trPr>
              <w:tc>
                <w:tcPr>
                  <w:tcW w:w="642" w:type="dxa"/>
                  <w:tcMar>
                    <w:left w:w="28" w:type="dxa"/>
                    <w:right w:w="28" w:type="dxa"/>
                  </w:tcMar>
                  <w:vAlign w:val="center"/>
                </w:tcPr>
                <w:p>
                  <w:pPr>
                    <w:snapToGrid w:val="0"/>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类别</w:t>
                  </w:r>
                </w:p>
              </w:tc>
              <w:tc>
                <w:tcPr>
                  <w:tcW w:w="1612" w:type="dxa"/>
                  <w:tcMar>
                    <w:left w:w="28" w:type="dxa"/>
                    <w:right w:w="28" w:type="dxa"/>
                  </w:tcMar>
                  <w:vAlign w:val="center"/>
                </w:tcPr>
                <w:p>
                  <w:pPr>
                    <w:snapToGrid w:val="0"/>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监测地点</w:t>
                  </w:r>
                </w:p>
              </w:tc>
              <w:tc>
                <w:tcPr>
                  <w:tcW w:w="1134" w:type="dxa"/>
                  <w:tcMar>
                    <w:left w:w="28" w:type="dxa"/>
                    <w:right w:w="28" w:type="dxa"/>
                  </w:tcMar>
                  <w:vAlign w:val="center"/>
                </w:tcPr>
                <w:p>
                  <w:pPr>
                    <w:snapToGrid w:val="0"/>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监测项目</w:t>
                  </w:r>
                </w:p>
              </w:tc>
              <w:tc>
                <w:tcPr>
                  <w:tcW w:w="1422" w:type="dxa"/>
                  <w:tcMar>
                    <w:left w:w="28" w:type="dxa"/>
                    <w:right w:w="28" w:type="dxa"/>
                  </w:tcMar>
                  <w:vAlign w:val="center"/>
                </w:tcPr>
                <w:p>
                  <w:pPr>
                    <w:snapToGrid w:val="0"/>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监测频率</w:t>
                  </w:r>
                </w:p>
              </w:tc>
              <w:tc>
                <w:tcPr>
                  <w:tcW w:w="3466" w:type="dxa"/>
                  <w:vAlign w:val="center"/>
                </w:tcPr>
                <w:p>
                  <w:pPr>
                    <w:snapToGrid w:val="0"/>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执行排放标准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Ex>
              <w:trPr>
                <w:trHeight w:val="340" w:hRule="atLeast"/>
                <w:jc w:val="center"/>
              </w:trPr>
              <w:tc>
                <w:tcPr>
                  <w:tcW w:w="642" w:type="dxa"/>
                  <w:vMerge w:val="restart"/>
                  <w:tcMar>
                    <w:left w:w="28" w:type="dxa"/>
                    <w:right w:w="28" w:type="dxa"/>
                  </w:tcMar>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废气</w:t>
                  </w:r>
                </w:p>
              </w:tc>
              <w:tc>
                <w:tcPr>
                  <w:tcW w:w="1612" w:type="dxa"/>
                  <w:tcMar>
                    <w:left w:w="28" w:type="dxa"/>
                    <w:right w:w="28" w:type="dxa"/>
                  </w:tcMar>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生产废气处理设施进</w:t>
                  </w:r>
                  <w:r>
                    <w:rPr>
                      <w:rFonts w:ascii="Times New Roman" w:hAnsi="Times New Roman" w:cs="Times New Roman"/>
                      <w:color w:val="auto"/>
                      <w:kern w:val="0"/>
                      <w:szCs w:val="21"/>
                      <w:highlight w:val="none"/>
                    </w:rPr>
                    <w:t>气</w:t>
                  </w:r>
                  <w:r>
                    <w:rPr>
                      <w:rFonts w:ascii="Times New Roman" w:hAnsi="Times New Roman" w:cs="Times New Roman"/>
                      <w:color w:val="auto"/>
                      <w:szCs w:val="21"/>
                      <w:highlight w:val="none"/>
                    </w:rPr>
                    <w:t>口</w:t>
                  </w:r>
                </w:p>
              </w:tc>
              <w:tc>
                <w:tcPr>
                  <w:tcW w:w="1134" w:type="dxa"/>
                  <w:vMerge w:val="restart"/>
                  <w:tcMar>
                    <w:left w:w="28" w:type="dxa"/>
                    <w:right w:w="28" w:type="dxa"/>
                  </w:tcMar>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非甲烷总烃</w:t>
                  </w:r>
                </w:p>
              </w:tc>
              <w:tc>
                <w:tcPr>
                  <w:tcW w:w="1422" w:type="dxa"/>
                  <w:vMerge w:val="restart"/>
                  <w:tcMar>
                    <w:left w:w="28" w:type="dxa"/>
                    <w:right w:w="28" w:type="dxa"/>
                  </w:tcMar>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每年监测一次</w:t>
                  </w:r>
                </w:p>
              </w:tc>
              <w:tc>
                <w:tcPr>
                  <w:tcW w:w="3466" w:type="dxa"/>
                  <w:vMerge w:val="restart"/>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《合成树脂工业污染物排放标准》（GB31572-2015）表4中的大气污染物排放限值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Ex>
              <w:trPr>
                <w:trHeight w:val="126" w:hRule="atLeast"/>
                <w:jc w:val="center"/>
              </w:trPr>
              <w:tc>
                <w:tcPr>
                  <w:tcW w:w="642" w:type="dxa"/>
                  <w:vMerge w:val="continue"/>
                  <w:tcMar>
                    <w:left w:w="28" w:type="dxa"/>
                    <w:right w:w="28" w:type="dxa"/>
                  </w:tcMar>
                  <w:vAlign w:val="center"/>
                </w:tcPr>
                <w:p>
                  <w:pPr>
                    <w:snapToGrid w:val="0"/>
                    <w:jc w:val="center"/>
                    <w:rPr>
                      <w:rFonts w:ascii="Times New Roman" w:hAnsi="Times New Roman" w:cs="Times New Roman"/>
                      <w:color w:val="auto"/>
                      <w:kern w:val="0"/>
                      <w:szCs w:val="21"/>
                      <w:highlight w:val="none"/>
                    </w:rPr>
                  </w:pPr>
                </w:p>
              </w:tc>
              <w:tc>
                <w:tcPr>
                  <w:tcW w:w="1612" w:type="dxa"/>
                  <w:tcMar>
                    <w:left w:w="28" w:type="dxa"/>
                    <w:right w:w="28" w:type="dxa"/>
                  </w:tcMar>
                  <w:vAlign w:val="center"/>
                </w:tcPr>
                <w:p>
                  <w:pPr>
                    <w:snapToGrid w:val="0"/>
                    <w:jc w:val="center"/>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生产废气排气口</w:t>
                  </w:r>
                </w:p>
              </w:tc>
              <w:tc>
                <w:tcPr>
                  <w:tcW w:w="1134" w:type="dxa"/>
                  <w:vMerge w:val="continue"/>
                  <w:tcMar>
                    <w:left w:w="28" w:type="dxa"/>
                    <w:right w:w="28" w:type="dxa"/>
                  </w:tcMar>
                  <w:vAlign w:val="center"/>
                </w:tcPr>
                <w:p>
                  <w:pPr>
                    <w:snapToGrid w:val="0"/>
                    <w:jc w:val="center"/>
                    <w:rPr>
                      <w:rFonts w:ascii="Times New Roman" w:hAnsi="Times New Roman" w:cs="Times New Roman"/>
                      <w:color w:val="auto"/>
                      <w:kern w:val="0"/>
                      <w:szCs w:val="21"/>
                      <w:highlight w:val="none"/>
                    </w:rPr>
                  </w:pPr>
                </w:p>
              </w:tc>
              <w:tc>
                <w:tcPr>
                  <w:tcW w:w="1422" w:type="dxa"/>
                  <w:vMerge w:val="continue"/>
                  <w:tcMar>
                    <w:left w:w="28" w:type="dxa"/>
                    <w:right w:w="28" w:type="dxa"/>
                  </w:tcMar>
                  <w:vAlign w:val="center"/>
                </w:tcPr>
                <w:p>
                  <w:pPr>
                    <w:snapToGrid w:val="0"/>
                    <w:jc w:val="center"/>
                    <w:rPr>
                      <w:rFonts w:ascii="Times New Roman" w:hAnsi="Times New Roman" w:cs="Times New Roman"/>
                      <w:color w:val="auto"/>
                      <w:kern w:val="0"/>
                      <w:szCs w:val="21"/>
                      <w:highlight w:val="none"/>
                    </w:rPr>
                  </w:pPr>
                </w:p>
              </w:tc>
              <w:tc>
                <w:tcPr>
                  <w:tcW w:w="3466" w:type="dxa"/>
                  <w:vMerge w:val="continue"/>
                  <w:vAlign w:val="center"/>
                </w:tcPr>
                <w:p>
                  <w:pPr>
                    <w:snapToGrid w:val="0"/>
                    <w:jc w:val="center"/>
                    <w:rPr>
                      <w:rFonts w:ascii="Times New Roman" w:hAnsi="Times New Roman" w:cs="Times New Roman"/>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Ex>
              <w:trPr>
                <w:trHeight w:val="728" w:hRule="atLeast"/>
                <w:jc w:val="center"/>
              </w:trPr>
              <w:tc>
                <w:tcPr>
                  <w:tcW w:w="642" w:type="dxa"/>
                  <w:vMerge w:val="continue"/>
                  <w:tcMar>
                    <w:left w:w="28" w:type="dxa"/>
                    <w:right w:w="28" w:type="dxa"/>
                  </w:tcMar>
                  <w:vAlign w:val="center"/>
                </w:tcPr>
                <w:p>
                  <w:pPr>
                    <w:snapToGrid w:val="0"/>
                    <w:jc w:val="center"/>
                    <w:rPr>
                      <w:rFonts w:ascii="Times New Roman" w:hAnsi="Times New Roman" w:cs="Times New Roman"/>
                      <w:color w:val="auto"/>
                      <w:szCs w:val="21"/>
                      <w:highlight w:val="none"/>
                    </w:rPr>
                  </w:pPr>
                </w:p>
              </w:tc>
              <w:tc>
                <w:tcPr>
                  <w:tcW w:w="1612" w:type="dxa"/>
                  <w:tcMar>
                    <w:left w:w="28" w:type="dxa"/>
                    <w:right w:w="28" w:type="dxa"/>
                  </w:tcMar>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厂界无组织废气</w:t>
                  </w:r>
                </w:p>
              </w:tc>
              <w:tc>
                <w:tcPr>
                  <w:tcW w:w="1134" w:type="dxa"/>
                  <w:tcMar>
                    <w:left w:w="28" w:type="dxa"/>
                    <w:right w:w="28" w:type="dxa"/>
                  </w:tcMar>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非甲烷总烃</w:t>
                  </w:r>
                </w:p>
              </w:tc>
              <w:tc>
                <w:tcPr>
                  <w:tcW w:w="1422" w:type="dxa"/>
                  <w:tcMar>
                    <w:left w:w="28" w:type="dxa"/>
                    <w:right w:w="28" w:type="dxa"/>
                  </w:tcMar>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每年监测一次</w:t>
                  </w:r>
                </w:p>
              </w:tc>
              <w:tc>
                <w:tcPr>
                  <w:tcW w:w="3466" w:type="dxa"/>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《合成树脂工业污染物排放标准》（GB31572-2015）表9中企业边界大气污染物浓度限值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Ex>
              <w:trPr>
                <w:trHeight w:val="340" w:hRule="atLeast"/>
                <w:jc w:val="center"/>
              </w:trPr>
              <w:tc>
                <w:tcPr>
                  <w:tcW w:w="642" w:type="dxa"/>
                  <w:vMerge w:val="continue"/>
                  <w:tcMar>
                    <w:left w:w="28" w:type="dxa"/>
                    <w:right w:w="28" w:type="dxa"/>
                  </w:tcMar>
                  <w:vAlign w:val="center"/>
                </w:tcPr>
                <w:p>
                  <w:pPr>
                    <w:snapToGrid w:val="0"/>
                    <w:jc w:val="center"/>
                    <w:rPr>
                      <w:rFonts w:ascii="Times New Roman" w:hAnsi="Times New Roman" w:cs="Times New Roman"/>
                      <w:color w:val="auto"/>
                      <w:szCs w:val="21"/>
                      <w:highlight w:val="none"/>
                    </w:rPr>
                  </w:pPr>
                </w:p>
              </w:tc>
              <w:tc>
                <w:tcPr>
                  <w:tcW w:w="1612" w:type="dxa"/>
                  <w:tcMar>
                    <w:left w:w="28" w:type="dxa"/>
                    <w:right w:w="28" w:type="dxa"/>
                  </w:tcMar>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生产废气处理设施进</w:t>
                  </w:r>
                  <w:r>
                    <w:rPr>
                      <w:rFonts w:ascii="Times New Roman" w:hAnsi="Times New Roman" w:cs="Times New Roman"/>
                      <w:color w:val="auto"/>
                      <w:kern w:val="0"/>
                      <w:szCs w:val="21"/>
                      <w:highlight w:val="none"/>
                    </w:rPr>
                    <w:t>气</w:t>
                  </w:r>
                  <w:r>
                    <w:rPr>
                      <w:rFonts w:ascii="Times New Roman" w:hAnsi="Times New Roman" w:cs="Times New Roman"/>
                      <w:color w:val="auto"/>
                      <w:szCs w:val="21"/>
                      <w:highlight w:val="none"/>
                    </w:rPr>
                    <w:t>口</w:t>
                  </w:r>
                </w:p>
              </w:tc>
              <w:tc>
                <w:tcPr>
                  <w:tcW w:w="1134" w:type="dxa"/>
                  <w:vMerge w:val="restart"/>
                  <w:tcMar>
                    <w:left w:w="28" w:type="dxa"/>
                    <w:right w:w="28" w:type="dxa"/>
                  </w:tcMar>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油烟</w:t>
                  </w:r>
                </w:p>
              </w:tc>
              <w:tc>
                <w:tcPr>
                  <w:tcW w:w="1422" w:type="dxa"/>
                  <w:vMerge w:val="restart"/>
                  <w:tcMar>
                    <w:left w:w="28" w:type="dxa"/>
                    <w:right w:w="28" w:type="dxa"/>
                  </w:tcMar>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每年监测一次</w:t>
                  </w:r>
                </w:p>
              </w:tc>
              <w:tc>
                <w:tcPr>
                  <w:tcW w:w="3466" w:type="dxa"/>
                  <w:vMerge w:val="restart"/>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《饮食业油烟排放标准》（GB18483-2001）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Ex>
              <w:trPr>
                <w:trHeight w:val="112" w:hRule="atLeast"/>
                <w:jc w:val="center"/>
              </w:trPr>
              <w:tc>
                <w:tcPr>
                  <w:tcW w:w="642" w:type="dxa"/>
                  <w:vMerge w:val="continue"/>
                  <w:tcMar>
                    <w:left w:w="28" w:type="dxa"/>
                    <w:right w:w="28" w:type="dxa"/>
                  </w:tcMar>
                  <w:vAlign w:val="center"/>
                </w:tcPr>
                <w:p>
                  <w:pPr>
                    <w:snapToGrid w:val="0"/>
                    <w:jc w:val="center"/>
                    <w:rPr>
                      <w:rFonts w:ascii="Times New Roman" w:hAnsi="Times New Roman" w:cs="Times New Roman"/>
                      <w:color w:val="auto"/>
                      <w:szCs w:val="21"/>
                      <w:highlight w:val="none"/>
                    </w:rPr>
                  </w:pPr>
                </w:p>
              </w:tc>
              <w:tc>
                <w:tcPr>
                  <w:tcW w:w="1612" w:type="dxa"/>
                  <w:tcMar>
                    <w:left w:w="28" w:type="dxa"/>
                    <w:right w:w="28" w:type="dxa"/>
                  </w:tcMar>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kern w:val="0"/>
                      <w:szCs w:val="21"/>
                      <w:highlight w:val="none"/>
                    </w:rPr>
                    <w:t>生产废气排气口</w:t>
                  </w:r>
                </w:p>
              </w:tc>
              <w:tc>
                <w:tcPr>
                  <w:tcW w:w="1134" w:type="dxa"/>
                  <w:vMerge w:val="continue"/>
                  <w:tcMar>
                    <w:left w:w="28" w:type="dxa"/>
                    <w:right w:w="28" w:type="dxa"/>
                  </w:tcMar>
                  <w:vAlign w:val="center"/>
                </w:tcPr>
                <w:p>
                  <w:pPr>
                    <w:jc w:val="center"/>
                    <w:rPr>
                      <w:rFonts w:ascii="Times New Roman" w:hAnsi="Times New Roman" w:cs="Times New Roman"/>
                      <w:color w:val="auto"/>
                      <w:szCs w:val="21"/>
                      <w:highlight w:val="none"/>
                    </w:rPr>
                  </w:pPr>
                </w:p>
              </w:tc>
              <w:tc>
                <w:tcPr>
                  <w:tcW w:w="1422" w:type="dxa"/>
                  <w:vMerge w:val="continue"/>
                  <w:tcMar>
                    <w:left w:w="28" w:type="dxa"/>
                    <w:right w:w="28" w:type="dxa"/>
                  </w:tcMar>
                  <w:vAlign w:val="center"/>
                </w:tcPr>
                <w:p>
                  <w:pPr>
                    <w:jc w:val="center"/>
                    <w:rPr>
                      <w:rFonts w:ascii="Times New Roman" w:hAnsi="Times New Roman" w:cs="Times New Roman"/>
                      <w:color w:val="auto"/>
                      <w:szCs w:val="21"/>
                      <w:highlight w:val="none"/>
                    </w:rPr>
                  </w:pPr>
                </w:p>
              </w:tc>
              <w:tc>
                <w:tcPr>
                  <w:tcW w:w="3466" w:type="dxa"/>
                  <w:vMerge w:val="continue"/>
                  <w:vAlign w:val="center"/>
                </w:tcPr>
                <w:p>
                  <w:pPr>
                    <w:snapToGrid w:val="0"/>
                    <w:jc w:val="center"/>
                    <w:rPr>
                      <w:rFonts w:ascii="Times New Roman" w:hAnsi="Times New Roman" w:cs="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Ex>
              <w:trPr>
                <w:trHeight w:val="340" w:hRule="atLeast"/>
                <w:jc w:val="center"/>
              </w:trPr>
              <w:tc>
                <w:tcPr>
                  <w:tcW w:w="642" w:type="dxa"/>
                  <w:tcMar>
                    <w:left w:w="28" w:type="dxa"/>
                    <w:right w:w="28" w:type="dxa"/>
                  </w:tcMar>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废水</w:t>
                  </w:r>
                </w:p>
              </w:tc>
              <w:tc>
                <w:tcPr>
                  <w:tcW w:w="1612" w:type="dxa"/>
                  <w:tcMar>
                    <w:left w:w="28" w:type="dxa"/>
                    <w:right w:w="28" w:type="dxa"/>
                  </w:tcMar>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废水排放口</w:t>
                  </w:r>
                </w:p>
              </w:tc>
              <w:tc>
                <w:tcPr>
                  <w:tcW w:w="1134" w:type="dxa"/>
                  <w:tcMar>
                    <w:left w:w="28" w:type="dxa"/>
                    <w:right w:w="28" w:type="dxa"/>
                  </w:tcMar>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COD</w:t>
                  </w:r>
                  <w:r>
                    <w:rPr>
                      <w:rFonts w:ascii="Times New Roman" w:hAnsi="Times New Roman" w:cs="Times New Roman"/>
                      <w:color w:val="auto"/>
                      <w:szCs w:val="21"/>
                      <w:highlight w:val="none"/>
                      <w:vertAlign w:val="subscript"/>
                    </w:rPr>
                    <w:t>Cr</w:t>
                  </w:r>
                  <w:r>
                    <w:rPr>
                      <w:rFonts w:ascii="Times New Roman" w:hAnsi="Times New Roman" w:cs="Times New Roman"/>
                      <w:color w:val="auto"/>
                      <w:szCs w:val="21"/>
                      <w:highlight w:val="none"/>
                    </w:rPr>
                    <w:t>、BOD</w:t>
                  </w:r>
                  <w:r>
                    <w:rPr>
                      <w:rFonts w:ascii="Times New Roman" w:hAnsi="Times New Roman" w:cs="Times New Roman"/>
                      <w:color w:val="auto"/>
                      <w:szCs w:val="21"/>
                      <w:highlight w:val="none"/>
                      <w:vertAlign w:val="subscript"/>
                    </w:rPr>
                    <w:t>5</w:t>
                  </w:r>
                  <w:r>
                    <w:rPr>
                      <w:rFonts w:ascii="Times New Roman" w:hAnsi="Times New Roman" w:cs="Times New Roman"/>
                      <w:color w:val="auto"/>
                      <w:szCs w:val="21"/>
                      <w:highlight w:val="none"/>
                    </w:rPr>
                    <w:t>、SS、氨氮</w:t>
                  </w:r>
                </w:p>
              </w:tc>
              <w:tc>
                <w:tcPr>
                  <w:tcW w:w="1422" w:type="dxa"/>
                  <w:tcMar>
                    <w:left w:w="28" w:type="dxa"/>
                    <w:right w:w="28" w:type="dxa"/>
                  </w:tcMar>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每年监测一次</w:t>
                  </w:r>
                </w:p>
              </w:tc>
              <w:tc>
                <w:tcPr>
                  <w:tcW w:w="3466" w:type="dxa"/>
                  <w:vAlign w:val="center"/>
                </w:tcPr>
                <w:p>
                  <w:pPr>
                    <w:adjustRightInd w:val="0"/>
                    <w:jc w:val="center"/>
                    <w:textAlignment w:val="baseline"/>
                    <w:rPr>
                      <w:rFonts w:ascii="Times New Roman" w:hAnsi="Times New Roman" w:cs="Times New Roman"/>
                      <w:color w:val="auto"/>
                      <w:szCs w:val="21"/>
                      <w:highlight w:val="none"/>
                    </w:rPr>
                  </w:pPr>
                  <w:r>
                    <w:rPr>
                      <w:rFonts w:ascii="Times New Roman" w:hAnsi="Times New Roman" w:cs="Times New Roman"/>
                      <w:bCs/>
                      <w:color w:val="auto"/>
                      <w:szCs w:val="21"/>
                      <w:highlight w:val="none"/>
                    </w:rPr>
                    <w:t>《纺织染整工业水污染物排放标准（GB 4287-2012）》中的表2标准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Ex>
              <w:trPr>
                <w:trHeight w:val="340" w:hRule="atLeast"/>
                <w:jc w:val="center"/>
              </w:trPr>
              <w:tc>
                <w:tcPr>
                  <w:tcW w:w="642" w:type="dxa"/>
                  <w:tcMar>
                    <w:left w:w="28" w:type="dxa"/>
                    <w:right w:w="28" w:type="dxa"/>
                  </w:tcMar>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噪声</w:t>
                  </w:r>
                </w:p>
              </w:tc>
              <w:tc>
                <w:tcPr>
                  <w:tcW w:w="1612" w:type="dxa"/>
                  <w:tcMar>
                    <w:left w:w="28" w:type="dxa"/>
                    <w:right w:w="28" w:type="dxa"/>
                  </w:tcMar>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厂界外1m</w:t>
                  </w:r>
                </w:p>
              </w:tc>
              <w:tc>
                <w:tcPr>
                  <w:tcW w:w="1134" w:type="dxa"/>
                  <w:tcMar>
                    <w:left w:w="28" w:type="dxa"/>
                    <w:right w:w="28" w:type="dxa"/>
                  </w:tcMar>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等效A声级</w:t>
                  </w:r>
                </w:p>
              </w:tc>
              <w:tc>
                <w:tcPr>
                  <w:tcW w:w="1422" w:type="dxa"/>
                  <w:tcMar>
                    <w:left w:w="28" w:type="dxa"/>
                    <w:right w:w="28" w:type="dxa"/>
                  </w:tcMar>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每年监测一次</w:t>
                  </w:r>
                </w:p>
              </w:tc>
              <w:tc>
                <w:tcPr>
                  <w:tcW w:w="3466" w:type="dxa"/>
                  <w:vAlign w:val="center"/>
                </w:tcPr>
                <w:p>
                  <w:pPr>
                    <w:adjustRightInd w:val="0"/>
                    <w:spacing w:before="24" w:after="24"/>
                    <w:jc w:val="center"/>
                    <w:textAlignment w:val="baseline"/>
                    <w:rPr>
                      <w:rFonts w:ascii="Times New Roman" w:hAnsi="Times New Roman" w:cs="Times New Roman"/>
                      <w:color w:val="auto"/>
                      <w:szCs w:val="21"/>
                      <w:highlight w:val="none"/>
                    </w:rPr>
                  </w:pPr>
                  <w:r>
                    <w:rPr>
                      <w:rFonts w:ascii="Times New Roman" w:hAnsi="Times New Roman" w:cs="Times New Roman"/>
                      <w:color w:val="auto"/>
                      <w:szCs w:val="21"/>
                      <w:highlight w:val="none"/>
                    </w:rPr>
                    <w:t>《工业企业厂界环境噪声排放标准》（GB12348-2008）3类标准</w:t>
                  </w:r>
                </w:p>
              </w:tc>
            </w:tr>
          </w:tbl>
          <w:p>
            <w:pPr>
              <w:spacing w:line="360" w:lineRule="auto"/>
              <w:rPr>
                <w:rFonts w:ascii="Times New Roman" w:hAnsi="Times New Roman" w:cs="Times New Roman"/>
                <w:bCs/>
                <w:color w:val="auto"/>
                <w:sz w:val="24"/>
                <w:highlight w:val="none"/>
              </w:rPr>
            </w:pPr>
          </w:p>
        </w:tc>
      </w:tr>
    </w:tbl>
    <w:p>
      <w:pPr>
        <w:pStyle w:val="3"/>
        <w:spacing w:before="0" w:after="0" w:line="240" w:lineRule="auto"/>
        <w:rPr>
          <w:rFonts w:ascii="Times New Roman" w:hAnsi="Times New Roman" w:cs="Times New Roman"/>
          <w:color w:val="auto"/>
          <w:sz w:val="32"/>
          <w:szCs w:val="32"/>
          <w:highlight w:val="none"/>
        </w:rPr>
      </w:pPr>
      <w:bookmarkStart w:id="26" w:name="_Toc26926"/>
      <w:bookmarkStart w:id="27" w:name="_Toc9918_WPSOffice_Level1"/>
      <w:bookmarkStart w:id="28" w:name="_Toc24753"/>
      <w:bookmarkStart w:id="29" w:name="_Toc9238_WPSOffice_Level1"/>
      <w:r>
        <w:rPr>
          <w:rFonts w:ascii="Times New Roman" w:hAnsi="Times New Roman" w:cs="Times New Roman"/>
          <w:color w:val="auto"/>
          <w:sz w:val="32"/>
          <w:szCs w:val="32"/>
          <w:highlight w:val="none"/>
        </w:rPr>
        <w:t>八、项目拟采取的防治措施及预期治理效果</w:t>
      </w:r>
      <w:bookmarkEnd w:id="26"/>
      <w:bookmarkEnd w:id="27"/>
      <w:bookmarkEnd w:id="28"/>
      <w:bookmarkEnd w:id="29"/>
    </w:p>
    <w:tbl>
      <w:tblPr>
        <w:tblStyle w:val="22"/>
        <w:tblW w:w="833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05"/>
        <w:gridCol w:w="720"/>
        <w:gridCol w:w="1189"/>
        <w:gridCol w:w="2509"/>
        <w:gridCol w:w="34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505" w:type="dxa"/>
            <w:vAlign w:val="center"/>
          </w:tcPr>
          <w:p>
            <w:pPr>
              <w:jc w:val="center"/>
              <w:rPr>
                <w:rFonts w:ascii="Times New Roman" w:hAnsi="Times New Roman" w:cs="Times New Roman"/>
                <w:b/>
                <w:bCs/>
                <w:color w:val="auto"/>
                <w:szCs w:val="21"/>
                <w:highlight w:val="none"/>
              </w:rPr>
            </w:pPr>
            <w:bookmarkStart w:id="30" w:name="_Toc27399_WPSOffice_Level1"/>
            <w:r>
              <w:rPr>
                <w:rFonts w:ascii="Times New Roman" w:hAnsi="Times New Roman" w:cs="Times New Roman"/>
                <w:b/>
                <w:bCs/>
                <w:color w:val="auto"/>
                <w:szCs w:val="21"/>
                <w:highlight w:val="none"/>
              </w:rPr>
              <w:t>类型</w:t>
            </w:r>
          </w:p>
        </w:tc>
        <w:tc>
          <w:tcPr>
            <w:tcW w:w="720" w:type="dxa"/>
            <w:vAlign w:val="center"/>
          </w:tcPr>
          <w:p>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排放源</w:t>
            </w:r>
          </w:p>
        </w:tc>
        <w:tc>
          <w:tcPr>
            <w:tcW w:w="1189" w:type="dxa"/>
            <w:vAlign w:val="center"/>
          </w:tcPr>
          <w:p>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污染物</w:t>
            </w:r>
          </w:p>
        </w:tc>
        <w:tc>
          <w:tcPr>
            <w:tcW w:w="2509" w:type="dxa"/>
            <w:vAlign w:val="center"/>
          </w:tcPr>
          <w:p>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防治措施</w:t>
            </w:r>
          </w:p>
        </w:tc>
        <w:tc>
          <w:tcPr>
            <w:tcW w:w="3413" w:type="dxa"/>
            <w:vAlign w:val="center"/>
          </w:tcPr>
          <w:p>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预期治理效果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505" w:type="dxa"/>
            <w:vMerge w:val="restart"/>
            <w:vAlign w:val="center"/>
          </w:tcPr>
          <w:p>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大气污染物</w:t>
            </w:r>
          </w:p>
        </w:tc>
        <w:tc>
          <w:tcPr>
            <w:tcW w:w="720" w:type="dxa"/>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发泡、成型</w:t>
            </w:r>
            <w:r>
              <w:rPr>
                <w:rFonts w:ascii="Times New Roman" w:hAnsi="Times New Roman" w:cs="Times New Roman"/>
                <w:color w:val="auto"/>
                <w:szCs w:val="21"/>
                <w:highlight w:val="none"/>
              </w:rPr>
              <w:t>工序</w:t>
            </w:r>
          </w:p>
        </w:tc>
        <w:tc>
          <w:tcPr>
            <w:tcW w:w="1189" w:type="dxa"/>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非甲烷总烃</w:t>
            </w:r>
          </w:p>
        </w:tc>
        <w:tc>
          <w:tcPr>
            <w:tcW w:w="2509" w:type="dxa"/>
            <w:vAlign w:val="center"/>
          </w:tcPr>
          <w:p>
            <w:pPr>
              <w:adjustRightIn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集气罩收集经</w:t>
            </w:r>
            <w:r>
              <w:rPr>
                <w:rFonts w:hint="eastAsia" w:ascii="Times New Roman" w:hAnsi="Times New Roman" w:cs="Times New Roman"/>
                <w:color w:val="auto"/>
                <w:szCs w:val="21"/>
                <w:highlight w:val="none"/>
              </w:rPr>
              <w:t>“水雾分离器+UV光解+活性炭吸附”</w:t>
            </w:r>
            <w:r>
              <w:rPr>
                <w:rFonts w:ascii="Times New Roman" w:hAnsi="Times New Roman" w:cs="Times New Roman"/>
                <w:color w:val="auto"/>
                <w:szCs w:val="21"/>
                <w:highlight w:val="none"/>
              </w:rPr>
              <w:t>处理后15m高空排放</w:t>
            </w:r>
          </w:p>
        </w:tc>
        <w:tc>
          <w:tcPr>
            <w:tcW w:w="3413" w:type="dxa"/>
            <w:vAlign w:val="center"/>
          </w:tcPr>
          <w:p>
            <w:pPr>
              <w:adjustRightIn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达到《合成树脂工业污染物排放标准》（GB31572-2015）表4中的大气污染物特别排放限值，无组织排放</w:t>
            </w:r>
            <w:r>
              <w:rPr>
                <w:rFonts w:hint="eastAsia" w:ascii="Times New Roman" w:hAnsi="Times New Roman" w:cs="Times New Roman"/>
                <w:color w:val="auto"/>
                <w:szCs w:val="21"/>
                <w:highlight w:val="none"/>
              </w:rPr>
              <w:t>达到</w:t>
            </w:r>
            <w:r>
              <w:rPr>
                <w:rFonts w:ascii="Times New Roman" w:hAnsi="Times New Roman" w:cs="Times New Roman"/>
                <w:color w:val="auto"/>
                <w:szCs w:val="21"/>
                <w:highlight w:val="none"/>
              </w:rPr>
              <w:t>表9中企业边界大气污染物浓度限值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505" w:type="dxa"/>
            <w:vMerge w:val="continue"/>
            <w:vAlign w:val="center"/>
          </w:tcPr>
          <w:p>
            <w:pPr>
              <w:jc w:val="center"/>
              <w:rPr>
                <w:rFonts w:ascii="Times New Roman" w:hAnsi="Times New Roman" w:cs="Times New Roman"/>
                <w:b/>
                <w:bCs/>
                <w:color w:val="auto"/>
                <w:szCs w:val="21"/>
                <w:highlight w:val="none"/>
              </w:rPr>
            </w:pPr>
          </w:p>
        </w:tc>
        <w:tc>
          <w:tcPr>
            <w:tcW w:w="720" w:type="dxa"/>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饭堂油烟</w:t>
            </w:r>
          </w:p>
        </w:tc>
        <w:tc>
          <w:tcPr>
            <w:tcW w:w="1189" w:type="dxa"/>
            <w:vAlign w:val="center"/>
          </w:tcPr>
          <w:p>
            <w:pPr>
              <w:adjustRightInd w:val="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油烟</w:t>
            </w:r>
          </w:p>
        </w:tc>
        <w:tc>
          <w:tcPr>
            <w:tcW w:w="2509" w:type="dxa"/>
            <w:vAlign w:val="center"/>
          </w:tcPr>
          <w:p>
            <w:pPr>
              <w:adjustRightInd w:val="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静电油烟处理</w:t>
            </w:r>
          </w:p>
        </w:tc>
        <w:tc>
          <w:tcPr>
            <w:tcW w:w="3413" w:type="dxa"/>
            <w:vAlign w:val="center"/>
          </w:tcPr>
          <w:p>
            <w:pPr>
              <w:adjustRightInd w:val="0"/>
              <w:jc w:val="center"/>
              <w:rPr>
                <w:rFonts w:ascii="Times New Roman" w:hAnsi="Times New Roman" w:cs="Times New Roman"/>
                <w:color w:val="auto"/>
                <w:szCs w:val="21"/>
                <w:highlight w:val="none"/>
              </w:rPr>
            </w:pPr>
            <w:r>
              <w:rPr>
                <w:color w:val="auto"/>
                <w:szCs w:val="21"/>
                <w:highlight w:val="none"/>
              </w:rPr>
              <w:t>达到《饮食业油烟排放标准》（GB18483-2001）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505" w:type="dxa"/>
            <w:vAlign w:val="center"/>
          </w:tcPr>
          <w:p>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水</w:t>
            </w:r>
          </w:p>
          <w:p>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污</w:t>
            </w:r>
          </w:p>
          <w:p>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染</w:t>
            </w:r>
          </w:p>
          <w:p>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物</w:t>
            </w:r>
          </w:p>
        </w:tc>
        <w:tc>
          <w:tcPr>
            <w:tcW w:w="720" w:type="dxa"/>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员工</w:t>
            </w:r>
          </w:p>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生活</w:t>
            </w:r>
          </w:p>
        </w:tc>
        <w:tc>
          <w:tcPr>
            <w:tcW w:w="1189" w:type="dxa"/>
            <w:vAlign w:val="center"/>
          </w:tcPr>
          <w:p>
            <w:pPr>
              <w:adjustRightIn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生活污水</w:t>
            </w:r>
          </w:p>
        </w:tc>
        <w:tc>
          <w:tcPr>
            <w:tcW w:w="2509" w:type="dxa"/>
            <w:vAlign w:val="center"/>
          </w:tcPr>
          <w:p>
            <w:pPr>
              <w:adjustRightInd w:val="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依托</w:t>
            </w:r>
            <w:r>
              <w:rPr>
                <w:rFonts w:ascii="Times New Roman" w:hAnsi="Times New Roman" w:cs="Times New Roman"/>
                <w:color w:val="auto"/>
                <w:szCs w:val="21"/>
                <w:highlight w:val="none"/>
              </w:rPr>
              <w:t>开平裕进纺织厂有限公司的污水站（混凝沉淀+水解酸化+接触氧化）处理</w:t>
            </w:r>
          </w:p>
        </w:tc>
        <w:tc>
          <w:tcPr>
            <w:tcW w:w="3413" w:type="dxa"/>
            <w:vAlign w:val="center"/>
          </w:tcPr>
          <w:p>
            <w:pPr>
              <w:adjustRightIn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达到《纺织染整工业水污染物排放标准（GB 4287-2012）》中的表2标准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505" w:type="dxa"/>
            <w:vAlign w:val="center"/>
          </w:tcPr>
          <w:p>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噪</w:t>
            </w:r>
          </w:p>
          <w:p>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声</w:t>
            </w:r>
          </w:p>
        </w:tc>
        <w:tc>
          <w:tcPr>
            <w:tcW w:w="720" w:type="dxa"/>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生产</w:t>
            </w:r>
          </w:p>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设备</w:t>
            </w:r>
          </w:p>
        </w:tc>
        <w:tc>
          <w:tcPr>
            <w:tcW w:w="1189" w:type="dxa"/>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工业噪声</w:t>
            </w:r>
          </w:p>
        </w:tc>
        <w:tc>
          <w:tcPr>
            <w:tcW w:w="2509" w:type="dxa"/>
            <w:vAlign w:val="center"/>
          </w:tcPr>
          <w:p>
            <w:pPr>
              <w:adjustRightIn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项生产设备 隔声、吸声、减震等措施</w:t>
            </w:r>
          </w:p>
        </w:tc>
        <w:tc>
          <w:tcPr>
            <w:tcW w:w="3413" w:type="dxa"/>
            <w:vAlign w:val="center"/>
          </w:tcPr>
          <w:p>
            <w:pPr>
              <w:adjustRightIn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达到《工业企业厂界环境噪声排放标准》（GB12348-2008）3类标准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505" w:type="dxa"/>
            <w:vMerge w:val="restart"/>
            <w:vAlign w:val="center"/>
          </w:tcPr>
          <w:p>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固</w:t>
            </w:r>
          </w:p>
          <w:p>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体</w:t>
            </w:r>
          </w:p>
          <w:p>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废</w:t>
            </w:r>
          </w:p>
          <w:p>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物</w:t>
            </w:r>
          </w:p>
        </w:tc>
        <w:tc>
          <w:tcPr>
            <w:tcW w:w="720" w:type="dxa"/>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员工</w:t>
            </w:r>
          </w:p>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办公</w:t>
            </w:r>
          </w:p>
        </w:tc>
        <w:tc>
          <w:tcPr>
            <w:tcW w:w="1189" w:type="dxa"/>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生活垃圾</w:t>
            </w:r>
          </w:p>
        </w:tc>
        <w:tc>
          <w:tcPr>
            <w:tcW w:w="2509" w:type="dxa"/>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交环卫单位回收处理</w:t>
            </w:r>
          </w:p>
        </w:tc>
        <w:tc>
          <w:tcPr>
            <w:tcW w:w="3413" w:type="dxa"/>
            <w:vMerge w:val="restart"/>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对周边无影响，要求处置符合《一般工业固体废物贮存、处置场污染控制标准》（GB 98599-2001）的标准，《危险废物贮存污染控制标准》（GB18597-2001）标准及 2013 年 6 月修改单要求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505" w:type="dxa"/>
            <w:vMerge w:val="continue"/>
            <w:vAlign w:val="center"/>
          </w:tcPr>
          <w:p>
            <w:pPr>
              <w:jc w:val="center"/>
              <w:rPr>
                <w:rFonts w:ascii="Times New Roman" w:hAnsi="Times New Roman" w:cs="Times New Roman"/>
                <w:b/>
                <w:bCs/>
                <w:color w:val="auto"/>
                <w:szCs w:val="21"/>
                <w:highlight w:val="none"/>
              </w:rPr>
            </w:pPr>
          </w:p>
        </w:tc>
        <w:tc>
          <w:tcPr>
            <w:tcW w:w="720" w:type="dxa"/>
            <w:vMerge w:val="restart"/>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生产</w:t>
            </w:r>
          </w:p>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过程</w:t>
            </w:r>
          </w:p>
        </w:tc>
        <w:tc>
          <w:tcPr>
            <w:tcW w:w="1189" w:type="dxa"/>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废包装材料</w:t>
            </w:r>
          </w:p>
        </w:tc>
        <w:tc>
          <w:tcPr>
            <w:tcW w:w="2509" w:type="dxa"/>
            <w:vMerge w:val="restart"/>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定期交由专业的收购单位回收处理</w:t>
            </w:r>
          </w:p>
        </w:tc>
        <w:tc>
          <w:tcPr>
            <w:tcW w:w="3413" w:type="dxa"/>
            <w:vMerge w:val="continue"/>
            <w:vAlign w:val="center"/>
          </w:tcPr>
          <w:p>
            <w:pPr>
              <w:jc w:val="center"/>
              <w:rPr>
                <w:rFonts w:ascii="Times New Roman" w:hAnsi="Times New Roman" w:cs="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505" w:type="dxa"/>
            <w:vMerge w:val="continue"/>
            <w:vAlign w:val="center"/>
          </w:tcPr>
          <w:p>
            <w:pPr>
              <w:jc w:val="center"/>
              <w:rPr>
                <w:rFonts w:ascii="Times New Roman" w:hAnsi="Times New Roman" w:cs="Times New Roman"/>
                <w:b/>
                <w:bCs/>
                <w:color w:val="auto"/>
                <w:szCs w:val="21"/>
                <w:highlight w:val="none"/>
              </w:rPr>
            </w:pPr>
          </w:p>
        </w:tc>
        <w:tc>
          <w:tcPr>
            <w:tcW w:w="720" w:type="dxa"/>
            <w:vMerge w:val="continue"/>
            <w:vAlign w:val="center"/>
          </w:tcPr>
          <w:p>
            <w:pPr>
              <w:jc w:val="center"/>
              <w:rPr>
                <w:rFonts w:ascii="Times New Roman" w:hAnsi="Times New Roman" w:cs="Times New Roman"/>
                <w:color w:val="auto"/>
                <w:szCs w:val="21"/>
                <w:highlight w:val="none"/>
              </w:rPr>
            </w:pPr>
          </w:p>
        </w:tc>
        <w:tc>
          <w:tcPr>
            <w:tcW w:w="1189" w:type="dxa"/>
            <w:vAlign w:val="center"/>
          </w:tcPr>
          <w:p>
            <w:pPr>
              <w:jc w:val="center"/>
              <w:rPr>
                <w:rFonts w:ascii="Times New Roman" w:hAnsi="Times New Roman" w:eastAsia="宋体" w:cs="Times New Roman"/>
                <w:color w:val="auto"/>
                <w:szCs w:val="21"/>
                <w:highlight w:val="none"/>
              </w:rPr>
            </w:pPr>
            <w:r>
              <w:rPr>
                <w:rFonts w:ascii="Times New Roman" w:hAnsi="Times New Roman" w:cs="Times New Roman"/>
                <w:color w:val="auto"/>
                <w:szCs w:val="21"/>
                <w:highlight w:val="none"/>
              </w:rPr>
              <w:t>不合格品</w:t>
            </w:r>
          </w:p>
        </w:tc>
        <w:tc>
          <w:tcPr>
            <w:tcW w:w="2509" w:type="dxa"/>
            <w:vMerge w:val="continue"/>
            <w:vAlign w:val="center"/>
          </w:tcPr>
          <w:p>
            <w:pPr>
              <w:jc w:val="center"/>
              <w:rPr>
                <w:rFonts w:ascii="Times New Roman" w:hAnsi="Times New Roman" w:cs="Times New Roman"/>
                <w:color w:val="auto"/>
                <w:szCs w:val="21"/>
                <w:highlight w:val="none"/>
              </w:rPr>
            </w:pPr>
          </w:p>
        </w:tc>
        <w:tc>
          <w:tcPr>
            <w:tcW w:w="3413" w:type="dxa"/>
            <w:vMerge w:val="continue"/>
            <w:vAlign w:val="center"/>
          </w:tcPr>
          <w:p>
            <w:pPr>
              <w:rPr>
                <w:rFonts w:ascii="Times New Roman" w:hAnsi="Times New Roman" w:cs="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505" w:type="dxa"/>
            <w:vMerge w:val="restart"/>
            <w:vAlign w:val="center"/>
          </w:tcPr>
          <w:p>
            <w:pPr>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危险废物</w:t>
            </w:r>
          </w:p>
        </w:tc>
        <w:tc>
          <w:tcPr>
            <w:tcW w:w="720" w:type="dxa"/>
            <w:vMerge w:val="restart"/>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维修</w:t>
            </w:r>
          </w:p>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过程</w:t>
            </w:r>
          </w:p>
        </w:tc>
        <w:tc>
          <w:tcPr>
            <w:tcW w:w="1189" w:type="dxa"/>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废润滑油</w:t>
            </w:r>
          </w:p>
        </w:tc>
        <w:tc>
          <w:tcPr>
            <w:tcW w:w="2509" w:type="dxa"/>
            <w:vMerge w:val="restart"/>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交由有危险废物资质的单位回收</w:t>
            </w:r>
          </w:p>
        </w:tc>
        <w:tc>
          <w:tcPr>
            <w:tcW w:w="3413" w:type="dxa"/>
            <w:vMerge w:val="continue"/>
            <w:vAlign w:val="center"/>
          </w:tcPr>
          <w:p>
            <w:pPr>
              <w:rPr>
                <w:rFonts w:ascii="Times New Roman" w:hAnsi="Times New Roman" w:cs="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01" w:hRule="atLeast"/>
          <w:jc w:val="center"/>
        </w:trPr>
        <w:tc>
          <w:tcPr>
            <w:tcW w:w="505" w:type="dxa"/>
            <w:vMerge w:val="continue"/>
            <w:vAlign w:val="center"/>
          </w:tcPr>
          <w:p>
            <w:pPr>
              <w:jc w:val="center"/>
              <w:rPr>
                <w:rFonts w:ascii="Times New Roman" w:hAnsi="Times New Roman" w:cs="Times New Roman"/>
                <w:b/>
                <w:bCs/>
                <w:color w:val="auto"/>
                <w:szCs w:val="21"/>
                <w:highlight w:val="none"/>
              </w:rPr>
            </w:pPr>
          </w:p>
        </w:tc>
        <w:tc>
          <w:tcPr>
            <w:tcW w:w="720" w:type="dxa"/>
            <w:vMerge w:val="continue"/>
            <w:vAlign w:val="center"/>
          </w:tcPr>
          <w:p>
            <w:pPr>
              <w:jc w:val="center"/>
              <w:rPr>
                <w:rFonts w:ascii="Times New Roman" w:hAnsi="Times New Roman" w:cs="Times New Roman"/>
                <w:color w:val="auto"/>
                <w:szCs w:val="21"/>
                <w:highlight w:val="none"/>
              </w:rPr>
            </w:pPr>
          </w:p>
        </w:tc>
        <w:tc>
          <w:tcPr>
            <w:tcW w:w="1189" w:type="dxa"/>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含油废抹布</w:t>
            </w:r>
          </w:p>
        </w:tc>
        <w:tc>
          <w:tcPr>
            <w:tcW w:w="2509" w:type="dxa"/>
            <w:vMerge w:val="continue"/>
            <w:vAlign w:val="center"/>
          </w:tcPr>
          <w:p>
            <w:pPr>
              <w:jc w:val="center"/>
              <w:rPr>
                <w:rFonts w:ascii="Times New Roman" w:hAnsi="Times New Roman" w:cs="Times New Roman"/>
                <w:color w:val="auto"/>
                <w:szCs w:val="21"/>
                <w:highlight w:val="none"/>
              </w:rPr>
            </w:pPr>
          </w:p>
        </w:tc>
        <w:tc>
          <w:tcPr>
            <w:tcW w:w="3413" w:type="dxa"/>
            <w:vMerge w:val="continue"/>
            <w:vAlign w:val="center"/>
          </w:tcPr>
          <w:p>
            <w:pPr>
              <w:rPr>
                <w:rFonts w:ascii="Times New Roman" w:hAnsi="Times New Roman" w:cs="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55" w:hRule="atLeast"/>
          <w:jc w:val="center"/>
        </w:trPr>
        <w:tc>
          <w:tcPr>
            <w:tcW w:w="505" w:type="dxa"/>
            <w:vMerge w:val="continue"/>
            <w:vAlign w:val="center"/>
          </w:tcPr>
          <w:p>
            <w:pPr>
              <w:jc w:val="center"/>
              <w:rPr>
                <w:rFonts w:ascii="Times New Roman" w:hAnsi="Times New Roman" w:cs="Times New Roman"/>
                <w:b/>
                <w:bCs/>
                <w:color w:val="auto"/>
                <w:szCs w:val="21"/>
                <w:highlight w:val="none"/>
              </w:rPr>
            </w:pPr>
          </w:p>
        </w:tc>
        <w:tc>
          <w:tcPr>
            <w:tcW w:w="720" w:type="dxa"/>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废气治理过程</w:t>
            </w:r>
          </w:p>
        </w:tc>
        <w:tc>
          <w:tcPr>
            <w:tcW w:w="1189" w:type="dxa"/>
            <w:vAlign w:val="center"/>
          </w:tcPr>
          <w:p>
            <w:pPr>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废UV光管</w:t>
            </w:r>
            <w:r>
              <w:rPr>
                <w:rFonts w:hint="eastAsia" w:ascii="Times New Roman" w:hAnsi="Times New Roman" w:cs="Times New Roman"/>
                <w:color w:val="auto"/>
                <w:szCs w:val="21"/>
                <w:highlight w:val="none"/>
              </w:rPr>
              <w:t>、废活性炭</w:t>
            </w:r>
          </w:p>
        </w:tc>
        <w:tc>
          <w:tcPr>
            <w:tcW w:w="2509" w:type="dxa"/>
            <w:vMerge w:val="continue"/>
            <w:vAlign w:val="center"/>
          </w:tcPr>
          <w:p>
            <w:pPr>
              <w:jc w:val="center"/>
              <w:rPr>
                <w:rFonts w:ascii="Times New Roman" w:hAnsi="Times New Roman" w:cs="Times New Roman"/>
                <w:color w:val="auto"/>
                <w:szCs w:val="21"/>
                <w:highlight w:val="none"/>
              </w:rPr>
            </w:pPr>
          </w:p>
        </w:tc>
        <w:tc>
          <w:tcPr>
            <w:tcW w:w="3413" w:type="dxa"/>
            <w:vMerge w:val="continue"/>
            <w:vAlign w:val="center"/>
          </w:tcPr>
          <w:p>
            <w:pPr>
              <w:rPr>
                <w:rFonts w:ascii="Times New Roman" w:hAnsi="Times New Roman" w:cs="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689" w:hRule="atLeast"/>
          <w:jc w:val="center"/>
        </w:trPr>
        <w:tc>
          <w:tcPr>
            <w:tcW w:w="505" w:type="dxa"/>
            <w:vAlign w:val="center"/>
          </w:tcPr>
          <w:p>
            <w:pPr>
              <w:spacing w:line="360" w:lineRule="auto"/>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主</w:t>
            </w:r>
          </w:p>
          <w:p>
            <w:pPr>
              <w:spacing w:line="360" w:lineRule="auto"/>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要</w:t>
            </w:r>
          </w:p>
          <w:p>
            <w:pPr>
              <w:spacing w:line="360" w:lineRule="auto"/>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生</w:t>
            </w:r>
          </w:p>
          <w:p>
            <w:pPr>
              <w:spacing w:line="360" w:lineRule="auto"/>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态</w:t>
            </w:r>
          </w:p>
          <w:p>
            <w:pPr>
              <w:spacing w:line="360" w:lineRule="auto"/>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影</w:t>
            </w:r>
          </w:p>
          <w:p>
            <w:pPr>
              <w:spacing w:line="360" w:lineRule="auto"/>
              <w:jc w:val="center"/>
              <w:rPr>
                <w:rFonts w:ascii="Times New Roman" w:hAnsi="Times New Roman" w:cs="Times New Roman"/>
                <w:color w:val="auto"/>
                <w:szCs w:val="21"/>
                <w:highlight w:val="none"/>
              </w:rPr>
            </w:pPr>
            <w:r>
              <w:rPr>
                <w:rFonts w:ascii="Times New Roman" w:hAnsi="Times New Roman" w:cs="Times New Roman"/>
                <w:b/>
                <w:bCs/>
                <w:color w:val="auto"/>
                <w:szCs w:val="21"/>
                <w:highlight w:val="none"/>
              </w:rPr>
              <w:t>响</w:t>
            </w:r>
          </w:p>
        </w:tc>
        <w:tc>
          <w:tcPr>
            <w:tcW w:w="7831" w:type="dxa"/>
            <w:gridSpan w:val="4"/>
            <w:vAlign w:val="center"/>
          </w:tcPr>
          <w:p>
            <w:pPr>
              <w:snapToGrid w:val="0"/>
              <w:spacing w:line="360" w:lineRule="auto"/>
              <w:jc w:val="left"/>
              <w:rPr>
                <w:rFonts w:ascii="Times New Roman" w:hAnsi="Times New Roman" w:cs="Times New Roman"/>
                <w:color w:val="auto"/>
                <w:szCs w:val="21"/>
                <w:highlight w:val="none"/>
              </w:rPr>
            </w:pPr>
            <w:r>
              <w:rPr>
                <w:rFonts w:ascii="Times New Roman" w:hAnsi="Times New Roman" w:cs="Times New Roman"/>
                <w:color w:val="auto"/>
                <w:szCs w:val="21"/>
                <w:highlight w:val="none"/>
              </w:rPr>
              <w:t>（1）合理厂区内的生产布局，防治内环境的污染。</w:t>
            </w:r>
          </w:p>
          <w:p>
            <w:pPr>
              <w:snapToGrid w:val="0"/>
              <w:spacing w:line="360" w:lineRule="auto"/>
              <w:jc w:val="left"/>
              <w:rPr>
                <w:rFonts w:ascii="Times New Roman" w:hAnsi="Times New Roman" w:cs="Times New Roman"/>
                <w:color w:val="auto"/>
                <w:szCs w:val="21"/>
                <w:highlight w:val="none"/>
              </w:rPr>
            </w:pPr>
            <w:r>
              <w:rPr>
                <w:rFonts w:ascii="Times New Roman" w:hAnsi="Times New Roman" w:cs="Times New Roman"/>
                <w:color w:val="auto"/>
                <w:szCs w:val="21"/>
                <w:highlight w:val="none"/>
              </w:rPr>
              <w:t>（2）按上述措施对各种污染物进行有效的治理，可降低其对周围生态环境的影响，并搞好周围的绿化、美化，以减少对附近区域生态环境的影响。</w:t>
            </w:r>
          </w:p>
          <w:p>
            <w:pPr>
              <w:snapToGrid w:val="0"/>
              <w:spacing w:line="360" w:lineRule="auto"/>
              <w:jc w:val="left"/>
              <w:rPr>
                <w:rFonts w:ascii="Times New Roman" w:hAnsi="Times New Roman" w:cs="Times New Roman"/>
                <w:color w:val="auto"/>
                <w:szCs w:val="21"/>
                <w:highlight w:val="none"/>
              </w:rPr>
            </w:pPr>
            <w:r>
              <w:rPr>
                <w:rFonts w:ascii="Times New Roman" w:hAnsi="Times New Roman" w:cs="Times New Roman"/>
                <w:color w:val="auto"/>
                <w:szCs w:val="21"/>
                <w:highlight w:val="none"/>
              </w:rPr>
              <w:t>（3）加强生态建设，实行综合利用和资源化再生产。</w:t>
            </w:r>
          </w:p>
          <w:p>
            <w:pPr>
              <w:snapToGrid w:val="0"/>
              <w:spacing w:line="360" w:lineRule="auto"/>
              <w:jc w:val="left"/>
              <w:rPr>
                <w:rFonts w:ascii="Times New Roman" w:hAnsi="Times New Roman" w:cs="Times New Roman"/>
                <w:color w:val="auto"/>
                <w:highlight w:val="none"/>
              </w:rPr>
            </w:pPr>
            <w:r>
              <w:rPr>
                <w:rFonts w:ascii="Times New Roman" w:hAnsi="Times New Roman" w:cs="Times New Roman"/>
                <w:color w:val="auto"/>
                <w:szCs w:val="21"/>
                <w:highlight w:val="none"/>
              </w:rPr>
              <w:t>（4）实施清洁生产，从源头到污染物的排放全过程控制，实现节能、降耗、减污、增效的目标。</w:t>
            </w:r>
          </w:p>
        </w:tc>
      </w:tr>
    </w:tbl>
    <w:p>
      <w:pPr>
        <w:pStyle w:val="17"/>
        <w:rPr>
          <w:rFonts w:ascii="Times New Roman" w:hAnsi="Times New Roman" w:cs="Times New Roman"/>
          <w:color w:val="auto"/>
          <w:highlight w:val="none"/>
        </w:rPr>
      </w:pPr>
    </w:p>
    <w:p>
      <w:pPr>
        <w:pStyle w:val="3"/>
        <w:spacing w:before="0" w:after="0" w:line="240" w:lineRule="auto"/>
        <w:rPr>
          <w:rFonts w:ascii="Times New Roman" w:hAnsi="Times New Roman" w:cs="Times New Roman"/>
          <w:color w:val="auto"/>
          <w:sz w:val="32"/>
          <w:szCs w:val="32"/>
          <w:highlight w:val="none"/>
        </w:rPr>
      </w:pPr>
      <w:bookmarkStart w:id="31" w:name="_Toc21981_WPSOffice_Level1"/>
      <w:bookmarkStart w:id="32" w:name="_Toc24602"/>
      <w:bookmarkStart w:id="33" w:name="_Toc1963"/>
      <w:r>
        <w:rPr>
          <w:rFonts w:ascii="Times New Roman" w:hAnsi="Times New Roman" w:cs="Times New Roman"/>
          <w:color w:val="auto"/>
          <w:sz w:val="32"/>
          <w:szCs w:val="32"/>
          <w:highlight w:val="none"/>
        </w:rPr>
        <w:br w:type="page"/>
      </w:r>
      <w:r>
        <w:rPr>
          <w:rFonts w:ascii="Times New Roman" w:hAnsi="Times New Roman" w:cs="Times New Roman"/>
          <w:color w:val="auto"/>
          <w:sz w:val="32"/>
          <w:szCs w:val="32"/>
          <w:highlight w:val="none"/>
        </w:rPr>
        <w:t>九、结论与建议</w:t>
      </w:r>
      <w:bookmarkEnd w:id="30"/>
      <w:bookmarkEnd w:id="31"/>
      <w:bookmarkEnd w:id="32"/>
      <w:bookmarkEnd w:id="33"/>
    </w:p>
    <w:tbl>
      <w:tblPr>
        <w:tblStyle w:val="23"/>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tcPr>
          <w:p>
            <w:pPr>
              <w:numPr>
                <w:ilvl w:val="0"/>
                <w:numId w:val="7"/>
              </w:numPr>
              <w:spacing w:line="360" w:lineRule="auto"/>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项目概况</w:t>
            </w:r>
          </w:p>
          <w:p>
            <w:pPr>
              <w:spacing w:line="360" w:lineRule="auto"/>
              <w:ind w:firstLine="48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开平市鹏裕包装材料有限公司建设项目位于开平市长沙区金章大道12号5幢之二。其厂址中心地理坐标为北纬：22°24′24″，东经：112°37′32″。项目总用地面积2500m</w:t>
            </w:r>
            <w:r>
              <w:rPr>
                <w:rFonts w:ascii="Times New Roman" w:hAnsi="Times New Roman" w:eastAsia="宋体" w:cs="Times New Roman"/>
                <w:color w:val="auto"/>
                <w:sz w:val="24"/>
                <w:highlight w:val="none"/>
                <w:vertAlign w:val="superscript"/>
              </w:rPr>
              <w:t>3</w:t>
            </w:r>
            <w:r>
              <w:rPr>
                <w:rFonts w:ascii="Times New Roman" w:hAnsi="Times New Roman" w:eastAsia="宋体" w:cs="Times New Roman"/>
                <w:color w:val="auto"/>
                <w:sz w:val="24"/>
                <w:highlight w:val="none"/>
              </w:rPr>
              <w:t>，总投资150万元，其中环保投资为</w:t>
            </w:r>
            <w:r>
              <w:rPr>
                <w:rFonts w:hint="eastAsia" w:ascii="Times New Roman" w:hAnsi="Times New Roman" w:eastAsia="宋体" w:cs="Times New Roman"/>
                <w:color w:val="auto"/>
                <w:sz w:val="24"/>
                <w:highlight w:val="none"/>
              </w:rPr>
              <w:t>20</w:t>
            </w:r>
            <w:r>
              <w:rPr>
                <w:rFonts w:ascii="Times New Roman" w:hAnsi="Times New Roman" w:eastAsia="宋体" w:cs="Times New Roman"/>
                <w:color w:val="auto"/>
                <w:sz w:val="24"/>
                <w:highlight w:val="none"/>
              </w:rPr>
              <w:t>万元。项目主要生产和销售EPS泡沫包装产品，</w:t>
            </w:r>
            <w:r>
              <w:rPr>
                <w:rFonts w:hint="eastAsia" w:ascii="Times New Roman" w:hAnsi="Times New Roman" w:eastAsia="宋体" w:cs="Times New Roman"/>
                <w:color w:val="auto"/>
                <w:sz w:val="24"/>
                <w:highlight w:val="none"/>
              </w:rPr>
              <w:t>预计</w:t>
            </w:r>
            <w:r>
              <w:rPr>
                <w:rFonts w:ascii="Times New Roman" w:hAnsi="Times New Roman" w:eastAsia="宋体" w:cs="Times New Roman"/>
                <w:color w:val="auto"/>
                <w:sz w:val="24"/>
                <w:highlight w:val="none"/>
              </w:rPr>
              <w:t>年产EPS泡沫包装产品400吨。</w:t>
            </w:r>
          </w:p>
          <w:p>
            <w:pPr>
              <w:spacing w:line="360" w:lineRule="auto"/>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二、产业政策及选址可行性分析</w:t>
            </w:r>
          </w:p>
          <w:p>
            <w:pPr>
              <w:spacing w:line="360" w:lineRule="auto"/>
              <w:ind w:firstLine="482" w:firstLineChars="200"/>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1、产业政策相符性</w:t>
            </w:r>
          </w:p>
          <w:p>
            <w:pPr>
              <w:pStyle w:val="37"/>
              <w:snapToGrid w:val="0"/>
              <w:spacing w:line="360" w:lineRule="auto"/>
              <w:ind w:firstLine="500"/>
              <w:jc w:val="both"/>
              <w:rPr>
                <w:rFonts w:ascii="Times New Roman" w:hAnsi="Times New Roman" w:cs="Times New Roman"/>
                <w:color w:val="auto"/>
                <w:sz w:val="24"/>
                <w:highlight w:val="none"/>
              </w:rPr>
            </w:pPr>
            <w:r>
              <w:rPr>
                <w:rFonts w:ascii="Times New Roman" w:hAnsi="Times New Roman" w:eastAsia="宋体" w:cs="Times New Roman"/>
                <w:color w:val="auto"/>
                <w:sz w:val="24"/>
                <w:highlight w:val="none"/>
              </w:rPr>
              <w:t>项目属于塑料制品业。</w:t>
            </w:r>
            <w:r>
              <w:rPr>
                <w:rFonts w:ascii="Times New Roman" w:hAnsi="Times New Roman" w:cs="Times New Roman"/>
                <w:color w:val="auto"/>
                <w:sz w:val="24"/>
                <w:highlight w:val="none"/>
              </w:rPr>
              <w:t>主要从事</w:t>
            </w:r>
            <w:r>
              <w:rPr>
                <w:rFonts w:ascii="Times New Roman" w:hAnsi="Times New Roman" w:eastAsia="宋体" w:cs="Times New Roman"/>
                <w:color w:val="auto"/>
                <w:sz w:val="24"/>
                <w:highlight w:val="none"/>
              </w:rPr>
              <w:t>泡沫包装产品</w:t>
            </w:r>
            <w:r>
              <w:rPr>
                <w:rFonts w:ascii="Times New Roman" w:hAnsi="Times New Roman" w:cs="Times New Roman"/>
                <w:color w:val="auto"/>
                <w:sz w:val="24"/>
                <w:highlight w:val="none"/>
              </w:rPr>
              <w:t>生产销售，且本项目不涉及人造革、发泡胶、再生塑料等有毒原材料及电镀、喷漆工艺。</w:t>
            </w:r>
          </w:p>
          <w:p>
            <w:pPr>
              <w:pStyle w:val="37"/>
              <w:snapToGrid w:val="0"/>
              <w:spacing w:line="360" w:lineRule="auto"/>
              <w:ind w:firstLine="500"/>
              <w:jc w:val="both"/>
              <w:rPr>
                <w:rFonts w:ascii="Times New Roman" w:hAnsi="Times New Roman" w:cs="Times New Roman"/>
                <w:color w:val="auto"/>
                <w:sz w:val="24"/>
                <w:highlight w:val="none"/>
              </w:rPr>
            </w:pPr>
            <w:r>
              <w:rPr>
                <w:rFonts w:ascii="Times New Roman" w:hAnsi="Times New Roman" w:cs="Times New Roman"/>
                <w:color w:val="auto"/>
                <w:sz w:val="24"/>
                <w:highlight w:val="none"/>
              </w:rPr>
              <w:t>项目生产的产品不在根据产业结构调整指导目录（2011年本）》（2013年修正）（国家发改委令2013年21号）、《珠江三角洲地区产业结构调整优化和产业导向目录》（2011年本）、《江门市投资准入负面清单（2018年本）》（江府〔2018〕20 号），符合相关的产业政策要求，符合国家有关法律、法规和政策规定。</w:t>
            </w:r>
          </w:p>
          <w:p>
            <w:pPr>
              <w:spacing w:line="360" w:lineRule="auto"/>
              <w:ind w:firstLine="482" w:firstLineChars="200"/>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2、选址规划相符性分析</w:t>
            </w:r>
          </w:p>
          <w:p>
            <w:pPr>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本项目位于开平市长沙区金章大道12号5幢之二，根据提供的土地使用证，该用地性质属于工业用地，符合《开平市水口镇总体规划修编（2004-2024）》的用地性质。因此，本项目符合开平市城市规划的要求。项目选址不涉及生态保护区等保护区域。</w:t>
            </w:r>
          </w:p>
          <w:p>
            <w:pPr>
              <w:spacing w:line="360" w:lineRule="auto"/>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三、环境质量现状</w:t>
            </w:r>
          </w:p>
          <w:p>
            <w:pPr>
              <w:snapToGrid w:val="0"/>
              <w:spacing w:line="360" w:lineRule="auto"/>
              <w:ind w:firstLine="502"/>
              <w:rPr>
                <w:rFonts w:ascii="Times New Roman" w:hAnsi="Times New Roman" w:cs="Times New Roman"/>
                <w:b/>
                <w:bCs/>
                <w:color w:val="auto"/>
                <w:sz w:val="24"/>
                <w:highlight w:val="none"/>
              </w:rPr>
            </w:pPr>
            <w:r>
              <w:rPr>
                <w:rFonts w:ascii="Times New Roman" w:hAnsi="Times New Roman" w:cs="Times New Roman"/>
                <w:b/>
                <w:bCs/>
                <w:color w:val="auto"/>
                <w:sz w:val="24"/>
                <w:highlight w:val="none"/>
              </w:rPr>
              <w:t>1.水环境质量现状</w:t>
            </w:r>
          </w:p>
          <w:p>
            <w:pPr>
              <w:snapToGrid w:val="0"/>
              <w:spacing w:line="360" w:lineRule="auto"/>
              <w:ind w:firstLine="500"/>
              <w:rPr>
                <w:rFonts w:ascii="Times New Roman" w:hAnsi="Times New Roman" w:cs="Times New Roman"/>
                <w:color w:val="auto"/>
                <w:sz w:val="24"/>
                <w:highlight w:val="none"/>
              </w:rPr>
            </w:pPr>
            <w:r>
              <w:rPr>
                <w:rFonts w:ascii="Times New Roman" w:hAnsi="Times New Roman" w:cs="Times New Roman"/>
                <w:color w:val="auto"/>
                <w:sz w:val="24"/>
                <w:highlight w:val="none"/>
              </w:rPr>
              <w:t>根据上述水质监测结果，镇海水监测因子水质标准指数均未超标的情况，说明镇海水水质良好，达到《地表水环境质量标准》（GB3838-2002）Ⅲ类标准。</w:t>
            </w:r>
          </w:p>
          <w:p>
            <w:pPr>
              <w:snapToGrid w:val="0"/>
              <w:spacing w:line="360" w:lineRule="auto"/>
              <w:ind w:firstLine="502"/>
              <w:rPr>
                <w:rFonts w:ascii="Times New Roman" w:hAnsi="Times New Roman" w:cs="Times New Roman"/>
                <w:b/>
                <w:bCs/>
                <w:color w:val="auto"/>
                <w:sz w:val="24"/>
                <w:highlight w:val="none"/>
              </w:rPr>
            </w:pPr>
            <w:r>
              <w:rPr>
                <w:rFonts w:ascii="Times New Roman" w:hAnsi="Times New Roman" w:cs="Times New Roman"/>
                <w:b/>
                <w:bCs/>
                <w:color w:val="auto"/>
                <w:sz w:val="24"/>
                <w:highlight w:val="none"/>
              </w:rPr>
              <w:t>2.环境空气质量现状</w:t>
            </w:r>
          </w:p>
          <w:p>
            <w:pPr>
              <w:snapToGrid w:val="0"/>
              <w:spacing w:line="360" w:lineRule="auto"/>
              <w:ind w:firstLine="500"/>
              <w:rPr>
                <w:rFonts w:ascii="Times New Roman" w:hAnsi="Times New Roman" w:cs="Times New Roman"/>
                <w:color w:val="auto"/>
                <w:sz w:val="24"/>
                <w:highlight w:val="none"/>
              </w:rPr>
            </w:pPr>
            <w:r>
              <w:rPr>
                <w:rFonts w:ascii="Times New Roman" w:hAnsi="Times New Roman" w:cs="Times New Roman"/>
                <w:color w:val="auto"/>
                <w:sz w:val="24"/>
                <w:highlight w:val="none"/>
              </w:rPr>
              <w:t>根据江门市环境保护局公布《201</w:t>
            </w:r>
            <w:r>
              <w:rPr>
                <w:rFonts w:hint="eastAsia" w:ascii="Times New Roman" w:hAnsi="Times New Roman" w:cs="Times New Roman"/>
                <w:color w:val="auto"/>
                <w:sz w:val="24"/>
                <w:highlight w:val="none"/>
              </w:rPr>
              <w:t>7</w:t>
            </w:r>
            <w:r>
              <w:rPr>
                <w:rFonts w:ascii="Times New Roman" w:hAnsi="Times New Roman" w:cs="Times New Roman"/>
                <w:color w:val="auto"/>
                <w:sz w:val="24"/>
                <w:highlight w:val="none"/>
              </w:rPr>
              <w:t>年江门市环境质量状况公报》，</w:t>
            </w:r>
            <w:r>
              <w:rPr>
                <w:rFonts w:hint="eastAsia" w:ascii="Times New Roman" w:hAnsi="Times New Roman" w:cs="Times New Roman"/>
                <w:color w:val="auto"/>
                <w:sz w:val="24"/>
                <w:highlight w:val="none"/>
              </w:rPr>
              <w:t>开平</w:t>
            </w:r>
            <w:r>
              <w:rPr>
                <w:rFonts w:ascii="Times New Roman" w:hAnsi="Times New Roman" w:cs="Times New Roman"/>
                <w:color w:val="auto"/>
                <w:sz w:val="24"/>
                <w:highlight w:val="none"/>
              </w:rPr>
              <w:t>市现状空气质量达到《环境空气质量标准》及其生态环境部2018年第29号修改单二级标准。根据《环境影响评价技术导则大气环境》（HJ2.2-2018），本项目属于达标区。</w:t>
            </w:r>
          </w:p>
          <w:p>
            <w:pPr>
              <w:pStyle w:val="24"/>
              <w:numPr>
                <w:ilvl w:val="0"/>
                <w:numId w:val="8"/>
              </w:numPr>
              <w:snapToGrid w:val="0"/>
              <w:spacing w:line="360" w:lineRule="auto"/>
              <w:ind w:firstLine="482" w:firstLineChars="200"/>
              <w:jc w:val="both"/>
              <w:rPr>
                <w:rFonts w:ascii="Times New Roman" w:hAnsi="Times New Roman" w:cs="Times New Roman"/>
                <w:b/>
                <w:bCs/>
                <w:color w:val="auto"/>
                <w:highlight w:val="none"/>
              </w:rPr>
            </w:pPr>
            <w:r>
              <w:rPr>
                <w:rFonts w:ascii="Times New Roman" w:hAnsi="Times New Roman" w:cs="Times New Roman"/>
                <w:b/>
                <w:bCs/>
                <w:color w:val="auto"/>
                <w:highlight w:val="none"/>
              </w:rPr>
              <w:t>声环境质量现状</w:t>
            </w:r>
          </w:p>
          <w:p>
            <w:pPr>
              <w:pStyle w:val="24"/>
              <w:snapToGrid w:val="0"/>
              <w:spacing w:line="360" w:lineRule="auto"/>
              <w:ind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本项目噪声源是生产设备的机械噪声，通过采取一定措施后，从监测结果可知，项目边界昼间和夜间噪声均能满足《声环境质量标准》（GB3096-2008）3 类标准要求，说明项目所在地声环境质量较好。对周围环境影响较小，周围声环境可维持在现有水平。</w:t>
            </w:r>
          </w:p>
          <w:p>
            <w:pPr>
              <w:spacing w:line="360" w:lineRule="auto"/>
              <w:ind w:firstLine="482" w:firstLineChars="200"/>
              <w:rPr>
                <w:rFonts w:ascii="Times New Roman" w:hAnsi="Times New Roman" w:eastAsia="宋体" w:cs="Times New Roman"/>
                <w:bCs/>
                <w:color w:val="auto"/>
                <w:sz w:val="24"/>
                <w:highlight w:val="none"/>
              </w:rPr>
            </w:pPr>
            <w:r>
              <w:rPr>
                <w:rFonts w:ascii="Times New Roman" w:hAnsi="Times New Roman" w:eastAsia="宋体" w:cs="Times New Roman"/>
                <w:b/>
                <w:color w:val="auto"/>
                <w:sz w:val="24"/>
                <w:highlight w:val="none"/>
              </w:rPr>
              <w:t>四、环境影响评价结论</w:t>
            </w:r>
          </w:p>
          <w:p>
            <w:pPr>
              <w:spacing w:line="360" w:lineRule="auto"/>
              <w:ind w:firstLine="482" w:firstLineChars="200"/>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1 、环境空气影响评价结论</w:t>
            </w:r>
          </w:p>
          <w:p>
            <w:pPr>
              <w:numPr>
                <w:ilvl w:val="0"/>
                <w:numId w:val="9"/>
              </w:numPr>
              <w:spacing w:line="360" w:lineRule="auto"/>
              <w:ind w:firstLine="480" w:firstLineChars="200"/>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非甲烷总烃</w:t>
            </w:r>
          </w:p>
          <w:p>
            <w:pPr>
              <w:spacing w:line="360" w:lineRule="auto"/>
              <w:ind w:firstLine="480" w:firstLineChars="200"/>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项目生产泡沫包装产品生产过程中会产生少量非甲烷总烃废气，建设单位设置集气罩将废气收集（收集效率85%），拟采用</w:t>
            </w:r>
            <w:r>
              <w:rPr>
                <w:rFonts w:hint="eastAsia" w:ascii="Times New Roman" w:hAnsi="Times New Roman" w:eastAsia="宋体" w:cs="Times New Roman"/>
                <w:bCs/>
                <w:color w:val="auto"/>
                <w:sz w:val="24"/>
                <w:highlight w:val="none"/>
              </w:rPr>
              <w:t>“水雾分离器+UV光解+活性炭吸附”</w:t>
            </w:r>
            <w:r>
              <w:rPr>
                <w:rFonts w:ascii="Times New Roman" w:hAnsi="Times New Roman" w:eastAsia="宋体" w:cs="Times New Roman"/>
                <w:bCs/>
                <w:color w:val="auto"/>
                <w:sz w:val="24"/>
                <w:highlight w:val="none"/>
              </w:rPr>
              <w:t>处理项目产生的有机废气，去除效率达</w:t>
            </w:r>
            <w:r>
              <w:rPr>
                <w:rFonts w:hint="eastAsia" w:ascii="Times New Roman" w:hAnsi="Times New Roman" w:eastAsia="宋体" w:cs="Times New Roman"/>
                <w:bCs/>
                <w:color w:val="auto"/>
                <w:sz w:val="24"/>
                <w:highlight w:val="none"/>
              </w:rPr>
              <w:t>8</w:t>
            </w:r>
            <w:r>
              <w:rPr>
                <w:rFonts w:ascii="Times New Roman" w:hAnsi="Times New Roman" w:eastAsia="宋体" w:cs="Times New Roman"/>
                <w:bCs/>
                <w:color w:val="auto"/>
                <w:sz w:val="24"/>
                <w:highlight w:val="none"/>
              </w:rPr>
              <w:t>0%；经处理外排的非甲烷总烃排放浓度达到《合成树脂工业污染物排放标准》（GB31571-2015）中表4大气污染物排放限值（即非甲烷总烃≤100mg/m</w:t>
            </w:r>
            <w:r>
              <w:rPr>
                <w:rFonts w:ascii="Times New Roman" w:hAnsi="Times New Roman" w:eastAsia="宋体" w:cs="Times New Roman"/>
                <w:bCs/>
                <w:color w:val="auto"/>
                <w:sz w:val="24"/>
                <w:highlight w:val="none"/>
                <w:vertAlign w:val="superscript"/>
              </w:rPr>
              <w:t>3</w:t>
            </w:r>
            <w:r>
              <w:rPr>
                <w:rFonts w:ascii="Times New Roman" w:hAnsi="Times New Roman" w:eastAsia="宋体" w:cs="Times New Roman"/>
                <w:bCs/>
                <w:color w:val="auto"/>
                <w:sz w:val="24"/>
                <w:highlight w:val="none"/>
              </w:rPr>
              <w:t>），本项目排气筒高度均为15m。对周边环境无明显不良影响。</w:t>
            </w:r>
          </w:p>
          <w:p>
            <w:pPr>
              <w:spacing w:line="360" w:lineRule="auto"/>
              <w:ind w:firstLine="480" w:firstLineChars="200"/>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对于无组织排放的废气，根据软件计算结果，本项目无组织排放废气的大气特征污染物非甲烷总烃厂界外不存在超标点。建设单位还应加强车间通风，合理安排工作时间，环境空气稀释扩散后，项目厂界外无组织粉尘监控浓度</w:t>
            </w:r>
            <w:r>
              <w:rPr>
                <w:rFonts w:hint="eastAsia" w:ascii="Times New Roman" w:hAnsi="Times New Roman" w:eastAsia="宋体" w:cs="Times New Roman"/>
                <w:bCs/>
                <w:color w:val="auto"/>
                <w:sz w:val="24"/>
                <w:highlight w:val="none"/>
              </w:rPr>
              <w:t>达到</w:t>
            </w:r>
            <w:r>
              <w:rPr>
                <w:rFonts w:ascii="Times New Roman" w:hAnsi="Times New Roman" w:eastAsia="宋体" w:cs="Times New Roman"/>
                <w:bCs/>
                <w:color w:val="auto"/>
                <w:sz w:val="24"/>
                <w:highlight w:val="none"/>
              </w:rPr>
              <w:t>《合成树脂工业污染物排放标准》（GB31571-2015）表9中企业边界大气污染物浓度限值（即非甲烷总烃无组织浓度限值≤4.0 mg/m</w:t>
            </w:r>
            <w:r>
              <w:rPr>
                <w:rFonts w:ascii="Times New Roman" w:hAnsi="Times New Roman" w:eastAsia="宋体" w:cs="Times New Roman"/>
                <w:bCs/>
                <w:color w:val="auto"/>
                <w:sz w:val="24"/>
                <w:highlight w:val="none"/>
                <w:vertAlign w:val="superscript"/>
              </w:rPr>
              <w:t xml:space="preserve">3 </w:t>
            </w:r>
            <w:r>
              <w:rPr>
                <w:rFonts w:ascii="Times New Roman" w:hAnsi="Times New Roman" w:eastAsia="宋体" w:cs="Times New Roman"/>
                <w:bCs/>
                <w:color w:val="auto"/>
                <w:sz w:val="24"/>
                <w:highlight w:val="none"/>
              </w:rPr>
              <w:t>），</w:t>
            </w:r>
            <w:r>
              <w:rPr>
                <w:rFonts w:hint="eastAsia" w:ascii="Times New Roman" w:hAnsi="Times New Roman" w:eastAsia="宋体" w:cs="Times New Roman"/>
                <w:bCs/>
                <w:color w:val="auto"/>
                <w:sz w:val="24"/>
                <w:highlight w:val="none"/>
              </w:rPr>
              <w:t>单位产品排放量满足《合成树脂工业污染物排放标准》（GB31572-2015）表4单位产品非甲烷总烃排放量，</w:t>
            </w:r>
            <w:r>
              <w:rPr>
                <w:rFonts w:ascii="Times New Roman" w:hAnsi="Times New Roman" w:eastAsia="宋体" w:cs="Times New Roman"/>
                <w:bCs/>
                <w:color w:val="auto"/>
                <w:sz w:val="24"/>
                <w:highlight w:val="none"/>
              </w:rPr>
              <w:t>不会对外环境产生影响。</w:t>
            </w:r>
          </w:p>
          <w:p>
            <w:pPr>
              <w:pStyle w:val="24"/>
              <w:spacing w:line="360" w:lineRule="auto"/>
              <w:ind w:firstLine="480" w:firstLineChars="200"/>
              <w:jc w:val="both"/>
              <w:rPr>
                <w:rFonts w:ascii="Times New Roman" w:hAnsi="Times New Roman" w:cs="Times New Roman" w:eastAsiaTheme="minorEastAsia"/>
                <w:color w:val="auto"/>
                <w:highlight w:val="none"/>
              </w:rPr>
            </w:pPr>
            <w:r>
              <w:rPr>
                <w:rFonts w:ascii="Times New Roman" w:hAnsi="Times New Roman" w:cs="Times New Roman" w:eastAsiaTheme="minorEastAsia"/>
                <w:color w:val="auto"/>
                <w:highlight w:val="none"/>
              </w:rPr>
              <w:t>（2）厨房油烟</w:t>
            </w:r>
          </w:p>
          <w:p>
            <w:pPr>
              <w:spacing w:line="360" w:lineRule="auto"/>
              <w:ind w:firstLine="480" w:firstLineChars="200"/>
              <w:rPr>
                <w:rFonts w:ascii="Times New Roman" w:hAnsi="Times New Roman" w:cs="Times New Roman"/>
                <w:color w:val="auto"/>
                <w:sz w:val="24"/>
                <w:highlight w:val="none"/>
              </w:rPr>
            </w:pPr>
            <w:r>
              <w:rPr>
                <w:rFonts w:hint="eastAsia" w:ascii="Times New Roman" w:hAnsi="Times New Roman" w:cs="Times New Roman"/>
                <w:color w:val="auto"/>
                <w:sz w:val="24"/>
                <w:highlight w:val="none"/>
              </w:rPr>
              <w:t>针对</w:t>
            </w:r>
            <w:r>
              <w:rPr>
                <w:rFonts w:ascii="Times New Roman" w:hAnsi="Times New Roman" w:cs="Times New Roman"/>
                <w:color w:val="auto"/>
                <w:sz w:val="24"/>
                <w:highlight w:val="none"/>
              </w:rPr>
              <w:t>食堂油烟废气，建议建设单位设置油烟净化器（1个基准炉灶的总处理风量为3000m</w:t>
            </w:r>
            <w:r>
              <w:rPr>
                <w:rFonts w:ascii="Times New Roman" w:hAnsi="Times New Roman" w:cs="Times New Roman"/>
                <w:color w:val="auto"/>
                <w:sz w:val="24"/>
                <w:highlight w:val="none"/>
                <w:vertAlign w:val="superscript"/>
              </w:rPr>
              <w:t>3</w:t>
            </w:r>
            <w:r>
              <w:rPr>
                <w:rFonts w:ascii="Times New Roman" w:hAnsi="Times New Roman" w:cs="Times New Roman"/>
                <w:color w:val="auto"/>
                <w:sz w:val="24"/>
                <w:highlight w:val="none"/>
              </w:rPr>
              <w:t>/h，净化效率不小于60%），收集处理后经管道于厨房屋顶烟囱排放，处理达标后经15m高排气筒（2#）高空排放。油烟废气排放浓度执行《饮食业油烟排放标准》GB18483-2001）的相关要求，对环境影响不大。</w:t>
            </w:r>
          </w:p>
          <w:p>
            <w:pPr>
              <w:spacing w:line="360" w:lineRule="auto"/>
              <w:ind w:firstLine="482" w:firstLineChars="200"/>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2、水环境影响评价结论</w:t>
            </w:r>
          </w:p>
          <w:p>
            <w:pPr>
              <w:pStyle w:val="38"/>
              <w:snapToGrid w:val="0"/>
              <w:spacing w:line="360" w:lineRule="auto"/>
              <w:ind w:firstLine="500"/>
              <w:rPr>
                <w:rFonts w:ascii="Times New Roman" w:hAnsi="Times New Roman" w:cs="Times New Roman"/>
                <w:color w:val="auto"/>
                <w:sz w:val="24"/>
                <w:highlight w:val="none"/>
              </w:rPr>
            </w:pPr>
            <w:r>
              <w:rPr>
                <w:rFonts w:ascii="Times New Roman" w:hAnsi="Times New Roman" w:eastAsia="宋体" w:cs="Times New Roman"/>
                <w:color w:val="auto"/>
                <w:sz w:val="24"/>
                <w:highlight w:val="none"/>
              </w:rPr>
              <w:t>由上可知，项目冷却塔用水循环使用，仅需补充损耗水量，本项目新鲜水补充量为69.6m³/a，冷却塔定期排污，年产废水约2吨，该部分排污废水只是含盐度高，</w:t>
            </w:r>
            <w:r>
              <w:rPr>
                <w:rFonts w:hint="eastAsia" w:ascii="Times New Roman" w:hAnsi="Times New Roman" w:eastAsia="宋体" w:cs="Times New Roman"/>
                <w:color w:val="auto"/>
                <w:sz w:val="24"/>
                <w:highlight w:val="none"/>
              </w:rPr>
              <w:t>和生活污水（432t/a）一同处理。</w:t>
            </w:r>
            <w:r>
              <w:rPr>
                <w:rFonts w:ascii="Times New Roman" w:hAnsi="Times New Roman" w:eastAsia="宋体" w:cs="Times New Roman"/>
                <w:color w:val="auto"/>
                <w:sz w:val="24"/>
                <w:highlight w:val="none"/>
              </w:rPr>
              <w:t>本项目外排废水主要为生活污水。由于本项目所在位置没有纳入相关污水处理厂的集污范围内，项目废水依托开平裕进纺织厂有限公司的污水站（混凝沉淀+水解酸化+接触氧化）处理可达到《纺织染整工业水污染物排放标准（GB 4287-2012）》中的表2标准。对项目周边的水质影响较少。</w:t>
            </w:r>
          </w:p>
          <w:p>
            <w:pPr>
              <w:spacing w:line="360" w:lineRule="auto"/>
              <w:ind w:firstLine="482" w:firstLineChars="200"/>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3、噪声环境影响评价结论</w:t>
            </w:r>
          </w:p>
          <w:p>
            <w:pPr>
              <w:snapToGrid w:val="0"/>
              <w:spacing w:line="360" w:lineRule="auto"/>
              <w:ind w:firstLine="500"/>
              <w:rPr>
                <w:rFonts w:ascii="Times New Roman" w:hAnsi="Times New Roman" w:cs="Times New Roman"/>
                <w:color w:val="auto"/>
                <w:sz w:val="24"/>
                <w:highlight w:val="none"/>
              </w:rPr>
            </w:pPr>
            <w:r>
              <w:rPr>
                <w:rFonts w:ascii="Times New Roman" w:hAnsi="Times New Roman" w:cs="Times New Roman"/>
                <w:color w:val="auto"/>
                <w:sz w:val="24"/>
                <w:highlight w:val="none"/>
              </w:rPr>
              <w:t>项目合理布置设备。工业噪声经过隔声、减震、吸声、距离衰减等措施衰减，厂界环境噪声达到《工业企业厂界环境噪声排放标准》（GB12348-2008）3类标准</w:t>
            </w:r>
            <w:r>
              <w:rPr>
                <w:rFonts w:ascii="Times New Roman" w:hAnsi="Times New Roman" w:cs="Times New Roman"/>
                <w:bCs/>
                <w:color w:val="auto"/>
                <w:sz w:val="24"/>
                <w:highlight w:val="none"/>
              </w:rPr>
              <w:t>（即：昼间≤65dB(A)，夜间≤55dB(A)）</w:t>
            </w:r>
            <w:r>
              <w:rPr>
                <w:rFonts w:ascii="Times New Roman" w:hAnsi="Times New Roman" w:cs="Times New Roman"/>
                <w:color w:val="auto"/>
                <w:sz w:val="24"/>
                <w:highlight w:val="none"/>
              </w:rPr>
              <w:t>。工业噪声达标排放，没有明显声环境质量影响。</w:t>
            </w:r>
          </w:p>
          <w:p>
            <w:pPr>
              <w:spacing w:line="360" w:lineRule="auto"/>
              <w:ind w:firstLine="482" w:firstLineChars="200"/>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4、固体废物环境影响评价结论</w:t>
            </w:r>
          </w:p>
          <w:p>
            <w:pPr>
              <w:snapToGrid w:val="0"/>
              <w:spacing w:line="360" w:lineRule="auto"/>
              <w:ind w:firstLine="500"/>
              <w:rPr>
                <w:rFonts w:ascii="Times New Roman" w:hAnsi="Times New Roman" w:cs="Times New Roman"/>
                <w:color w:val="auto"/>
                <w:sz w:val="24"/>
                <w:highlight w:val="none"/>
              </w:rPr>
            </w:pPr>
            <w:r>
              <w:rPr>
                <w:rFonts w:ascii="Times New Roman" w:hAnsi="Times New Roman" w:cs="Times New Roman"/>
                <w:color w:val="auto"/>
                <w:sz w:val="24"/>
                <w:highlight w:val="none"/>
              </w:rPr>
              <w:t>项目固体废物分类收集。生活垃圾交环卫单位处理，处置符合《城市生活垃圾管理办法》。生产固废：废包装材料、不合格品分类收集后交专业公司回收处理，处置符合《一般工业固体废物贮存、处置场污染控制标准（2013年修改）》（GB18599-2001）。危险废物：废润滑油、含油废抹布</w:t>
            </w:r>
            <w:r>
              <w:rPr>
                <w:rFonts w:hint="eastAsia" w:ascii="Times New Roman" w:hAnsi="Times New Roman" w:cs="Times New Roman"/>
                <w:color w:val="auto"/>
                <w:sz w:val="24"/>
                <w:highlight w:val="none"/>
              </w:rPr>
              <w:t>和</w:t>
            </w:r>
            <w:r>
              <w:rPr>
                <w:rFonts w:ascii="Times New Roman" w:hAnsi="Times New Roman" w:cs="Times New Roman"/>
                <w:color w:val="auto"/>
                <w:sz w:val="24"/>
                <w:highlight w:val="none"/>
              </w:rPr>
              <w:t>废UV光管</w:t>
            </w:r>
            <w:r>
              <w:rPr>
                <w:rFonts w:hint="eastAsia" w:ascii="Times New Roman" w:hAnsi="Times New Roman" w:cs="Times New Roman"/>
                <w:color w:val="auto"/>
                <w:sz w:val="24"/>
                <w:highlight w:val="none"/>
              </w:rPr>
              <w:t>、废活性炭</w:t>
            </w:r>
            <w:r>
              <w:rPr>
                <w:rFonts w:ascii="Times New Roman" w:hAnsi="Times New Roman" w:cs="Times New Roman"/>
                <w:color w:val="auto"/>
                <w:sz w:val="24"/>
                <w:highlight w:val="none"/>
              </w:rPr>
              <w:t>分类收交由有资质的危废回收机构回收，不会对周边造成不良影响。</w:t>
            </w:r>
          </w:p>
          <w:p>
            <w:pPr>
              <w:pStyle w:val="24"/>
              <w:spacing w:line="360" w:lineRule="auto"/>
              <w:ind w:firstLine="482" w:firstLineChars="200"/>
              <w:jc w:val="both"/>
              <w:rPr>
                <w:rFonts w:ascii="Times New Roman" w:hAnsi="Times New Roman" w:cs="Times New Roman" w:eastAsiaTheme="minorEastAsia"/>
                <w:b/>
                <w:color w:val="auto"/>
                <w:kern w:val="2"/>
                <w:highlight w:val="none"/>
              </w:rPr>
            </w:pPr>
            <w:r>
              <w:rPr>
                <w:rFonts w:hint="eastAsia" w:ascii="Times New Roman" w:hAnsi="Times New Roman" w:cs="Times New Roman" w:eastAsiaTheme="minorEastAsia"/>
                <w:b/>
                <w:color w:val="auto"/>
                <w:kern w:val="2"/>
                <w:highlight w:val="none"/>
              </w:rPr>
              <w:t>5、土壤环境影响评价结论</w:t>
            </w:r>
          </w:p>
          <w:p>
            <w:pPr>
              <w:spacing w:line="360" w:lineRule="auto"/>
              <w:ind w:firstLine="480" w:firstLineChars="200"/>
              <w:rPr>
                <w:rFonts w:ascii="Times New Roman" w:hAnsi="Times New Roman" w:cs="Times New Roman"/>
                <w:color w:val="auto"/>
                <w:sz w:val="24"/>
                <w:highlight w:val="none"/>
              </w:rPr>
            </w:pPr>
            <w:r>
              <w:rPr>
                <w:rFonts w:hint="eastAsia" w:ascii="Times New Roman" w:hAnsi="Times New Roman" w:cs="Times New Roman"/>
                <w:color w:val="auto"/>
                <w:sz w:val="24"/>
                <w:highlight w:val="none"/>
              </w:rPr>
              <w:t>本项目土壤环境影响主要为大气沉降，土壤环境影响类型为污染影响型，属</w:t>
            </w:r>
            <w:r>
              <w:rPr>
                <w:rFonts w:ascii="Times New Roman" w:hAnsi="Times New Roman" w:cs="Times New Roman"/>
                <w:color w:val="auto"/>
                <w:sz w:val="24"/>
                <w:highlight w:val="none"/>
              </w:rPr>
              <w:t>《环境影响评价技术导则  土壤环境（试行）》（HJ964-2018）附录A</w:t>
            </w:r>
            <w:r>
              <w:rPr>
                <w:rFonts w:hint="eastAsia" w:ascii="Times New Roman" w:hAnsi="Times New Roman" w:cs="Times New Roman"/>
                <w:color w:val="auto"/>
                <w:sz w:val="24"/>
                <w:highlight w:val="none"/>
              </w:rPr>
              <w:t>中</w:t>
            </w:r>
            <w:r>
              <w:rPr>
                <w:rFonts w:ascii="Times New Roman" w:hAnsi="Times New Roman" w:cs="Times New Roman"/>
                <w:color w:val="auto"/>
                <w:sz w:val="24"/>
                <w:highlight w:val="none"/>
              </w:rPr>
              <w:t>“设备制造、金属制品、汽车制造及其他用品制造”类别中的“其他”类别，项目类别为Ⅲ类，周边没有可能受本项目影响的土壤环境敏感目标，对周围环境影响不大。</w:t>
            </w:r>
          </w:p>
          <w:p>
            <w:pPr>
              <w:snapToGrid w:val="0"/>
              <w:spacing w:line="360" w:lineRule="auto"/>
              <w:ind w:firstLine="502"/>
              <w:rPr>
                <w:rFonts w:ascii="Times New Roman" w:hAnsi="Times New Roman" w:cs="Times New Roman"/>
                <w:b/>
                <w:color w:val="auto"/>
                <w:sz w:val="24"/>
                <w:highlight w:val="none"/>
              </w:rPr>
            </w:pPr>
            <w:r>
              <w:rPr>
                <w:rFonts w:ascii="Times New Roman" w:hAnsi="Times New Roman" w:cs="Times New Roman"/>
                <w:b/>
                <w:color w:val="auto"/>
                <w:sz w:val="24"/>
                <w:highlight w:val="none"/>
              </w:rPr>
              <w:t>五、总量控制指标</w:t>
            </w:r>
          </w:p>
          <w:p>
            <w:pPr>
              <w:pStyle w:val="40"/>
              <w:snapToGrid w:val="0"/>
              <w:spacing w:before="0" w:beforeAutospacing="0" w:line="360" w:lineRule="auto"/>
              <w:ind w:firstLine="480" w:firstLineChars="200"/>
              <w:jc w:val="both"/>
              <w:rPr>
                <w:rFonts w:ascii="Times New Roman" w:hAnsi="Times New Roman" w:cs="Times New Roman"/>
                <w:color w:val="auto"/>
                <w:sz w:val="24"/>
                <w:highlight w:val="none"/>
              </w:rPr>
            </w:pPr>
            <w:r>
              <w:rPr>
                <w:rFonts w:ascii="Times New Roman" w:hAnsi="Times New Roman" w:cs="Times New Roman"/>
                <w:bCs w:val="0"/>
                <w:color w:val="auto"/>
                <w:sz w:val="24"/>
                <w:highlight w:val="none"/>
              </w:rPr>
              <w:t>根据本项目的污染物排放总量，建议本</w:t>
            </w:r>
            <w:r>
              <w:rPr>
                <w:rFonts w:ascii="Times New Roman" w:hAnsi="Times New Roman" w:cs="Times New Roman"/>
                <w:color w:val="auto"/>
                <w:sz w:val="24"/>
                <w:highlight w:val="none"/>
              </w:rPr>
              <w:t>项目的总量控制指标按以下执行：</w:t>
            </w:r>
          </w:p>
          <w:p>
            <w:pPr>
              <w:spacing w:line="360" w:lineRule="auto"/>
              <w:ind w:firstLine="482" w:firstLineChars="200"/>
              <w:rPr>
                <w:rFonts w:ascii="Times New Roman" w:hAnsi="Times New Roman" w:cs="Times New Roman"/>
                <w:b/>
                <w:bCs/>
                <w:color w:val="auto"/>
                <w:sz w:val="24"/>
                <w:highlight w:val="none"/>
              </w:rPr>
            </w:pPr>
            <w:r>
              <w:rPr>
                <w:rFonts w:ascii="Times New Roman" w:hAnsi="Times New Roman" w:cs="Times New Roman"/>
                <w:b/>
                <w:bCs/>
                <w:color w:val="auto"/>
                <w:sz w:val="24"/>
                <w:highlight w:val="none"/>
              </w:rPr>
              <w:t>1.水污染物排放总量控制指标：</w:t>
            </w:r>
          </w:p>
          <w:p>
            <w:pPr>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项目产生水总量控制指标</w:t>
            </w:r>
            <w:r>
              <w:rPr>
                <w:rFonts w:hint="eastAsia" w:ascii="Times New Roman" w:hAnsi="Times New Roman" w:cs="Times New Roman"/>
                <w:color w:val="auto"/>
                <w:sz w:val="24"/>
                <w:highlight w:val="none"/>
              </w:rPr>
              <w:t>纳入开平裕进纺织厂有限公司水污染物排放总量控制指标（CODcr：34.80 t/a、氨氮：4.33t/a），本项目不设总量控制指标。</w:t>
            </w:r>
          </w:p>
          <w:p>
            <w:pPr>
              <w:pStyle w:val="24"/>
              <w:spacing w:line="360" w:lineRule="auto"/>
              <w:ind w:firstLine="482" w:firstLineChars="200"/>
              <w:jc w:val="both"/>
              <w:rPr>
                <w:rFonts w:ascii="Times New Roman" w:hAnsi="Times New Roman" w:cs="Times New Roman"/>
                <w:b/>
                <w:bCs/>
                <w:color w:val="auto"/>
                <w:highlight w:val="none"/>
              </w:rPr>
            </w:pPr>
            <w:r>
              <w:rPr>
                <w:rFonts w:ascii="Times New Roman" w:hAnsi="Times New Roman" w:cs="Times New Roman"/>
                <w:b/>
                <w:bCs/>
                <w:color w:val="auto"/>
                <w:highlight w:val="none"/>
              </w:rPr>
              <w:t>2.大气污染物总量控制指标：</w:t>
            </w:r>
          </w:p>
          <w:p>
            <w:pPr>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项目产生废气总量控制指标为：VOCs（非甲烷总烃）0.8602t/a。其中，有组织排放：0.4570t/a，无组织排放：0.4032t/a。</w:t>
            </w:r>
          </w:p>
          <w:p>
            <w:pPr>
              <w:spacing w:line="360" w:lineRule="auto"/>
              <w:ind w:firstLine="482" w:firstLineChars="200"/>
              <w:jc w:val="left"/>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六、建议</w:t>
            </w:r>
          </w:p>
          <w:p>
            <w:pPr>
              <w:spacing w:line="360" w:lineRule="auto"/>
              <w:ind w:firstLine="480" w:firstLineChars="200"/>
              <w:jc w:val="left"/>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1、建设单位应按照本环评的要求设置废气治理措施，做好废气的治理和排放，确保有机废气符合《合成树脂工业污染物排放标准》（GB31571-2015）中表4大气污染物排放限值及无组织排放监控点浓度限值标准。</w:t>
            </w:r>
          </w:p>
          <w:p>
            <w:pPr>
              <w:spacing w:line="360" w:lineRule="auto"/>
              <w:ind w:firstLine="480" w:firstLineChars="200"/>
              <w:jc w:val="left"/>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2、合理布局，重视总平面布置。加强运营期的环境管理，并积极落实防治噪声污染措施，采用吸声板、隔声罩等降噪治理措施。</w:t>
            </w:r>
          </w:p>
          <w:p>
            <w:pPr>
              <w:spacing w:line="360" w:lineRule="auto"/>
              <w:ind w:firstLine="480" w:firstLineChars="200"/>
              <w:jc w:val="left"/>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3、对项目产生的工业固废有利用价值的回收利用，生活垃圾按指定地点堆放，每日由环卫部门清理运走，并对堆放点进行定期的清洁消毒。</w:t>
            </w:r>
          </w:p>
          <w:p>
            <w:pPr>
              <w:spacing w:line="360" w:lineRule="auto"/>
              <w:ind w:firstLine="480" w:firstLineChars="200"/>
              <w:jc w:val="left"/>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4、对经常性接触高噪声源的劳动人员、值班人员或检修人员应加强个体防护，配戴防噪耳塞、耳罩等劳保用品，保护员工身体健康不受影响。</w:t>
            </w:r>
          </w:p>
          <w:p>
            <w:pPr>
              <w:spacing w:line="360" w:lineRule="auto"/>
              <w:ind w:firstLine="480" w:firstLineChars="200"/>
              <w:jc w:val="left"/>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5、加强生产管理，提高员工生产操作的规范性，以减少不必要的物料浪费现象从而减少污染物的产生量；并积极探索新工艺，在保证产品质量的前提下，进一步减少产品的能耗物耗。</w:t>
            </w:r>
          </w:p>
          <w:p>
            <w:pPr>
              <w:spacing w:line="360" w:lineRule="auto"/>
              <w:ind w:firstLine="480" w:firstLineChars="200"/>
              <w:jc w:val="left"/>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6、搞好区内绿化、美化，对生态环境进行修复；合理规划道路及建筑布局，以利于空气流通与大气污染物的扩散。</w:t>
            </w:r>
          </w:p>
          <w:p>
            <w:pPr>
              <w:spacing w:line="360" w:lineRule="auto"/>
              <w:ind w:firstLine="480" w:firstLineChars="200"/>
              <w:jc w:val="left"/>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7、增强环保意识，建立一套环境保护管理制度，加强防火安全措施及生产管理，避免火灾事故的发生。</w:t>
            </w:r>
          </w:p>
          <w:p>
            <w:pPr>
              <w:spacing w:line="360" w:lineRule="auto"/>
              <w:ind w:firstLine="482" w:firstLineChars="200"/>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七 、综合结论</w:t>
            </w:r>
          </w:p>
          <w:p>
            <w:pPr>
              <w:spacing w:line="360" w:lineRule="auto"/>
              <w:ind w:firstLine="480" w:firstLineChars="200"/>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综上所述，开平市鹏裕包装材料有限公司建设项目符合国家和地方的产业政策。建设项目需切实落实本环境影响报告表中提出的环保措施，通过对环境调查、环境质量现状监测与评价及项目对周围环境影响分析表明，本建设项目产生的各项污染物如能按报告中提出的措施对生产过程产生的污染物进行有效的防治，则本项目的建设对周围环境不会产生明显的影响。从环境保护角度分析，本项目的建设是可行的。</w:t>
            </w:r>
          </w:p>
          <w:p>
            <w:pPr>
              <w:pStyle w:val="2"/>
              <w:outlineLvl w:val="2"/>
              <w:rPr>
                <w:color w:val="auto"/>
                <w:highlight w:val="none"/>
              </w:rPr>
            </w:pPr>
          </w:p>
          <w:p>
            <w:pPr>
              <w:pStyle w:val="2"/>
              <w:outlineLvl w:val="2"/>
              <w:rPr>
                <w:color w:val="auto"/>
                <w:highlight w:val="none"/>
              </w:rPr>
            </w:pPr>
          </w:p>
        </w:tc>
      </w:tr>
    </w:tbl>
    <w:p>
      <w:pPr>
        <w:pStyle w:val="24"/>
        <w:rPr>
          <w:rFonts w:ascii="Times New Roman" w:hAnsi="Times New Roman" w:cs="Times New Roman"/>
          <w:color w:val="auto"/>
          <w:highlight w:val="none"/>
        </w:rPr>
      </w:pPr>
      <w:r>
        <w:rPr>
          <w:rFonts w:ascii="Times New Roman" w:hAnsi="Times New Roman" w:cs="Times New Roman"/>
          <w:color w:val="auto"/>
          <w:highlight w:val="none"/>
        </w:rPr>
        <w:br w:type="page"/>
      </w:r>
    </w:p>
    <w:tbl>
      <w:tblPr>
        <w:tblStyle w:val="23"/>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tcPr>
          <w:p>
            <w:pPr>
              <w:rPr>
                <w:rFonts w:ascii="Times New Roman" w:hAnsi="Times New Roman" w:cs="Times New Roman"/>
                <w:b/>
                <w:color w:val="auto"/>
                <w:sz w:val="28"/>
                <w:szCs w:val="28"/>
                <w:highlight w:val="none"/>
              </w:rPr>
            </w:pPr>
            <w:r>
              <w:rPr>
                <w:rFonts w:ascii="Times New Roman" w:hAnsi="Times New Roman" w:cs="Times New Roman"/>
                <w:b/>
                <w:color w:val="auto"/>
                <w:sz w:val="28"/>
                <w:szCs w:val="28"/>
                <w:highlight w:val="none"/>
              </w:rPr>
              <w:t>预审意见：</w:t>
            </w:r>
          </w:p>
          <w:p>
            <w:pPr>
              <w:rPr>
                <w:rFonts w:ascii="Times New Roman" w:hAnsi="Times New Roman" w:cs="Times New Roman"/>
                <w:b/>
                <w:color w:val="auto"/>
                <w:sz w:val="28"/>
                <w:szCs w:val="28"/>
                <w:highlight w:val="none"/>
              </w:rPr>
            </w:pPr>
          </w:p>
          <w:p>
            <w:pPr>
              <w:rPr>
                <w:rFonts w:ascii="Times New Roman" w:hAnsi="Times New Roman" w:cs="Times New Roman"/>
                <w:b/>
                <w:color w:val="auto"/>
                <w:sz w:val="28"/>
                <w:szCs w:val="28"/>
                <w:highlight w:val="none"/>
              </w:rPr>
            </w:pPr>
          </w:p>
          <w:p>
            <w:pPr>
              <w:rPr>
                <w:rFonts w:ascii="Times New Roman" w:hAnsi="Times New Roman" w:cs="Times New Roman"/>
                <w:b/>
                <w:color w:val="auto"/>
                <w:sz w:val="28"/>
                <w:szCs w:val="28"/>
                <w:highlight w:val="none"/>
              </w:rPr>
            </w:pPr>
          </w:p>
          <w:p>
            <w:pPr>
              <w:rPr>
                <w:rFonts w:ascii="Times New Roman" w:hAnsi="Times New Roman" w:cs="Times New Roman"/>
                <w:b/>
                <w:color w:val="auto"/>
                <w:sz w:val="28"/>
                <w:szCs w:val="28"/>
                <w:highlight w:val="none"/>
              </w:rPr>
            </w:pPr>
          </w:p>
          <w:p>
            <w:pPr>
              <w:rPr>
                <w:rFonts w:ascii="Times New Roman" w:hAnsi="Times New Roman" w:cs="Times New Roman"/>
                <w:b/>
                <w:color w:val="auto"/>
                <w:sz w:val="28"/>
                <w:szCs w:val="28"/>
                <w:highlight w:val="none"/>
              </w:rPr>
            </w:pPr>
          </w:p>
          <w:p>
            <w:pPr>
              <w:rPr>
                <w:rFonts w:ascii="Times New Roman" w:hAnsi="Times New Roman" w:cs="Times New Roman"/>
                <w:b/>
                <w:color w:val="auto"/>
                <w:sz w:val="28"/>
                <w:szCs w:val="28"/>
                <w:highlight w:val="none"/>
              </w:rPr>
            </w:pPr>
          </w:p>
          <w:p>
            <w:pPr>
              <w:rPr>
                <w:rFonts w:ascii="Times New Roman" w:hAnsi="Times New Roman" w:cs="Times New Roman"/>
                <w:b/>
                <w:color w:val="auto"/>
                <w:sz w:val="28"/>
                <w:szCs w:val="28"/>
                <w:highlight w:val="none"/>
              </w:rPr>
            </w:pPr>
          </w:p>
          <w:p>
            <w:pPr>
              <w:rPr>
                <w:rFonts w:ascii="Times New Roman" w:hAnsi="Times New Roman" w:cs="Times New Roman"/>
                <w:b/>
                <w:color w:val="auto"/>
                <w:sz w:val="28"/>
                <w:szCs w:val="28"/>
                <w:highlight w:val="none"/>
              </w:rPr>
            </w:pPr>
            <w:r>
              <w:rPr>
                <w:rFonts w:ascii="Times New Roman" w:hAnsi="Times New Roman" w:cs="Times New Roman"/>
                <w:b/>
                <w:color w:val="auto"/>
                <w:sz w:val="28"/>
                <w:szCs w:val="28"/>
                <w:highlight w:val="none"/>
              </w:rPr>
              <w:t xml:space="preserve">                                             公 章</w:t>
            </w:r>
          </w:p>
          <w:p>
            <w:pPr>
              <w:rPr>
                <w:rFonts w:ascii="Times New Roman" w:hAnsi="Times New Roman" w:cs="Times New Roman"/>
                <w:b/>
                <w:color w:val="auto"/>
                <w:sz w:val="28"/>
                <w:szCs w:val="28"/>
                <w:highlight w:val="none"/>
              </w:rPr>
            </w:pPr>
            <w:r>
              <w:rPr>
                <w:rFonts w:ascii="Times New Roman" w:hAnsi="Times New Roman" w:cs="Times New Roman"/>
                <w:b/>
                <w:color w:val="auto"/>
                <w:sz w:val="28"/>
                <w:szCs w:val="28"/>
                <w:highlight w:val="none"/>
              </w:rPr>
              <w:t>经办人：                                   年  月  日</w:t>
            </w:r>
          </w:p>
          <w:p>
            <w:pPr>
              <w:rPr>
                <w:rFonts w:ascii="Times New Roman" w:hAnsi="Times New Roman" w:cs="Times New Roman"/>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tcPr>
          <w:p>
            <w:pPr>
              <w:tabs>
                <w:tab w:val="left" w:pos="1876"/>
              </w:tabs>
              <w:rPr>
                <w:rFonts w:ascii="Times New Roman" w:hAnsi="Times New Roman" w:cs="Times New Roman"/>
                <w:b/>
                <w:color w:val="auto"/>
                <w:sz w:val="28"/>
                <w:szCs w:val="28"/>
                <w:highlight w:val="none"/>
              </w:rPr>
            </w:pPr>
            <w:r>
              <w:rPr>
                <w:rFonts w:ascii="Times New Roman" w:hAnsi="Times New Roman" w:cs="Times New Roman"/>
                <w:b/>
                <w:color w:val="auto"/>
                <w:sz w:val="28"/>
                <w:szCs w:val="28"/>
                <w:highlight w:val="none"/>
              </w:rPr>
              <w:t>下一级环境保护行政主管部门审查意见：</w:t>
            </w:r>
          </w:p>
          <w:p>
            <w:pPr>
              <w:tabs>
                <w:tab w:val="left" w:pos="1876"/>
              </w:tabs>
              <w:rPr>
                <w:rFonts w:ascii="Times New Roman" w:hAnsi="Times New Roman" w:cs="Times New Roman"/>
                <w:b/>
                <w:color w:val="auto"/>
                <w:sz w:val="28"/>
                <w:szCs w:val="28"/>
                <w:highlight w:val="none"/>
              </w:rPr>
            </w:pPr>
          </w:p>
          <w:p>
            <w:pPr>
              <w:tabs>
                <w:tab w:val="left" w:pos="1876"/>
              </w:tabs>
              <w:rPr>
                <w:rFonts w:ascii="Times New Roman" w:hAnsi="Times New Roman" w:cs="Times New Roman"/>
                <w:b/>
                <w:color w:val="auto"/>
                <w:sz w:val="28"/>
                <w:szCs w:val="28"/>
                <w:highlight w:val="none"/>
              </w:rPr>
            </w:pPr>
          </w:p>
          <w:p>
            <w:pPr>
              <w:tabs>
                <w:tab w:val="left" w:pos="1876"/>
              </w:tabs>
              <w:rPr>
                <w:rFonts w:ascii="Times New Roman" w:hAnsi="Times New Roman" w:cs="Times New Roman"/>
                <w:b/>
                <w:color w:val="auto"/>
                <w:sz w:val="28"/>
                <w:szCs w:val="28"/>
                <w:highlight w:val="none"/>
              </w:rPr>
            </w:pPr>
          </w:p>
          <w:p>
            <w:pPr>
              <w:tabs>
                <w:tab w:val="left" w:pos="1876"/>
              </w:tabs>
              <w:rPr>
                <w:rFonts w:ascii="Times New Roman" w:hAnsi="Times New Roman" w:cs="Times New Roman"/>
                <w:b/>
                <w:color w:val="auto"/>
                <w:sz w:val="28"/>
                <w:szCs w:val="28"/>
                <w:highlight w:val="none"/>
              </w:rPr>
            </w:pPr>
          </w:p>
          <w:p>
            <w:pPr>
              <w:tabs>
                <w:tab w:val="left" w:pos="1876"/>
              </w:tabs>
              <w:rPr>
                <w:rFonts w:ascii="Times New Roman" w:hAnsi="Times New Roman" w:cs="Times New Roman"/>
                <w:b/>
                <w:color w:val="auto"/>
                <w:sz w:val="28"/>
                <w:szCs w:val="28"/>
                <w:highlight w:val="none"/>
              </w:rPr>
            </w:pPr>
          </w:p>
          <w:p>
            <w:pPr>
              <w:tabs>
                <w:tab w:val="left" w:pos="1876"/>
              </w:tabs>
              <w:rPr>
                <w:rFonts w:ascii="Times New Roman" w:hAnsi="Times New Roman" w:cs="Times New Roman"/>
                <w:b/>
                <w:color w:val="auto"/>
                <w:sz w:val="28"/>
                <w:szCs w:val="28"/>
                <w:highlight w:val="none"/>
              </w:rPr>
            </w:pPr>
          </w:p>
          <w:p>
            <w:pPr>
              <w:rPr>
                <w:rFonts w:ascii="Times New Roman" w:hAnsi="Times New Roman" w:cs="Times New Roman"/>
                <w:b/>
                <w:color w:val="auto"/>
                <w:sz w:val="28"/>
                <w:szCs w:val="28"/>
                <w:highlight w:val="none"/>
              </w:rPr>
            </w:pPr>
            <w:r>
              <w:rPr>
                <w:rFonts w:ascii="Times New Roman" w:hAnsi="Times New Roman" w:cs="Times New Roman"/>
                <w:b/>
                <w:color w:val="auto"/>
                <w:sz w:val="28"/>
                <w:szCs w:val="28"/>
                <w:highlight w:val="none"/>
              </w:rPr>
              <w:t xml:space="preserve">                                             公 章</w:t>
            </w:r>
          </w:p>
          <w:p>
            <w:pPr>
              <w:tabs>
                <w:tab w:val="left" w:pos="1876"/>
              </w:tabs>
              <w:rPr>
                <w:rFonts w:ascii="Times New Roman" w:hAnsi="Times New Roman" w:cs="Times New Roman"/>
                <w:b/>
                <w:color w:val="auto"/>
                <w:sz w:val="28"/>
                <w:szCs w:val="28"/>
                <w:highlight w:val="none"/>
              </w:rPr>
            </w:pPr>
            <w:r>
              <w:rPr>
                <w:rFonts w:ascii="Times New Roman" w:hAnsi="Times New Roman" w:cs="Times New Roman"/>
                <w:b/>
                <w:color w:val="auto"/>
                <w:sz w:val="28"/>
                <w:szCs w:val="28"/>
                <w:highlight w:val="none"/>
              </w:rPr>
              <w:t>经办人：                                  年  月  日</w:t>
            </w:r>
          </w:p>
        </w:tc>
      </w:tr>
    </w:tbl>
    <w:p>
      <w:pPr>
        <w:pStyle w:val="24"/>
        <w:rPr>
          <w:rFonts w:ascii="Times New Roman" w:hAnsi="Times New Roman" w:cs="Times New Roman"/>
          <w:color w:val="auto"/>
          <w:highlight w:val="none"/>
        </w:rPr>
      </w:pPr>
    </w:p>
    <w:p>
      <w:pPr>
        <w:pStyle w:val="24"/>
        <w:rPr>
          <w:rFonts w:ascii="Times New Roman" w:hAnsi="Times New Roman" w:cs="Times New Roman"/>
          <w:color w:val="auto"/>
          <w:highlight w:val="none"/>
        </w:rPr>
      </w:pPr>
    </w:p>
    <w:p>
      <w:pPr>
        <w:pStyle w:val="24"/>
        <w:rPr>
          <w:rFonts w:ascii="Times New Roman" w:hAnsi="Times New Roman" w:cs="Times New Roman"/>
          <w:color w:val="auto"/>
          <w:highlight w:val="none"/>
        </w:rPr>
      </w:pPr>
    </w:p>
    <w:tbl>
      <w:tblPr>
        <w:tblStyle w:val="23"/>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tcPr>
          <w:p>
            <w:pPr>
              <w:rPr>
                <w:rFonts w:ascii="Times New Roman" w:hAnsi="Times New Roman" w:cs="Times New Roman"/>
                <w:b/>
                <w:color w:val="auto"/>
                <w:sz w:val="28"/>
                <w:szCs w:val="28"/>
                <w:highlight w:val="none"/>
              </w:rPr>
            </w:pPr>
            <w:r>
              <w:rPr>
                <w:rFonts w:ascii="Times New Roman" w:hAnsi="Times New Roman" w:cs="Times New Roman"/>
                <w:b/>
                <w:color w:val="auto"/>
                <w:sz w:val="28"/>
                <w:szCs w:val="28"/>
                <w:highlight w:val="none"/>
              </w:rPr>
              <w:t>审批意见：</w:t>
            </w:r>
          </w:p>
          <w:p>
            <w:pPr>
              <w:rPr>
                <w:rFonts w:ascii="Times New Roman" w:hAnsi="Times New Roman" w:cs="Times New Roman"/>
                <w:b/>
                <w:color w:val="auto"/>
                <w:sz w:val="28"/>
                <w:szCs w:val="28"/>
                <w:highlight w:val="none"/>
              </w:rPr>
            </w:pPr>
          </w:p>
          <w:p>
            <w:pPr>
              <w:rPr>
                <w:rFonts w:ascii="Times New Roman" w:hAnsi="Times New Roman" w:cs="Times New Roman"/>
                <w:b/>
                <w:color w:val="auto"/>
                <w:sz w:val="28"/>
                <w:szCs w:val="28"/>
                <w:highlight w:val="none"/>
              </w:rPr>
            </w:pPr>
          </w:p>
          <w:p>
            <w:pPr>
              <w:rPr>
                <w:rFonts w:ascii="Times New Roman" w:hAnsi="Times New Roman" w:cs="Times New Roman"/>
                <w:b/>
                <w:color w:val="auto"/>
                <w:sz w:val="28"/>
                <w:szCs w:val="28"/>
                <w:highlight w:val="none"/>
              </w:rPr>
            </w:pPr>
          </w:p>
          <w:p>
            <w:pPr>
              <w:rPr>
                <w:rFonts w:ascii="Times New Roman" w:hAnsi="Times New Roman" w:cs="Times New Roman"/>
                <w:b/>
                <w:color w:val="auto"/>
                <w:sz w:val="28"/>
                <w:szCs w:val="28"/>
                <w:highlight w:val="none"/>
              </w:rPr>
            </w:pPr>
          </w:p>
          <w:p>
            <w:pPr>
              <w:rPr>
                <w:rFonts w:ascii="Times New Roman" w:hAnsi="Times New Roman" w:cs="Times New Roman"/>
                <w:b/>
                <w:color w:val="auto"/>
                <w:sz w:val="28"/>
                <w:szCs w:val="28"/>
                <w:highlight w:val="none"/>
              </w:rPr>
            </w:pPr>
          </w:p>
          <w:p>
            <w:pPr>
              <w:rPr>
                <w:rFonts w:ascii="Times New Roman" w:hAnsi="Times New Roman" w:cs="Times New Roman"/>
                <w:b/>
                <w:color w:val="auto"/>
                <w:sz w:val="28"/>
                <w:szCs w:val="28"/>
                <w:highlight w:val="none"/>
              </w:rPr>
            </w:pPr>
          </w:p>
          <w:p>
            <w:pPr>
              <w:rPr>
                <w:rFonts w:ascii="Times New Roman" w:hAnsi="Times New Roman" w:cs="Times New Roman"/>
                <w:b/>
                <w:color w:val="auto"/>
                <w:sz w:val="28"/>
                <w:szCs w:val="28"/>
                <w:highlight w:val="none"/>
              </w:rPr>
            </w:pPr>
          </w:p>
          <w:p>
            <w:pPr>
              <w:rPr>
                <w:rFonts w:ascii="Times New Roman" w:hAnsi="Times New Roman" w:cs="Times New Roman"/>
                <w:b/>
                <w:color w:val="auto"/>
                <w:sz w:val="28"/>
                <w:szCs w:val="28"/>
                <w:highlight w:val="none"/>
              </w:rPr>
            </w:pPr>
          </w:p>
          <w:p>
            <w:pPr>
              <w:rPr>
                <w:rFonts w:ascii="Times New Roman" w:hAnsi="Times New Roman" w:cs="Times New Roman"/>
                <w:b/>
                <w:color w:val="auto"/>
                <w:sz w:val="28"/>
                <w:szCs w:val="28"/>
                <w:highlight w:val="none"/>
              </w:rPr>
            </w:pPr>
          </w:p>
          <w:p>
            <w:pPr>
              <w:rPr>
                <w:rFonts w:ascii="Times New Roman" w:hAnsi="Times New Roman" w:cs="Times New Roman"/>
                <w:b/>
                <w:color w:val="auto"/>
                <w:sz w:val="28"/>
                <w:szCs w:val="28"/>
                <w:highlight w:val="none"/>
              </w:rPr>
            </w:pPr>
          </w:p>
          <w:p>
            <w:pPr>
              <w:rPr>
                <w:rFonts w:ascii="Times New Roman" w:hAnsi="Times New Roman" w:cs="Times New Roman"/>
                <w:b/>
                <w:color w:val="auto"/>
                <w:sz w:val="28"/>
                <w:szCs w:val="28"/>
                <w:highlight w:val="none"/>
              </w:rPr>
            </w:pPr>
          </w:p>
          <w:p>
            <w:pPr>
              <w:rPr>
                <w:rFonts w:ascii="Times New Roman" w:hAnsi="Times New Roman" w:cs="Times New Roman"/>
                <w:b/>
                <w:color w:val="auto"/>
                <w:sz w:val="28"/>
                <w:szCs w:val="28"/>
                <w:highlight w:val="none"/>
              </w:rPr>
            </w:pPr>
          </w:p>
          <w:p>
            <w:pPr>
              <w:rPr>
                <w:rFonts w:ascii="Times New Roman" w:hAnsi="Times New Roman" w:cs="Times New Roman"/>
                <w:b/>
                <w:color w:val="auto"/>
                <w:sz w:val="28"/>
                <w:szCs w:val="28"/>
                <w:highlight w:val="none"/>
              </w:rPr>
            </w:pPr>
          </w:p>
          <w:p>
            <w:pPr>
              <w:rPr>
                <w:rFonts w:ascii="Times New Roman" w:hAnsi="Times New Roman" w:cs="Times New Roman"/>
                <w:b/>
                <w:color w:val="auto"/>
                <w:sz w:val="28"/>
                <w:szCs w:val="28"/>
                <w:highlight w:val="none"/>
              </w:rPr>
            </w:pPr>
          </w:p>
          <w:p>
            <w:pPr>
              <w:rPr>
                <w:rFonts w:ascii="Times New Roman" w:hAnsi="Times New Roman" w:cs="Times New Roman"/>
                <w:b/>
                <w:color w:val="auto"/>
                <w:sz w:val="28"/>
                <w:szCs w:val="28"/>
                <w:highlight w:val="none"/>
              </w:rPr>
            </w:pPr>
          </w:p>
          <w:p>
            <w:pPr>
              <w:rPr>
                <w:rFonts w:ascii="Times New Roman" w:hAnsi="Times New Roman" w:cs="Times New Roman"/>
                <w:b/>
                <w:color w:val="auto"/>
                <w:sz w:val="28"/>
                <w:szCs w:val="28"/>
                <w:highlight w:val="none"/>
              </w:rPr>
            </w:pPr>
          </w:p>
          <w:p>
            <w:pPr>
              <w:ind w:firstLine="6184" w:firstLineChars="2200"/>
              <w:rPr>
                <w:rFonts w:ascii="Times New Roman" w:hAnsi="Times New Roman" w:cs="Times New Roman"/>
                <w:b/>
                <w:color w:val="auto"/>
                <w:sz w:val="28"/>
                <w:szCs w:val="28"/>
                <w:highlight w:val="none"/>
              </w:rPr>
            </w:pPr>
            <w:r>
              <w:rPr>
                <w:rFonts w:ascii="Times New Roman" w:hAnsi="Times New Roman" w:cs="Times New Roman"/>
                <w:b/>
                <w:color w:val="auto"/>
                <w:sz w:val="28"/>
                <w:szCs w:val="28"/>
                <w:highlight w:val="none"/>
              </w:rPr>
              <w:t>公 章</w:t>
            </w:r>
          </w:p>
          <w:p>
            <w:pPr>
              <w:rPr>
                <w:rFonts w:ascii="Times New Roman" w:hAnsi="Times New Roman" w:cs="Times New Roman"/>
                <w:b/>
                <w:color w:val="auto"/>
                <w:sz w:val="28"/>
                <w:szCs w:val="28"/>
                <w:highlight w:val="none"/>
              </w:rPr>
            </w:pPr>
            <w:r>
              <w:rPr>
                <w:rFonts w:ascii="Times New Roman" w:hAnsi="Times New Roman" w:cs="Times New Roman"/>
                <w:b/>
                <w:color w:val="auto"/>
                <w:sz w:val="28"/>
                <w:szCs w:val="28"/>
                <w:highlight w:val="none"/>
              </w:rPr>
              <w:t>经办人：                                  年  月  日</w:t>
            </w:r>
          </w:p>
          <w:p>
            <w:pPr>
              <w:rPr>
                <w:rFonts w:ascii="Times New Roman" w:hAnsi="Times New Roman" w:cs="Times New Roman"/>
                <w:b/>
                <w:color w:val="auto"/>
                <w:sz w:val="28"/>
                <w:szCs w:val="28"/>
                <w:highlight w:val="none"/>
              </w:rPr>
            </w:pPr>
          </w:p>
        </w:tc>
      </w:tr>
    </w:tbl>
    <w:p>
      <w:pPr>
        <w:pStyle w:val="24"/>
        <w:rPr>
          <w:rFonts w:ascii="Times New Roman" w:hAnsi="Times New Roman" w:cs="Times New Roman"/>
          <w:color w:val="auto"/>
          <w:highlight w:val="none"/>
        </w:rPr>
      </w:pPr>
    </w:p>
    <w:p>
      <w:pPr>
        <w:pStyle w:val="24"/>
        <w:rPr>
          <w:rFonts w:ascii="Times New Roman" w:hAnsi="Times New Roman" w:cs="Times New Roman"/>
          <w:color w:val="auto"/>
          <w:highlight w:val="none"/>
        </w:rPr>
      </w:pPr>
    </w:p>
    <w:p>
      <w:pPr>
        <w:pStyle w:val="24"/>
        <w:rPr>
          <w:rFonts w:ascii="Times New Roman" w:hAnsi="Times New Roman" w:cs="Times New Roman"/>
          <w:color w:val="auto"/>
          <w:highlight w:val="none"/>
        </w:rPr>
      </w:pPr>
      <w:r>
        <w:rPr>
          <w:rFonts w:ascii="Times New Roman" w:hAnsi="Times New Roman" w:cs="Times New Roman"/>
          <w:color w:val="auto"/>
          <w:highlight w:val="none"/>
        </w:rPr>
        <w:br w:type="page"/>
      </w:r>
    </w:p>
    <w:tbl>
      <w:tblPr>
        <w:tblStyle w:val="22"/>
        <w:tblW w:w="833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3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8336" w:type="dxa"/>
          </w:tcPr>
          <w:p>
            <w:pPr>
              <w:spacing w:line="360" w:lineRule="auto"/>
              <w:jc w:val="center"/>
              <w:rPr>
                <w:rFonts w:ascii="Times New Roman" w:hAnsi="Times New Roman" w:eastAsia="宋体" w:cs="Times New Roman"/>
                <w:color w:val="auto"/>
                <w:sz w:val="24"/>
                <w:highlight w:val="none"/>
              </w:rPr>
            </w:pPr>
            <w:r>
              <w:rPr>
                <w:rFonts w:ascii="Times New Roman" w:hAnsi="Times New Roman" w:eastAsia="宋体" w:cs="Times New Roman"/>
                <w:b/>
                <w:bCs/>
                <w:color w:val="auto"/>
                <w:sz w:val="24"/>
                <w:highlight w:val="none"/>
              </w:rPr>
              <w:t>注    释</w:t>
            </w:r>
          </w:p>
          <w:p>
            <w:pPr>
              <w:spacing w:line="336" w:lineRule="auto"/>
              <w:ind w:firstLine="502"/>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一、本表应附以下附图、附件：</w:t>
            </w:r>
          </w:p>
          <w:p>
            <w:pPr>
              <w:autoSpaceDE w:val="0"/>
              <w:autoSpaceDN w:val="0"/>
              <w:spacing w:line="336" w:lineRule="auto"/>
              <w:ind w:firstLine="500"/>
              <w:rPr>
                <w:rFonts w:ascii="Times New Roman" w:hAnsi="Times New Roman" w:eastAsia="宋体" w:cs="Times New Roman"/>
                <w:color w:val="auto"/>
                <w:sz w:val="24"/>
                <w:highlight w:val="none"/>
                <w:lang w:val="en-GB"/>
              </w:rPr>
            </w:pPr>
            <w:r>
              <w:rPr>
                <w:rFonts w:ascii="Times New Roman" w:hAnsi="Times New Roman" w:eastAsia="宋体" w:cs="Times New Roman"/>
                <w:color w:val="auto"/>
                <w:sz w:val="24"/>
                <w:highlight w:val="none"/>
                <w:lang w:val="en-GB"/>
              </w:rPr>
              <w:t>附图</w:t>
            </w:r>
            <w:r>
              <w:rPr>
                <w:rFonts w:ascii="Times New Roman" w:hAnsi="Times New Roman" w:eastAsia="宋体" w:cs="Times New Roman"/>
                <w:color w:val="auto"/>
                <w:sz w:val="24"/>
                <w:highlight w:val="none"/>
              </w:rPr>
              <w:t>1</w:t>
            </w:r>
            <w:r>
              <w:rPr>
                <w:rFonts w:ascii="Times New Roman" w:hAnsi="Times New Roman" w:eastAsia="宋体" w:cs="Times New Roman"/>
                <w:color w:val="auto"/>
                <w:sz w:val="24"/>
                <w:highlight w:val="none"/>
                <w:lang w:val="en-GB"/>
              </w:rPr>
              <w:t>：建设项目地理位置图</w:t>
            </w:r>
          </w:p>
          <w:p>
            <w:pPr>
              <w:autoSpaceDE w:val="0"/>
              <w:autoSpaceDN w:val="0"/>
              <w:spacing w:line="336" w:lineRule="auto"/>
              <w:ind w:firstLine="500"/>
              <w:rPr>
                <w:rFonts w:ascii="Times New Roman" w:hAnsi="Times New Roman" w:eastAsia="宋体" w:cs="Times New Roman"/>
                <w:color w:val="auto"/>
                <w:sz w:val="24"/>
                <w:highlight w:val="none"/>
                <w:lang w:val="en-GB"/>
              </w:rPr>
            </w:pPr>
            <w:r>
              <w:rPr>
                <w:rFonts w:ascii="Times New Roman" w:hAnsi="Times New Roman" w:eastAsia="宋体" w:cs="Times New Roman"/>
                <w:color w:val="auto"/>
                <w:sz w:val="24"/>
                <w:highlight w:val="none"/>
                <w:lang w:val="en-GB"/>
              </w:rPr>
              <w:t>附图2：项目周边敏感点分布图</w:t>
            </w:r>
          </w:p>
          <w:p>
            <w:pPr>
              <w:autoSpaceDE w:val="0"/>
              <w:autoSpaceDN w:val="0"/>
              <w:spacing w:line="336" w:lineRule="auto"/>
              <w:ind w:firstLine="500"/>
              <w:rPr>
                <w:rFonts w:ascii="Times New Roman" w:hAnsi="Times New Roman" w:eastAsia="宋体" w:cs="Times New Roman"/>
                <w:color w:val="auto"/>
                <w:sz w:val="24"/>
                <w:highlight w:val="none"/>
                <w:lang w:val="en-GB"/>
              </w:rPr>
            </w:pPr>
            <w:r>
              <w:rPr>
                <w:rFonts w:ascii="Times New Roman" w:hAnsi="Times New Roman" w:eastAsia="宋体" w:cs="Times New Roman"/>
                <w:color w:val="auto"/>
                <w:sz w:val="24"/>
                <w:highlight w:val="none"/>
                <w:lang w:val="en-GB"/>
              </w:rPr>
              <w:t>附图3：建设项目四至图</w:t>
            </w:r>
          </w:p>
          <w:p>
            <w:pPr>
              <w:autoSpaceDE w:val="0"/>
              <w:autoSpaceDN w:val="0"/>
              <w:spacing w:line="336" w:lineRule="auto"/>
              <w:ind w:firstLine="500"/>
              <w:rPr>
                <w:rFonts w:ascii="Times New Roman" w:hAnsi="Times New Roman" w:eastAsia="宋体" w:cs="Times New Roman"/>
                <w:color w:val="auto"/>
                <w:sz w:val="24"/>
                <w:highlight w:val="none"/>
                <w:lang w:val="en-GB"/>
              </w:rPr>
            </w:pPr>
            <w:r>
              <w:rPr>
                <w:rFonts w:ascii="Times New Roman" w:hAnsi="Times New Roman" w:eastAsia="宋体" w:cs="Times New Roman"/>
                <w:color w:val="auto"/>
                <w:sz w:val="24"/>
                <w:highlight w:val="none"/>
                <w:lang w:val="en-GB"/>
              </w:rPr>
              <w:t>附图4</w:t>
            </w:r>
            <w:r>
              <w:rPr>
                <w:rFonts w:hint="eastAsia" w:ascii="Times New Roman" w:hAnsi="Times New Roman" w:eastAsia="宋体" w:cs="Times New Roman"/>
                <w:color w:val="auto"/>
                <w:sz w:val="24"/>
                <w:highlight w:val="none"/>
              </w:rPr>
              <w:t>-1</w:t>
            </w:r>
            <w:r>
              <w:rPr>
                <w:rFonts w:ascii="Times New Roman" w:hAnsi="Times New Roman" w:eastAsia="宋体" w:cs="Times New Roman"/>
                <w:color w:val="auto"/>
                <w:sz w:val="24"/>
                <w:highlight w:val="none"/>
                <w:lang w:val="en-GB"/>
              </w:rPr>
              <w:t>：</w:t>
            </w:r>
            <w:r>
              <w:rPr>
                <w:rFonts w:hint="eastAsia" w:ascii="Times New Roman" w:hAnsi="Times New Roman" w:eastAsia="宋体" w:cs="Times New Roman"/>
                <w:color w:val="auto"/>
                <w:sz w:val="24"/>
                <w:highlight w:val="none"/>
                <w:lang w:val="en-GB"/>
              </w:rPr>
              <w:t>开平裕进纺织厂有限公司平面布置图</w:t>
            </w:r>
          </w:p>
          <w:p>
            <w:pPr>
              <w:autoSpaceDE w:val="0"/>
              <w:autoSpaceDN w:val="0"/>
              <w:spacing w:line="336" w:lineRule="auto"/>
              <w:ind w:firstLine="500"/>
              <w:rPr>
                <w:rFonts w:ascii="Times New Roman" w:hAnsi="Times New Roman" w:eastAsia="宋体" w:cs="Times New Roman"/>
                <w:color w:val="auto"/>
                <w:sz w:val="24"/>
                <w:highlight w:val="none"/>
                <w:lang w:val="en-GB"/>
              </w:rPr>
            </w:pPr>
            <w:r>
              <w:rPr>
                <w:rFonts w:ascii="Times New Roman" w:hAnsi="Times New Roman" w:eastAsia="宋体" w:cs="Times New Roman"/>
                <w:color w:val="auto"/>
                <w:sz w:val="24"/>
                <w:highlight w:val="none"/>
                <w:lang w:val="en-GB"/>
              </w:rPr>
              <w:t>附图4</w:t>
            </w:r>
            <w:r>
              <w:rPr>
                <w:rFonts w:hint="eastAsia" w:ascii="Times New Roman" w:hAnsi="Times New Roman" w:eastAsia="宋体" w:cs="Times New Roman"/>
                <w:color w:val="auto"/>
                <w:sz w:val="24"/>
                <w:highlight w:val="none"/>
              </w:rPr>
              <w:t>-2</w:t>
            </w:r>
            <w:r>
              <w:rPr>
                <w:rFonts w:ascii="Times New Roman" w:hAnsi="Times New Roman" w:eastAsia="宋体" w:cs="Times New Roman"/>
                <w:color w:val="auto"/>
                <w:sz w:val="24"/>
                <w:highlight w:val="none"/>
                <w:lang w:val="en-GB"/>
              </w:rPr>
              <w:t>：项目平面布置示意图</w:t>
            </w:r>
          </w:p>
          <w:p>
            <w:pPr>
              <w:autoSpaceDE w:val="0"/>
              <w:autoSpaceDN w:val="0"/>
              <w:spacing w:line="336" w:lineRule="auto"/>
              <w:ind w:firstLine="500"/>
              <w:rPr>
                <w:rFonts w:ascii="Times New Roman" w:hAnsi="Times New Roman" w:eastAsia="宋体" w:cs="Times New Roman"/>
                <w:color w:val="auto"/>
                <w:sz w:val="24"/>
                <w:highlight w:val="none"/>
                <w:lang w:val="en-GB"/>
              </w:rPr>
            </w:pPr>
            <w:r>
              <w:rPr>
                <w:rFonts w:ascii="Times New Roman" w:hAnsi="Times New Roman" w:eastAsia="宋体" w:cs="Times New Roman"/>
                <w:color w:val="auto"/>
                <w:sz w:val="24"/>
                <w:highlight w:val="none"/>
                <w:lang w:val="en-GB"/>
              </w:rPr>
              <w:t>附图5</w:t>
            </w:r>
            <w:r>
              <w:rPr>
                <w:rFonts w:hint="eastAsia" w:ascii="Times New Roman" w:hAnsi="Times New Roman" w:eastAsia="宋体" w:cs="Times New Roman"/>
                <w:color w:val="auto"/>
                <w:sz w:val="24"/>
                <w:highlight w:val="none"/>
                <w:lang w:val="en-GB"/>
              </w:rPr>
              <w:t>：</w:t>
            </w:r>
            <w:r>
              <w:rPr>
                <w:rFonts w:ascii="Times New Roman" w:hAnsi="Times New Roman" w:eastAsia="宋体" w:cs="Times New Roman"/>
                <w:color w:val="auto"/>
                <w:sz w:val="24"/>
                <w:highlight w:val="none"/>
                <w:lang w:val="en-GB"/>
              </w:rPr>
              <w:t>项目地表水监测断面布设图</w:t>
            </w:r>
          </w:p>
          <w:p>
            <w:pPr>
              <w:autoSpaceDE w:val="0"/>
              <w:autoSpaceDN w:val="0"/>
              <w:spacing w:line="336" w:lineRule="auto"/>
              <w:ind w:firstLine="500"/>
              <w:rPr>
                <w:rFonts w:ascii="Times New Roman" w:hAnsi="Times New Roman" w:eastAsia="宋体" w:cs="Times New Roman"/>
                <w:color w:val="auto"/>
                <w:sz w:val="24"/>
                <w:highlight w:val="none"/>
                <w:lang w:val="en-GB"/>
              </w:rPr>
            </w:pPr>
            <w:r>
              <w:rPr>
                <w:rFonts w:ascii="Times New Roman" w:hAnsi="Times New Roman" w:eastAsia="宋体" w:cs="Times New Roman"/>
                <w:color w:val="auto"/>
                <w:sz w:val="24"/>
                <w:highlight w:val="none"/>
                <w:lang w:val="en-GB"/>
              </w:rPr>
              <w:t>附件1：营业执照</w:t>
            </w:r>
          </w:p>
          <w:p>
            <w:pPr>
              <w:autoSpaceDE w:val="0"/>
              <w:autoSpaceDN w:val="0"/>
              <w:spacing w:line="336" w:lineRule="auto"/>
              <w:ind w:firstLine="500"/>
              <w:rPr>
                <w:rFonts w:ascii="Times New Roman" w:hAnsi="Times New Roman" w:eastAsia="宋体" w:cs="Times New Roman"/>
                <w:color w:val="auto"/>
                <w:sz w:val="24"/>
                <w:highlight w:val="none"/>
                <w:lang w:val="en-GB"/>
              </w:rPr>
            </w:pPr>
            <w:r>
              <w:rPr>
                <w:rFonts w:ascii="Times New Roman" w:hAnsi="Times New Roman" w:eastAsia="宋体" w:cs="Times New Roman"/>
                <w:color w:val="auto"/>
                <w:sz w:val="24"/>
                <w:highlight w:val="none"/>
                <w:lang w:val="en-GB"/>
              </w:rPr>
              <w:t>附件2：法人身份证</w:t>
            </w:r>
          </w:p>
          <w:p>
            <w:pPr>
              <w:autoSpaceDE w:val="0"/>
              <w:autoSpaceDN w:val="0"/>
              <w:spacing w:line="336" w:lineRule="auto"/>
              <w:ind w:firstLine="500"/>
              <w:rPr>
                <w:rFonts w:ascii="Times New Roman" w:hAnsi="Times New Roman" w:eastAsia="宋体" w:cs="Times New Roman"/>
                <w:color w:val="auto"/>
                <w:sz w:val="24"/>
                <w:highlight w:val="none"/>
                <w:lang w:val="en-GB"/>
              </w:rPr>
            </w:pPr>
            <w:r>
              <w:rPr>
                <w:rFonts w:ascii="Times New Roman" w:hAnsi="Times New Roman" w:eastAsia="宋体" w:cs="Times New Roman"/>
                <w:color w:val="auto"/>
                <w:sz w:val="24"/>
                <w:highlight w:val="none"/>
                <w:lang w:val="en-GB"/>
              </w:rPr>
              <w:t>附件3：国土证明</w:t>
            </w:r>
          </w:p>
          <w:p>
            <w:pPr>
              <w:autoSpaceDE w:val="0"/>
              <w:autoSpaceDN w:val="0"/>
              <w:spacing w:line="336" w:lineRule="auto"/>
              <w:ind w:firstLine="500"/>
              <w:rPr>
                <w:rFonts w:ascii="Times New Roman" w:hAnsi="Times New Roman" w:eastAsia="宋体" w:cs="Times New Roman"/>
                <w:color w:val="auto"/>
                <w:sz w:val="24"/>
                <w:highlight w:val="none"/>
                <w:lang w:val="en-GB"/>
              </w:rPr>
            </w:pPr>
            <w:r>
              <w:rPr>
                <w:rFonts w:ascii="Times New Roman" w:hAnsi="Times New Roman" w:eastAsia="宋体" w:cs="Times New Roman"/>
                <w:color w:val="auto"/>
                <w:sz w:val="24"/>
                <w:highlight w:val="none"/>
                <w:lang w:val="en-GB"/>
              </w:rPr>
              <w:t>附件4：租赁合同</w:t>
            </w:r>
          </w:p>
          <w:p>
            <w:pPr>
              <w:autoSpaceDE w:val="0"/>
              <w:autoSpaceDN w:val="0"/>
              <w:spacing w:line="336" w:lineRule="auto"/>
              <w:ind w:firstLine="500"/>
              <w:rPr>
                <w:rFonts w:ascii="Times New Roman" w:hAnsi="Times New Roman" w:eastAsia="宋体" w:cs="Times New Roman"/>
                <w:color w:val="auto"/>
                <w:sz w:val="24"/>
                <w:highlight w:val="none"/>
                <w:lang w:val="en-GB"/>
              </w:rPr>
            </w:pPr>
            <w:r>
              <w:rPr>
                <w:rFonts w:ascii="Times New Roman" w:hAnsi="Times New Roman" w:eastAsia="宋体" w:cs="Times New Roman"/>
                <w:color w:val="auto"/>
                <w:sz w:val="24"/>
                <w:highlight w:val="none"/>
                <w:lang w:val="en-GB"/>
              </w:rPr>
              <w:t>附件</w:t>
            </w:r>
            <w:r>
              <w:rPr>
                <w:rFonts w:ascii="Times New Roman" w:hAnsi="Times New Roman" w:eastAsia="宋体" w:cs="Times New Roman"/>
                <w:color w:val="auto"/>
                <w:sz w:val="24"/>
                <w:highlight w:val="none"/>
              </w:rPr>
              <w:t>5</w:t>
            </w:r>
            <w:r>
              <w:rPr>
                <w:rFonts w:ascii="Times New Roman" w:hAnsi="Times New Roman" w:eastAsia="宋体" w:cs="Times New Roman"/>
                <w:color w:val="auto"/>
                <w:sz w:val="24"/>
                <w:highlight w:val="none"/>
                <w:lang w:val="en-GB"/>
              </w:rPr>
              <w:t>：《开平市鹏裕包装材料有限公司》检测报告</w:t>
            </w:r>
          </w:p>
          <w:p>
            <w:pPr>
              <w:autoSpaceDE w:val="0"/>
              <w:autoSpaceDN w:val="0"/>
              <w:spacing w:line="336" w:lineRule="auto"/>
              <w:ind w:firstLine="500"/>
              <w:rPr>
                <w:rFonts w:ascii="Times New Roman" w:hAnsi="Times New Roman" w:eastAsia="宋体" w:cs="Times New Roman"/>
                <w:color w:val="auto"/>
                <w:sz w:val="24"/>
                <w:highlight w:val="none"/>
                <w:lang w:val="en-GB"/>
              </w:rPr>
            </w:pPr>
            <w:r>
              <w:rPr>
                <w:rFonts w:ascii="Times New Roman" w:hAnsi="Times New Roman" w:eastAsia="宋体" w:cs="Times New Roman"/>
                <w:color w:val="auto"/>
                <w:sz w:val="24"/>
                <w:highlight w:val="none"/>
                <w:lang w:val="en-GB"/>
              </w:rPr>
              <w:t>附件6：引用环境检测数据</w:t>
            </w:r>
          </w:p>
          <w:p>
            <w:pPr>
              <w:autoSpaceDE w:val="0"/>
              <w:autoSpaceDN w:val="0"/>
              <w:spacing w:line="336" w:lineRule="auto"/>
              <w:ind w:firstLine="500"/>
              <w:rPr>
                <w:rFonts w:hint="eastAsia" w:ascii="Times New Roman" w:hAnsi="Times New Roman" w:eastAsia="宋体" w:cs="Times New Roman"/>
                <w:color w:val="auto"/>
                <w:sz w:val="24"/>
                <w:highlight w:val="none"/>
                <w:lang w:val="en-GB"/>
              </w:rPr>
            </w:pPr>
            <w:r>
              <w:rPr>
                <w:rFonts w:hint="eastAsia" w:ascii="Times New Roman" w:hAnsi="Times New Roman" w:eastAsia="宋体" w:cs="Times New Roman"/>
                <w:color w:val="auto"/>
                <w:sz w:val="24"/>
                <w:highlight w:val="none"/>
                <w:lang w:val="en-GB"/>
              </w:rPr>
              <w:t>附件7 开平裕进纺织厂有限公司排污许可证</w:t>
            </w:r>
          </w:p>
          <w:p>
            <w:pPr>
              <w:autoSpaceDE w:val="0"/>
              <w:autoSpaceDN w:val="0"/>
              <w:spacing w:line="336" w:lineRule="auto"/>
              <w:ind w:firstLine="5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lang w:val="en-GB"/>
              </w:rPr>
              <w:t>附件8：</w:t>
            </w:r>
            <w:r>
              <w:rPr>
                <w:rFonts w:hint="eastAsia" w:ascii="Times New Roman" w:hAnsi="Times New Roman" w:eastAsia="宋体" w:cs="Times New Roman"/>
                <w:color w:val="auto"/>
                <w:sz w:val="24"/>
                <w:highlight w:val="none"/>
                <w:lang w:val="en-GB"/>
              </w:rPr>
              <w:t>《关于开平裕进纺织厂有限公司迁建项目环境影响报告书审批意见的函》</w:t>
            </w:r>
          </w:p>
          <w:p>
            <w:pPr>
              <w:autoSpaceDE w:val="0"/>
              <w:autoSpaceDN w:val="0"/>
              <w:spacing w:line="336" w:lineRule="auto"/>
              <w:ind w:firstLine="500"/>
              <w:rPr>
                <w:rFonts w:ascii="Times New Roman" w:hAnsi="Times New Roman" w:eastAsia="宋体" w:cs="Times New Roman"/>
                <w:color w:val="auto"/>
                <w:sz w:val="24"/>
                <w:highlight w:val="none"/>
                <w:lang w:val="en-GB"/>
              </w:rPr>
            </w:pPr>
            <w:r>
              <w:rPr>
                <w:rFonts w:ascii="Times New Roman" w:hAnsi="Times New Roman" w:eastAsia="宋体" w:cs="Times New Roman"/>
                <w:color w:val="auto"/>
                <w:sz w:val="24"/>
                <w:highlight w:val="none"/>
                <w:lang w:val="en-GB"/>
              </w:rPr>
              <w:t>附件</w:t>
            </w:r>
            <w:r>
              <w:rPr>
                <w:rFonts w:ascii="Times New Roman" w:hAnsi="Times New Roman" w:eastAsia="宋体" w:cs="Times New Roman"/>
                <w:color w:val="auto"/>
                <w:sz w:val="24"/>
                <w:highlight w:val="none"/>
              </w:rPr>
              <w:t>9</w:t>
            </w:r>
            <w:r>
              <w:rPr>
                <w:rFonts w:hint="eastAsia" w:ascii="Times New Roman" w:hAnsi="Times New Roman" w:eastAsia="宋体" w:cs="Times New Roman"/>
                <w:color w:val="auto"/>
                <w:sz w:val="24"/>
                <w:highlight w:val="none"/>
              </w:rPr>
              <w:t>：</w:t>
            </w:r>
            <w:r>
              <w:rPr>
                <w:rFonts w:ascii="Times New Roman" w:hAnsi="Times New Roman" w:eastAsia="宋体" w:cs="Times New Roman"/>
                <w:color w:val="auto"/>
                <w:sz w:val="24"/>
                <w:highlight w:val="none"/>
                <w:lang w:val="en-GB"/>
              </w:rPr>
              <w:t>地表水环境影响评价自查表</w:t>
            </w:r>
          </w:p>
          <w:p>
            <w:pPr>
              <w:autoSpaceDE w:val="0"/>
              <w:autoSpaceDN w:val="0"/>
              <w:spacing w:line="336" w:lineRule="auto"/>
              <w:ind w:firstLine="5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lang w:val="en-GB"/>
              </w:rPr>
              <w:t>附件10：环境风险评</w:t>
            </w:r>
            <w:r>
              <w:rPr>
                <w:rFonts w:ascii="Times New Roman" w:hAnsi="Times New Roman" w:eastAsia="宋体" w:cs="Times New Roman"/>
                <w:color w:val="auto"/>
                <w:sz w:val="24"/>
                <w:highlight w:val="none"/>
              </w:rPr>
              <w:t>价自查表</w:t>
            </w:r>
          </w:p>
          <w:p>
            <w:pPr>
              <w:autoSpaceDE w:val="0"/>
              <w:autoSpaceDN w:val="0"/>
              <w:spacing w:line="336" w:lineRule="auto"/>
              <w:ind w:firstLine="500"/>
              <w:rPr>
                <w:rFonts w:ascii="Times New Roman" w:hAnsi="Times New Roman" w:eastAsia="宋体" w:cs="Times New Roman"/>
                <w:color w:val="auto"/>
                <w:sz w:val="24"/>
                <w:highlight w:val="none"/>
                <w:lang w:val="en-GB"/>
              </w:rPr>
            </w:pPr>
            <w:r>
              <w:rPr>
                <w:rFonts w:ascii="Times New Roman" w:hAnsi="Times New Roman" w:eastAsia="宋体" w:cs="Times New Roman"/>
                <w:color w:val="auto"/>
                <w:sz w:val="24"/>
                <w:highlight w:val="none"/>
                <w:lang w:val="en-GB"/>
              </w:rPr>
              <w:t>附件11</w:t>
            </w:r>
            <w:r>
              <w:rPr>
                <w:rFonts w:ascii="Times New Roman" w:hAnsi="Times New Roman" w:eastAsia="宋体" w:cs="Times New Roman"/>
                <w:color w:val="auto"/>
                <w:sz w:val="24"/>
                <w:highlight w:val="none"/>
              </w:rPr>
              <w:t>：</w:t>
            </w:r>
            <w:r>
              <w:rPr>
                <w:rFonts w:ascii="Times New Roman" w:hAnsi="Times New Roman" w:eastAsia="宋体" w:cs="Times New Roman"/>
                <w:color w:val="auto"/>
                <w:sz w:val="24"/>
                <w:highlight w:val="none"/>
                <w:lang w:val="en-GB"/>
              </w:rPr>
              <w:t>建设项目大气环境影响评价自查表</w:t>
            </w:r>
          </w:p>
          <w:p>
            <w:pPr>
              <w:autoSpaceDE w:val="0"/>
              <w:autoSpaceDN w:val="0"/>
              <w:spacing w:line="336" w:lineRule="auto"/>
              <w:ind w:firstLine="500"/>
              <w:rPr>
                <w:rFonts w:hint="eastAsia" w:ascii="Times New Roman" w:hAnsi="Times New Roman" w:eastAsia="宋体" w:cs="Times New Roman"/>
                <w:color w:val="auto"/>
                <w:sz w:val="24"/>
                <w:highlight w:val="none"/>
                <w:lang w:val="en-GB"/>
              </w:rPr>
            </w:pPr>
            <w:r>
              <w:rPr>
                <w:rFonts w:ascii="Times New Roman" w:hAnsi="Times New Roman" w:eastAsia="宋体" w:cs="Times New Roman"/>
                <w:color w:val="auto"/>
                <w:sz w:val="24"/>
                <w:highlight w:val="none"/>
                <w:lang w:val="en-GB"/>
              </w:rPr>
              <w:t>附件</w:t>
            </w:r>
            <w:r>
              <w:rPr>
                <w:rFonts w:ascii="Times New Roman" w:hAnsi="Times New Roman" w:eastAsia="宋体" w:cs="Times New Roman"/>
                <w:color w:val="auto"/>
                <w:sz w:val="24"/>
                <w:highlight w:val="none"/>
              </w:rPr>
              <w:t>12</w:t>
            </w:r>
            <w:r>
              <w:rPr>
                <w:rFonts w:hint="eastAsia"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GB"/>
              </w:rPr>
              <w:t>土壤</w:t>
            </w:r>
            <w:r>
              <w:rPr>
                <w:rFonts w:ascii="Times New Roman" w:hAnsi="Times New Roman" w:eastAsia="宋体" w:cs="Times New Roman"/>
                <w:color w:val="auto"/>
                <w:sz w:val="24"/>
                <w:highlight w:val="none"/>
                <w:lang w:val="en-GB"/>
              </w:rPr>
              <w:t>环境影响评价自查表</w:t>
            </w:r>
          </w:p>
          <w:p>
            <w:pPr>
              <w:autoSpaceDE w:val="0"/>
              <w:autoSpaceDN w:val="0"/>
              <w:spacing w:line="336" w:lineRule="auto"/>
              <w:ind w:firstLine="502"/>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二、如果本报告表不能说明项目产生的污染及对环境造成的影响，应进行专项评价。根据建设项目的特点和当地环境特征，应选下列1-2项进行专项评价。</w:t>
            </w:r>
          </w:p>
          <w:p>
            <w:pPr>
              <w:autoSpaceDE w:val="0"/>
              <w:autoSpaceDN w:val="0"/>
              <w:spacing w:line="336" w:lineRule="auto"/>
              <w:ind w:firstLine="5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1.大气环境影响专项评价</w:t>
            </w:r>
          </w:p>
          <w:p>
            <w:pPr>
              <w:autoSpaceDE w:val="0"/>
              <w:autoSpaceDN w:val="0"/>
              <w:spacing w:line="336" w:lineRule="auto"/>
              <w:ind w:firstLine="5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2.水环境影响专项评价（包括地表水和地下水）</w:t>
            </w:r>
          </w:p>
          <w:p>
            <w:pPr>
              <w:spacing w:line="336" w:lineRule="auto"/>
              <w:ind w:firstLine="5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3.生态影响专项评价</w:t>
            </w:r>
          </w:p>
          <w:p>
            <w:pPr>
              <w:spacing w:line="336" w:lineRule="auto"/>
              <w:ind w:firstLine="5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4.声影响专项评价</w:t>
            </w:r>
          </w:p>
          <w:p>
            <w:pPr>
              <w:spacing w:line="336" w:lineRule="auto"/>
              <w:ind w:firstLine="5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5.土壤影响专项评价</w:t>
            </w:r>
          </w:p>
          <w:p>
            <w:pPr>
              <w:spacing w:line="336" w:lineRule="auto"/>
              <w:ind w:firstLine="5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6.固体废弃物影响专项评价</w:t>
            </w:r>
          </w:p>
          <w:p>
            <w:pPr>
              <w:spacing w:line="336" w:lineRule="auto"/>
              <w:ind w:firstLine="5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以上专项评价未包括的可另列专项，专项评价按照《环境影响评价技术导则》中的要求进行。</w:t>
            </w:r>
          </w:p>
        </w:tc>
      </w:tr>
    </w:tbl>
    <w:p>
      <w:pPr>
        <w:pStyle w:val="24"/>
        <w:rPr>
          <w:rFonts w:ascii="Times New Roman" w:hAnsi="Times New Roman" w:cs="Times New Roman"/>
          <w:color w:val="auto"/>
          <w:highlight w:val="none"/>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tabs>
          <w:tab w:val="center" w:pos="7039"/>
          <w:tab w:val="left" w:pos="12844"/>
        </w:tabs>
        <w:jc w:val="left"/>
        <w:rPr>
          <w:rFonts w:hint="eastAsia" w:ascii="Times New Roman" w:hAnsi="Times New Roman" w:cs="Times New Roman"/>
          <w:b/>
          <w:color w:val="auto"/>
          <w:sz w:val="28"/>
          <w:szCs w:val="28"/>
          <w:highlight w:val="none"/>
        </w:rPr>
      </w:pPr>
    </w:p>
    <w:sectPr>
      <w:footerReference r:id="rId5" w:type="default"/>
      <w:pgSz w:w="11906" w:h="16838"/>
      <w:pgMar w:top="720" w:right="720" w:bottom="720" w:left="720" w:header="851" w:footer="992" w:gutter="0"/>
      <w:pgBorders>
        <w:top w:val="none" w:sz="0" w:space="0"/>
        <w:left w:val="none" w:sz="0" w:space="0"/>
        <w:bottom w:val="none" w:sz="0" w:space="0"/>
        <w:right w:val="none" w:sz="0" w:space="0"/>
      </w:pgBorders>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长城楷体">
    <w:altName w:val="宋体"/>
    <w:panose1 w:val="00000000000000000000"/>
    <w:charset w:val="86"/>
    <w:family w:val="auto"/>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方正仿宋_GBK">
    <w:altName w:val="微软雅黑"/>
    <w:panose1 w:val="00000000000000000000"/>
    <w:charset w:val="86"/>
    <w:family w:val="script"/>
    <w:pitch w:val="default"/>
    <w:sig w:usb0="00000000" w:usb1="00000000" w:usb2="00000010" w:usb3="00000000" w:csb0="00040000" w:csb1="00000000"/>
  </w:font>
  <w:font w:name="仿宋体">
    <w:altName w:val="宋体"/>
    <w:panose1 w:val="00000000000000000000"/>
    <w:charset w:val="86"/>
    <w:family w:val="roma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等线">
    <w:altName w:val="宋体"/>
    <w:panose1 w:val="02010600030101010101"/>
    <w:charset w:val="86"/>
    <w:family w:val="auto"/>
    <w:pitch w:val="default"/>
    <w:sig w:usb0="00000000" w:usb1="00000000" w:usb2="00000016" w:usb3="00000000" w:csb0="0004000F" w:csb1="00000000"/>
  </w:font>
  <w:font w:name="Wingdings 2">
    <w:panose1 w:val="05020102010507070707"/>
    <w:charset w:val="02"/>
    <w:family w:val="roman"/>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p>
    <w:pPr>
      <w:pStyle w:val="13"/>
    </w:pPr>
  </w:p>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0"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33</w:t>
                          </w:r>
                          <w:r>
                            <w:fldChar w:fldCharType="end"/>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OqXm5zwAAAAUBAAAP&#10;AAAAAAAAAAEAIAAAACIAAABkcnMvZG93bnJldi54bWxQSwECFAAUAAAACACHTuJAyFHxhK8BAABN&#10;AwAADgAAAAAAAAABACAAAAAeAQAAZHJzL2Uyb0RvYy54bWxQSwUGAAAAAAYABgBZAQAAPwU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33</w:t>
                    </w:r>
                    <w:r>
                      <w:fldChar w:fldCharType="end"/>
                    </w:r>
                  </w:p>
                </w:txbxContent>
              </v:textbox>
            </v:shape>
          </w:pict>
        </mc:Fallback>
      </mc:AlternateContent>
    </w:r>
  </w:p>
  <w:p>
    <w:pPr>
      <w:pStyle w:val="13"/>
    </w:pPr>
  </w:p>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p>
    <w:pPr>
      <w:pStyle w:val="13"/>
    </w:pPr>
  </w:p>
  <w:p>
    <w:pPr>
      <w:pStyle w:val="1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FFDF2F8"/>
    <w:multiLevelType w:val="singleLevel"/>
    <w:tmpl w:val="CFFDF2F8"/>
    <w:lvl w:ilvl="0" w:tentative="0">
      <w:start w:val="1"/>
      <w:numFmt w:val="chineseCounting"/>
      <w:suff w:val="nothing"/>
      <w:lvlText w:val="%1、"/>
      <w:lvlJc w:val="left"/>
      <w:rPr>
        <w:rFonts w:hint="eastAsia"/>
      </w:rPr>
    </w:lvl>
  </w:abstractNum>
  <w:abstractNum w:abstractNumId="1">
    <w:nsid w:val="E4C64E4C"/>
    <w:multiLevelType w:val="singleLevel"/>
    <w:tmpl w:val="E4C64E4C"/>
    <w:lvl w:ilvl="0" w:tentative="0">
      <w:start w:val="1"/>
      <w:numFmt w:val="decimal"/>
      <w:suff w:val="nothing"/>
      <w:lvlText w:val="（%1）"/>
      <w:lvlJc w:val="left"/>
    </w:lvl>
  </w:abstractNum>
  <w:abstractNum w:abstractNumId="2">
    <w:nsid w:val="F803AA3A"/>
    <w:multiLevelType w:val="singleLevel"/>
    <w:tmpl w:val="F803AA3A"/>
    <w:lvl w:ilvl="0" w:tentative="0">
      <w:start w:val="4"/>
      <w:numFmt w:val="decimal"/>
      <w:suff w:val="nothing"/>
      <w:lvlText w:val="%1、"/>
      <w:lvlJc w:val="left"/>
    </w:lvl>
  </w:abstractNum>
  <w:abstractNum w:abstractNumId="3">
    <w:nsid w:val="F9FB1115"/>
    <w:multiLevelType w:val="singleLevel"/>
    <w:tmpl w:val="F9FB1115"/>
    <w:lvl w:ilvl="0" w:tentative="0">
      <w:start w:val="3"/>
      <w:numFmt w:val="decimal"/>
      <w:lvlText w:val="%1."/>
      <w:lvlJc w:val="left"/>
      <w:pPr>
        <w:tabs>
          <w:tab w:val="left" w:pos="312"/>
        </w:tabs>
      </w:pPr>
    </w:lvl>
  </w:abstractNum>
  <w:abstractNum w:abstractNumId="4">
    <w:nsid w:val="0000001C"/>
    <w:multiLevelType w:val="multilevel"/>
    <w:tmpl w:val="0000001C"/>
    <w:lvl w:ilvl="0" w:tentative="0">
      <w:start w:val="1"/>
      <w:numFmt w:val="chineseCountingThousand"/>
      <w:lvlText w:val="第%1章"/>
      <w:lvlJc w:val="left"/>
      <w:rPr>
        <w:rFonts w:hint="eastAsia" w:ascii="长城楷体" w:eastAsia="长城楷体"/>
        <w:b/>
        <w:i w:val="0"/>
        <w:sz w:val="30"/>
        <w:u w:val="none"/>
      </w:rPr>
    </w:lvl>
    <w:lvl w:ilvl="1" w:tentative="0">
      <w:start w:val="1"/>
      <w:numFmt w:val="chineseCountingThousand"/>
      <w:lvlText w:val="%2、"/>
      <w:lvlJc w:val="left"/>
      <w:rPr>
        <w:rFonts w:hint="eastAsia" w:ascii="长城楷体" w:eastAsia="长城楷体"/>
        <w:b/>
        <w:i w:val="0"/>
        <w:sz w:val="24"/>
      </w:rPr>
    </w:lvl>
    <w:lvl w:ilvl="2" w:tentative="0">
      <w:start w:val="1"/>
      <w:numFmt w:val="chineseCountingThousand"/>
      <w:lvlText w:val="(%3)"/>
      <w:lvlJc w:val="left"/>
      <w:rPr>
        <w:rFonts w:hint="eastAsia" w:ascii="长城楷体" w:eastAsia="长城楷体"/>
        <w:b/>
        <w:i w:val="0"/>
        <w:sz w:val="24"/>
      </w:rPr>
    </w:lvl>
    <w:lvl w:ilvl="3" w:tentative="0">
      <w:start w:val="1"/>
      <w:numFmt w:val="none"/>
      <w:pStyle w:val="5"/>
      <w:suff w:val="nothing"/>
      <w:lvlText w:val=""/>
      <w:lvlJc w:val="left"/>
    </w:lvl>
    <w:lvl w:ilvl="4" w:tentative="0">
      <w:start w:val="1"/>
      <w:numFmt w:val="none"/>
      <w:suff w:val="nothing"/>
      <w:lvlText w:val=""/>
      <w:lvlJc w:val="left"/>
    </w:lvl>
    <w:lvl w:ilvl="5" w:tentative="0">
      <w:start w:val="1"/>
      <w:numFmt w:val="none"/>
      <w:suff w:val="nothing"/>
      <w:lvlText w:val=""/>
      <w:lvlJc w:val="left"/>
    </w:lvl>
    <w:lvl w:ilvl="6" w:tentative="0">
      <w:start w:val="1"/>
      <w:numFmt w:val="none"/>
      <w:suff w:val="nothing"/>
      <w:lvlText w:val=""/>
      <w:lvlJc w:val="left"/>
    </w:lvl>
    <w:lvl w:ilvl="7" w:tentative="0">
      <w:start w:val="1"/>
      <w:numFmt w:val="none"/>
      <w:suff w:val="nothing"/>
      <w:lvlText w:val=""/>
      <w:lvlJc w:val="left"/>
    </w:lvl>
    <w:lvl w:ilvl="8" w:tentative="0">
      <w:start w:val="1"/>
      <w:numFmt w:val="none"/>
      <w:suff w:val="nothing"/>
      <w:lvlText w:val=""/>
      <w:lvlJc w:val="left"/>
    </w:lvl>
  </w:abstractNum>
  <w:abstractNum w:abstractNumId="5">
    <w:nsid w:val="2268EFF2"/>
    <w:multiLevelType w:val="singleLevel"/>
    <w:tmpl w:val="2268EFF2"/>
    <w:lvl w:ilvl="0" w:tentative="0">
      <w:start w:val="2"/>
      <w:numFmt w:val="decimal"/>
      <w:suff w:val="nothing"/>
      <w:lvlText w:val="（%1）"/>
      <w:lvlJc w:val="left"/>
    </w:lvl>
  </w:abstractNum>
  <w:abstractNum w:abstractNumId="6">
    <w:nsid w:val="37BF5954"/>
    <w:multiLevelType w:val="singleLevel"/>
    <w:tmpl w:val="37BF5954"/>
    <w:lvl w:ilvl="0" w:tentative="0">
      <w:start w:val="2"/>
      <w:numFmt w:val="decimal"/>
      <w:lvlText w:val="%1."/>
      <w:lvlJc w:val="left"/>
      <w:pPr>
        <w:tabs>
          <w:tab w:val="left" w:pos="312"/>
        </w:tabs>
      </w:pPr>
    </w:lvl>
  </w:abstractNum>
  <w:abstractNum w:abstractNumId="7">
    <w:nsid w:val="56EBCE5A"/>
    <w:multiLevelType w:val="singleLevel"/>
    <w:tmpl w:val="56EBCE5A"/>
    <w:lvl w:ilvl="0" w:tentative="0">
      <w:start w:val="2"/>
      <w:numFmt w:val="decimal"/>
      <w:suff w:val="nothing"/>
      <w:lvlText w:val="%1、"/>
      <w:lvlJc w:val="left"/>
    </w:lvl>
  </w:abstractNum>
  <w:abstractNum w:abstractNumId="8">
    <w:nsid w:val="6BC9341C"/>
    <w:multiLevelType w:val="singleLevel"/>
    <w:tmpl w:val="6BC9341C"/>
    <w:lvl w:ilvl="0" w:tentative="0">
      <w:start w:val="2"/>
      <w:numFmt w:val="decimal"/>
      <w:suff w:val="nothing"/>
      <w:lvlText w:val="（%1）"/>
      <w:lvlJc w:val="left"/>
    </w:lvl>
  </w:abstractNum>
  <w:num w:numId="1">
    <w:abstractNumId w:val="4"/>
  </w:num>
  <w:num w:numId="2">
    <w:abstractNumId w:val="2"/>
  </w:num>
  <w:num w:numId="3">
    <w:abstractNumId w:val="5"/>
  </w:num>
  <w:num w:numId="4">
    <w:abstractNumId w:val="6"/>
  </w:num>
  <w:num w:numId="5">
    <w:abstractNumId w:val="7"/>
  </w:num>
  <w:num w:numId="6">
    <w:abstractNumId w:val="8"/>
  </w:num>
  <w:num w:numId="7">
    <w:abstractNumId w:val="0"/>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val="1"/>
  <w:embedSystemFonts/>
  <w:bordersDoNotSurroundHeader w:val="1"/>
  <w:bordersDoNotSurroundFooter w:val="1"/>
  <w:hideSpellingErrors/>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6F5"/>
    <w:rsid w:val="00023ED1"/>
    <w:rsid w:val="00035327"/>
    <w:rsid w:val="00065468"/>
    <w:rsid w:val="00085BDF"/>
    <w:rsid w:val="0008708B"/>
    <w:rsid w:val="000A305D"/>
    <w:rsid w:val="000C0234"/>
    <w:rsid w:val="000C247B"/>
    <w:rsid w:val="000F7E87"/>
    <w:rsid w:val="001925DE"/>
    <w:rsid w:val="001A2E72"/>
    <w:rsid w:val="001D2CE4"/>
    <w:rsid w:val="001E0A5C"/>
    <w:rsid w:val="001F3A3E"/>
    <w:rsid w:val="00203420"/>
    <w:rsid w:val="00205A16"/>
    <w:rsid w:val="00255799"/>
    <w:rsid w:val="00262C85"/>
    <w:rsid w:val="00264EBA"/>
    <w:rsid w:val="00266042"/>
    <w:rsid w:val="00275E36"/>
    <w:rsid w:val="00280FC4"/>
    <w:rsid w:val="00296914"/>
    <w:rsid w:val="002F7CB8"/>
    <w:rsid w:val="00317D75"/>
    <w:rsid w:val="00325816"/>
    <w:rsid w:val="00331455"/>
    <w:rsid w:val="00361A0F"/>
    <w:rsid w:val="00361F17"/>
    <w:rsid w:val="00373078"/>
    <w:rsid w:val="00385362"/>
    <w:rsid w:val="0039572A"/>
    <w:rsid w:val="00397964"/>
    <w:rsid w:val="003B2655"/>
    <w:rsid w:val="003C19B2"/>
    <w:rsid w:val="003C6755"/>
    <w:rsid w:val="003E085A"/>
    <w:rsid w:val="003E44C8"/>
    <w:rsid w:val="00412011"/>
    <w:rsid w:val="004209CB"/>
    <w:rsid w:val="00420DFE"/>
    <w:rsid w:val="00440E2B"/>
    <w:rsid w:val="00440E98"/>
    <w:rsid w:val="0044284D"/>
    <w:rsid w:val="00472973"/>
    <w:rsid w:val="0047654B"/>
    <w:rsid w:val="004A6B58"/>
    <w:rsid w:val="004B19AC"/>
    <w:rsid w:val="004D1C46"/>
    <w:rsid w:val="00500D5F"/>
    <w:rsid w:val="005038E4"/>
    <w:rsid w:val="005104A2"/>
    <w:rsid w:val="005110D3"/>
    <w:rsid w:val="00516E86"/>
    <w:rsid w:val="00522751"/>
    <w:rsid w:val="005423D1"/>
    <w:rsid w:val="00596470"/>
    <w:rsid w:val="005A2721"/>
    <w:rsid w:val="005A4DAB"/>
    <w:rsid w:val="005B0B97"/>
    <w:rsid w:val="005B39F2"/>
    <w:rsid w:val="005C09FD"/>
    <w:rsid w:val="00642E6A"/>
    <w:rsid w:val="00643954"/>
    <w:rsid w:val="00650A67"/>
    <w:rsid w:val="006C3179"/>
    <w:rsid w:val="006D6EBC"/>
    <w:rsid w:val="006E1113"/>
    <w:rsid w:val="006F450E"/>
    <w:rsid w:val="00704DCC"/>
    <w:rsid w:val="00705861"/>
    <w:rsid w:val="00705C4C"/>
    <w:rsid w:val="00711640"/>
    <w:rsid w:val="00716C92"/>
    <w:rsid w:val="007316D6"/>
    <w:rsid w:val="00743EE8"/>
    <w:rsid w:val="00786765"/>
    <w:rsid w:val="007909DC"/>
    <w:rsid w:val="007F6306"/>
    <w:rsid w:val="008075D3"/>
    <w:rsid w:val="00817FBA"/>
    <w:rsid w:val="00835E7F"/>
    <w:rsid w:val="00853D6C"/>
    <w:rsid w:val="00855F46"/>
    <w:rsid w:val="0086344B"/>
    <w:rsid w:val="00866BEC"/>
    <w:rsid w:val="008677A2"/>
    <w:rsid w:val="008758BF"/>
    <w:rsid w:val="008808B5"/>
    <w:rsid w:val="008C7738"/>
    <w:rsid w:val="008D2C4D"/>
    <w:rsid w:val="008E66E6"/>
    <w:rsid w:val="008F19F0"/>
    <w:rsid w:val="008F530A"/>
    <w:rsid w:val="00943F90"/>
    <w:rsid w:val="00957009"/>
    <w:rsid w:val="00967B45"/>
    <w:rsid w:val="009804F5"/>
    <w:rsid w:val="00981F8F"/>
    <w:rsid w:val="00996782"/>
    <w:rsid w:val="009B4315"/>
    <w:rsid w:val="009C0FBF"/>
    <w:rsid w:val="009C119C"/>
    <w:rsid w:val="009D43FA"/>
    <w:rsid w:val="009E7266"/>
    <w:rsid w:val="00A00AAC"/>
    <w:rsid w:val="00A14226"/>
    <w:rsid w:val="00A3026B"/>
    <w:rsid w:val="00A57253"/>
    <w:rsid w:val="00A61EED"/>
    <w:rsid w:val="00A6619E"/>
    <w:rsid w:val="00A71336"/>
    <w:rsid w:val="00A74FAC"/>
    <w:rsid w:val="00A802E6"/>
    <w:rsid w:val="00A86297"/>
    <w:rsid w:val="00AA404E"/>
    <w:rsid w:val="00AB161F"/>
    <w:rsid w:val="00AC7A9D"/>
    <w:rsid w:val="00AE028A"/>
    <w:rsid w:val="00AE1BF6"/>
    <w:rsid w:val="00B12B35"/>
    <w:rsid w:val="00B71B97"/>
    <w:rsid w:val="00BA791A"/>
    <w:rsid w:val="00BD1B0F"/>
    <w:rsid w:val="00BE12E0"/>
    <w:rsid w:val="00BE6C55"/>
    <w:rsid w:val="00C01305"/>
    <w:rsid w:val="00C24A0C"/>
    <w:rsid w:val="00C44FB4"/>
    <w:rsid w:val="00C703A6"/>
    <w:rsid w:val="00C735DE"/>
    <w:rsid w:val="00C931B6"/>
    <w:rsid w:val="00C96A84"/>
    <w:rsid w:val="00CA53D9"/>
    <w:rsid w:val="00CC488A"/>
    <w:rsid w:val="00CE5105"/>
    <w:rsid w:val="00CE648D"/>
    <w:rsid w:val="00D2118C"/>
    <w:rsid w:val="00D30554"/>
    <w:rsid w:val="00D35055"/>
    <w:rsid w:val="00D4524F"/>
    <w:rsid w:val="00D52D23"/>
    <w:rsid w:val="00D739B9"/>
    <w:rsid w:val="00D75B89"/>
    <w:rsid w:val="00DA0FE5"/>
    <w:rsid w:val="00DA636E"/>
    <w:rsid w:val="00DC1088"/>
    <w:rsid w:val="00DC5E0D"/>
    <w:rsid w:val="00E1011B"/>
    <w:rsid w:val="00E31CC2"/>
    <w:rsid w:val="00E46681"/>
    <w:rsid w:val="00E55386"/>
    <w:rsid w:val="00E859CF"/>
    <w:rsid w:val="00EA36F5"/>
    <w:rsid w:val="00EA7A9A"/>
    <w:rsid w:val="00EB1739"/>
    <w:rsid w:val="00EF2044"/>
    <w:rsid w:val="00EF6158"/>
    <w:rsid w:val="00F03855"/>
    <w:rsid w:val="00F05323"/>
    <w:rsid w:val="00F112BE"/>
    <w:rsid w:val="00F27999"/>
    <w:rsid w:val="00F40D35"/>
    <w:rsid w:val="00F447B0"/>
    <w:rsid w:val="00F450D5"/>
    <w:rsid w:val="00F61E2E"/>
    <w:rsid w:val="00F70B56"/>
    <w:rsid w:val="00F72B89"/>
    <w:rsid w:val="00F90A5D"/>
    <w:rsid w:val="00FC1E88"/>
    <w:rsid w:val="00FC527F"/>
    <w:rsid w:val="0181025D"/>
    <w:rsid w:val="01BA7B21"/>
    <w:rsid w:val="01C134A9"/>
    <w:rsid w:val="02952139"/>
    <w:rsid w:val="02B35C24"/>
    <w:rsid w:val="02BB6AA6"/>
    <w:rsid w:val="02E91194"/>
    <w:rsid w:val="02F106BA"/>
    <w:rsid w:val="02FC2BD8"/>
    <w:rsid w:val="02FE4E18"/>
    <w:rsid w:val="03713007"/>
    <w:rsid w:val="03934031"/>
    <w:rsid w:val="039F7911"/>
    <w:rsid w:val="04054470"/>
    <w:rsid w:val="04C02B40"/>
    <w:rsid w:val="055F7A25"/>
    <w:rsid w:val="059550C8"/>
    <w:rsid w:val="05AB5DEE"/>
    <w:rsid w:val="05FF1210"/>
    <w:rsid w:val="06063764"/>
    <w:rsid w:val="07207678"/>
    <w:rsid w:val="07735CE3"/>
    <w:rsid w:val="084E266D"/>
    <w:rsid w:val="086B4F92"/>
    <w:rsid w:val="08C15297"/>
    <w:rsid w:val="09202B11"/>
    <w:rsid w:val="09250D6E"/>
    <w:rsid w:val="09540979"/>
    <w:rsid w:val="09FF66E3"/>
    <w:rsid w:val="0A5F03B6"/>
    <w:rsid w:val="0A7C1210"/>
    <w:rsid w:val="0A84380C"/>
    <w:rsid w:val="0AF425E2"/>
    <w:rsid w:val="0B465C84"/>
    <w:rsid w:val="0B507A6A"/>
    <w:rsid w:val="0B952EFB"/>
    <w:rsid w:val="0BFF13F6"/>
    <w:rsid w:val="0C5E13D3"/>
    <w:rsid w:val="0C8B6FBD"/>
    <w:rsid w:val="0C9C6152"/>
    <w:rsid w:val="0DAD470F"/>
    <w:rsid w:val="0EE825E6"/>
    <w:rsid w:val="0F261FA5"/>
    <w:rsid w:val="0FE77A7E"/>
    <w:rsid w:val="10023EEF"/>
    <w:rsid w:val="103C33D9"/>
    <w:rsid w:val="10555F07"/>
    <w:rsid w:val="105B20CA"/>
    <w:rsid w:val="10AF13B5"/>
    <w:rsid w:val="10C44966"/>
    <w:rsid w:val="10D46888"/>
    <w:rsid w:val="11896216"/>
    <w:rsid w:val="11B048D4"/>
    <w:rsid w:val="123536A2"/>
    <w:rsid w:val="1287134E"/>
    <w:rsid w:val="13651504"/>
    <w:rsid w:val="13D1680A"/>
    <w:rsid w:val="13F16C29"/>
    <w:rsid w:val="14557EDC"/>
    <w:rsid w:val="14580057"/>
    <w:rsid w:val="147454D2"/>
    <w:rsid w:val="147F6804"/>
    <w:rsid w:val="15511D67"/>
    <w:rsid w:val="155900F0"/>
    <w:rsid w:val="15BC0E31"/>
    <w:rsid w:val="164C11A8"/>
    <w:rsid w:val="168D6C77"/>
    <w:rsid w:val="17682BBD"/>
    <w:rsid w:val="17F751E8"/>
    <w:rsid w:val="17F87314"/>
    <w:rsid w:val="184540C4"/>
    <w:rsid w:val="187318CA"/>
    <w:rsid w:val="188871B9"/>
    <w:rsid w:val="18C25E2A"/>
    <w:rsid w:val="18DC6C47"/>
    <w:rsid w:val="19357203"/>
    <w:rsid w:val="19CF2CE4"/>
    <w:rsid w:val="19E64138"/>
    <w:rsid w:val="1A456692"/>
    <w:rsid w:val="1A4C4893"/>
    <w:rsid w:val="1A514639"/>
    <w:rsid w:val="1A5E0EFA"/>
    <w:rsid w:val="1A866DE8"/>
    <w:rsid w:val="1ACB0C58"/>
    <w:rsid w:val="1AFE2FC3"/>
    <w:rsid w:val="1B125877"/>
    <w:rsid w:val="1B1E7F0E"/>
    <w:rsid w:val="1B7959A1"/>
    <w:rsid w:val="1BAE0079"/>
    <w:rsid w:val="1C4E7BA5"/>
    <w:rsid w:val="1C7D3885"/>
    <w:rsid w:val="1C8638A0"/>
    <w:rsid w:val="1D1565FB"/>
    <w:rsid w:val="1D3D5E84"/>
    <w:rsid w:val="1D412CF0"/>
    <w:rsid w:val="1D4A3E65"/>
    <w:rsid w:val="1D67438B"/>
    <w:rsid w:val="1DD23C3C"/>
    <w:rsid w:val="1DDD1E9D"/>
    <w:rsid w:val="1E0323E8"/>
    <w:rsid w:val="1E555592"/>
    <w:rsid w:val="1EAE4D41"/>
    <w:rsid w:val="1ED13702"/>
    <w:rsid w:val="1F18543E"/>
    <w:rsid w:val="1F61424D"/>
    <w:rsid w:val="1FC05187"/>
    <w:rsid w:val="201D5117"/>
    <w:rsid w:val="20317E5D"/>
    <w:rsid w:val="20362D8F"/>
    <w:rsid w:val="20615FCF"/>
    <w:rsid w:val="208D5E48"/>
    <w:rsid w:val="214F2B2D"/>
    <w:rsid w:val="21514E07"/>
    <w:rsid w:val="216506F2"/>
    <w:rsid w:val="21761E5B"/>
    <w:rsid w:val="21E74AB1"/>
    <w:rsid w:val="223549CC"/>
    <w:rsid w:val="22595DB3"/>
    <w:rsid w:val="228419CC"/>
    <w:rsid w:val="228746DE"/>
    <w:rsid w:val="235F3B97"/>
    <w:rsid w:val="244018C9"/>
    <w:rsid w:val="24972652"/>
    <w:rsid w:val="24A4260F"/>
    <w:rsid w:val="2514010A"/>
    <w:rsid w:val="2518692D"/>
    <w:rsid w:val="251E3285"/>
    <w:rsid w:val="25B123E9"/>
    <w:rsid w:val="26296E30"/>
    <w:rsid w:val="262C3B85"/>
    <w:rsid w:val="275A394F"/>
    <w:rsid w:val="27B34E84"/>
    <w:rsid w:val="2813799E"/>
    <w:rsid w:val="28571E0F"/>
    <w:rsid w:val="286B49F3"/>
    <w:rsid w:val="28765A3D"/>
    <w:rsid w:val="28973D95"/>
    <w:rsid w:val="29A1537F"/>
    <w:rsid w:val="29E24D3A"/>
    <w:rsid w:val="29F605B0"/>
    <w:rsid w:val="2AB3303F"/>
    <w:rsid w:val="2B5B7C9F"/>
    <w:rsid w:val="2C6C35B2"/>
    <w:rsid w:val="2C9311FD"/>
    <w:rsid w:val="2CE2207D"/>
    <w:rsid w:val="2E05545B"/>
    <w:rsid w:val="2E8B188C"/>
    <w:rsid w:val="2EBD709B"/>
    <w:rsid w:val="2EC45A8A"/>
    <w:rsid w:val="2ED2026D"/>
    <w:rsid w:val="2F1334BC"/>
    <w:rsid w:val="2F1F5F0E"/>
    <w:rsid w:val="2FE1646D"/>
    <w:rsid w:val="30AF45C8"/>
    <w:rsid w:val="30D936E1"/>
    <w:rsid w:val="31C91BA5"/>
    <w:rsid w:val="31FC6D00"/>
    <w:rsid w:val="323364DD"/>
    <w:rsid w:val="328B038E"/>
    <w:rsid w:val="32FA166D"/>
    <w:rsid w:val="33460B87"/>
    <w:rsid w:val="334B7F0F"/>
    <w:rsid w:val="334C5CED"/>
    <w:rsid w:val="336F7CFF"/>
    <w:rsid w:val="33982DEC"/>
    <w:rsid w:val="33C32370"/>
    <w:rsid w:val="340B70DF"/>
    <w:rsid w:val="340F1D01"/>
    <w:rsid w:val="34397190"/>
    <w:rsid w:val="344F0823"/>
    <w:rsid w:val="347E0E8F"/>
    <w:rsid w:val="3487398F"/>
    <w:rsid w:val="34F9035F"/>
    <w:rsid w:val="351341BD"/>
    <w:rsid w:val="355575F0"/>
    <w:rsid w:val="358E7DEF"/>
    <w:rsid w:val="35C40EDC"/>
    <w:rsid w:val="35DC5E62"/>
    <w:rsid w:val="35F714A3"/>
    <w:rsid w:val="360C4BC5"/>
    <w:rsid w:val="366F7ABB"/>
    <w:rsid w:val="371F179A"/>
    <w:rsid w:val="375610D2"/>
    <w:rsid w:val="3790032D"/>
    <w:rsid w:val="37971296"/>
    <w:rsid w:val="37B35256"/>
    <w:rsid w:val="37FB3839"/>
    <w:rsid w:val="38432467"/>
    <w:rsid w:val="38653415"/>
    <w:rsid w:val="38A473E3"/>
    <w:rsid w:val="392F2148"/>
    <w:rsid w:val="393160AA"/>
    <w:rsid w:val="3A2461AC"/>
    <w:rsid w:val="3B3916A7"/>
    <w:rsid w:val="3B444098"/>
    <w:rsid w:val="3B563969"/>
    <w:rsid w:val="3B715122"/>
    <w:rsid w:val="3BFD368E"/>
    <w:rsid w:val="3C2D02FA"/>
    <w:rsid w:val="3C3D1B14"/>
    <w:rsid w:val="3CE65EDF"/>
    <w:rsid w:val="3D764ECD"/>
    <w:rsid w:val="3DC45541"/>
    <w:rsid w:val="3E7D5550"/>
    <w:rsid w:val="3EC42C9F"/>
    <w:rsid w:val="3F8821B0"/>
    <w:rsid w:val="3F911E5E"/>
    <w:rsid w:val="401835A6"/>
    <w:rsid w:val="404E7C5E"/>
    <w:rsid w:val="40745BED"/>
    <w:rsid w:val="40D017E6"/>
    <w:rsid w:val="41200E99"/>
    <w:rsid w:val="420A6CF3"/>
    <w:rsid w:val="42F50068"/>
    <w:rsid w:val="42FC4762"/>
    <w:rsid w:val="43563BF4"/>
    <w:rsid w:val="4370731A"/>
    <w:rsid w:val="43931B9E"/>
    <w:rsid w:val="43A436A6"/>
    <w:rsid w:val="441225E2"/>
    <w:rsid w:val="442A2E22"/>
    <w:rsid w:val="445F31F0"/>
    <w:rsid w:val="44F866A4"/>
    <w:rsid w:val="451C5069"/>
    <w:rsid w:val="459C669C"/>
    <w:rsid w:val="45B5746B"/>
    <w:rsid w:val="45C35555"/>
    <w:rsid w:val="45DA3CF0"/>
    <w:rsid w:val="46927BE7"/>
    <w:rsid w:val="469938E0"/>
    <w:rsid w:val="46AE2942"/>
    <w:rsid w:val="46BB0CBF"/>
    <w:rsid w:val="46F92E5C"/>
    <w:rsid w:val="47096D3D"/>
    <w:rsid w:val="471B0B02"/>
    <w:rsid w:val="47280626"/>
    <w:rsid w:val="478A5BC5"/>
    <w:rsid w:val="47B145F3"/>
    <w:rsid w:val="47C611EE"/>
    <w:rsid w:val="487512A5"/>
    <w:rsid w:val="48A77801"/>
    <w:rsid w:val="48CE5653"/>
    <w:rsid w:val="493F206E"/>
    <w:rsid w:val="49603840"/>
    <w:rsid w:val="49D57850"/>
    <w:rsid w:val="4A06787B"/>
    <w:rsid w:val="4A44135A"/>
    <w:rsid w:val="4AE75970"/>
    <w:rsid w:val="4B9C6B8C"/>
    <w:rsid w:val="4BA111A7"/>
    <w:rsid w:val="4C667A3D"/>
    <w:rsid w:val="4CCD489B"/>
    <w:rsid w:val="4D5728D6"/>
    <w:rsid w:val="4DD31D47"/>
    <w:rsid w:val="4DF55A3F"/>
    <w:rsid w:val="4E0310AF"/>
    <w:rsid w:val="4E3D602A"/>
    <w:rsid w:val="4E801336"/>
    <w:rsid w:val="4EB63956"/>
    <w:rsid w:val="4FCB6227"/>
    <w:rsid w:val="4FCC299E"/>
    <w:rsid w:val="4FFC42B6"/>
    <w:rsid w:val="50A77952"/>
    <w:rsid w:val="50A95B51"/>
    <w:rsid w:val="50FA263C"/>
    <w:rsid w:val="514A7835"/>
    <w:rsid w:val="51650683"/>
    <w:rsid w:val="51DD3553"/>
    <w:rsid w:val="520147D5"/>
    <w:rsid w:val="520563DA"/>
    <w:rsid w:val="52A360B7"/>
    <w:rsid w:val="52AC6612"/>
    <w:rsid w:val="52E94E75"/>
    <w:rsid w:val="530B52AD"/>
    <w:rsid w:val="531F47F9"/>
    <w:rsid w:val="53891BD6"/>
    <w:rsid w:val="54CC211E"/>
    <w:rsid w:val="559B50D4"/>
    <w:rsid w:val="56555656"/>
    <w:rsid w:val="56705C71"/>
    <w:rsid w:val="56884A0A"/>
    <w:rsid w:val="56DB756F"/>
    <w:rsid w:val="56ED48AC"/>
    <w:rsid w:val="5744651D"/>
    <w:rsid w:val="575C75DC"/>
    <w:rsid w:val="576F58B3"/>
    <w:rsid w:val="578E7051"/>
    <w:rsid w:val="57C978D8"/>
    <w:rsid w:val="58146AF4"/>
    <w:rsid w:val="581B0D4D"/>
    <w:rsid w:val="58550D1D"/>
    <w:rsid w:val="58B20417"/>
    <w:rsid w:val="58C57E85"/>
    <w:rsid w:val="592C72FF"/>
    <w:rsid w:val="593E0F43"/>
    <w:rsid w:val="599261C0"/>
    <w:rsid w:val="59A25EFC"/>
    <w:rsid w:val="59FB59EA"/>
    <w:rsid w:val="5A17183F"/>
    <w:rsid w:val="5A5831A9"/>
    <w:rsid w:val="5A620404"/>
    <w:rsid w:val="5A9A0C54"/>
    <w:rsid w:val="5B027645"/>
    <w:rsid w:val="5B482B1B"/>
    <w:rsid w:val="5B632E1E"/>
    <w:rsid w:val="5BDF4BA2"/>
    <w:rsid w:val="5C725FA9"/>
    <w:rsid w:val="5CB20DB0"/>
    <w:rsid w:val="5CF8111D"/>
    <w:rsid w:val="5D1605E1"/>
    <w:rsid w:val="5D8A517C"/>
    <w:rsid w:val="5D8F0AC1"/>
    <w:rsid w:val="5DCB24A5"/>
    <w:rsid w:val="5E80010A"/>
    <w:rsid w:val="5EB72494"/>
    <w:rsid w:val="5EBE41DB"/>
    <w:rsid w:val="5F362D0D"/>
    <w:rsid w:val="5F842DD6"/>
    <w:rsid w:val="5FE75DD5"/>
    <w:rsid w:val="5FEE68E4"/>
    <w:rsid w:val="60565530"/>
    <w:rsid w:val="60981DB5"/>
    <w:rsid w:val="610E234F"/>
    <w:rsid w:val="6132700C"/>
    <w:rsid w:val="61B7047A"/>
    <w:rsid w:val="61DB2A0E"/>
    <w:rsid w:val="640A6B08"/>
    <w:rsid w:val="64187DB5"/>
    <w:rsid w:val="64A053D1"/>
    <w:rsid w:val="64DD1711"/>
    <w:rsid w:val="65186087"/>
    <w:rsid w:val="65431264"/>
    <w:rsid w:val="656A1ECC"/>
    <w:rsid w:val="656A3800"/>
    <w:rsid w:val="65703339"/>
    <w:rsid w:val="660F795A"/>
    <w:rsid w:val="6681163C"/>
    <w:rsid w:val="67431ADC"/>
    <w:rsid w:val="67BD5FF6"/>
    <w:rsid w:val="67E624A5"/>
    <w:rsid w:val="68D604DA"/>
    <w:rsid w:val="68DE5F6F"/>
    <w:rsid w:val="69064271"/>
    <w:rsid w:val="69086F9D"/>
    <w:rsid w:val="695E718F"/>
    <w:rsid w:val="6A460494"/>
    <w:rsid w:val="6A6A569B"/>
    <w:rsid w:val="6A6C053C"/>
    <w:rsid w:val="6ADB3959"/>
    <w:rsid w:val="6AF852F4"/>
    <w:rsid w:val="6B93529D"/>
    <w:rsid w:val="6C326883"/>
    <w:rsid w:val="6CCD25DB"/>
    <w:rsid w:val="6D2D6638"/>
    <w:rsid w:val="6D6C233E"/>
    <w:rsid w:val="6DC80794"/>
    <w:rsid w:val="6EC5659A"/>
    <w:rsid w:val="6EDD3592"/>
    <w:rsid w:val="6F000D13"/>
    <w:rsid w:val="6F196FB7"/>
    <w:rsid w:val="6F6D2F6E"/>
    <w:rsid w:val="6F985B19"/>
    <w:rsid w:val="6FDD7D09"/>
    <w:rsid w:val="70573AEB"/>
    <w:rsid w:val="708B722C"/>
    <w:rsid w:val="708F0BD0"/>
    <w:rsid w:val="71755211"/>
    <w:rsid w:val="737161A7"/>
    <w:rsid w:val="739503BA"/>
    <w:rsid w:val="73C06F1E"/>
    <w:rsid w:val="73DF0028"/>
    <w:rsid w:val="73FC58F0"/>
    <w:rsid w:val="7426524C"/>
    <w:rsid w:val="74565685"/>
    <w:rsid w:val="75A35D38"/>
    <w:rsid w:val="7616270D"/>
    <w:rsid w:val="769827A3"/>
    <w:rsid w:val="76C00319"/>
    <w:rsid w:val="778D4E03"/>
    <w:rsid w:val="77F72EE8"/>
    <w:rsid w:val="783D7087"/>
    <w:rsid w:val="784C0AA0"/>
    <w:rsid w:val="78B67AC5"/>
    <w:rsid w:val="791C44D5"/>
    <w:rsid w:val="79A97D2D"/>
    <w:rsid w:val="7A23731C"/>
    <w:rsid w:val="7A2D3225"/>
    <w:rsid w:val="7A4919F9"/>
    <w:rsid w:val="7AB66511"/>
    <w:rsid w:val="7B27561C"/>
    <w:rsid w:val="7B60105B"/>
    <w:rsid w:val="7BD76EEA"/>
    <w:rsid w:val="7C0C31E6"/>
    <w:rsid w:val="7CA57F80"/>
    <w:rsid w:val="7CD62DB0"/>
    <w:rsid w:val="7D816FE5"/>
    <w:rsid w:val="7DA13E52"/>
    <w:rsid w:val="7DA42098"/>
    <w:rsid w:val="7E354EB6"/>
    <w:rsid w:val="7E3816E7"/>
    <w:rsid w:val="7E797C42"/>
    <w:rsid w:val="7F261066"/>
    <w:rsid w:val="7F2C35AA"/>
    <w:rsid w:val="7FE4582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32"/>
    <w:qFormat/>
    <w:uiPriority w:val="0"/>
    <w:pPr>
      <w:keepNext/>
      <w:keepLines/>
      <w:spacing w:before="340" w:after="330" w:line="576" w:lineRule="auto"/>
      <w:outlineLvl w:val="0"/>
    </w:pPr>
    <w:rPr>
      <w:b/>
      <w:kern w:val="44"/>
      <w:sz w:val="44"/>
    </w:rPr>
  </w:style>
  <w:style w:type="paragraph" w:styleId="4">
    <w:name w:val="heading 2"/>
    <w:basedOn w:val="1"/>
    <w:next w:val="1"/>
    <w:link w:val="4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2">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numPr>
        <w:ilvl w:val="3"/>
        <w:numId w:val="1"/>
      </w:numPr>
      <w:adjustRightInd w:val="0"/>
      <w:spacing w:line="376" w:lineRule="atLeast"/>
      <w:ind w:left="397"/>
      <w:jc w:val="left"/>
      <w:textAlignment w:val="baseline"/>
      <w:outlineLvl w:val="3"/>
    </w:pPr>
    <w:rPr>
      <w:rFonts w:ascii="Arial" w:hAnsi="Arial" w:eastAsia="黑体"/>
      <w:b/>
      <w:kern w:val="0"/>
      <w:sz w:val="24"/>
      <w:szCs w:val="20"/>
    </w:rPr>
  </w:style>
  <w:style w:type="character" w:default="1" w:styleId="19">
    <w:name w:val="Default Paragraph Font"/>
    <w:semiHidden/>
    <w:unhideWhenUsed/>
    <w:qFormat/>
    <w:uiPriority w:val="1"/>
  </w:style>
  <w:style w:type="table" w:default="1" w:styleId="22">
    <w:name w:val="Normal Table"/>
    <w:semiHidden/>
    <w:unhideWhenUsed/>
    <w:qFormat/>
    <w:uiPriority w:val="99"/>
    <w:tblPr>
      <w:tblLayout w:type="fixed"/>
      <w:tblCellMar>
        <w:top w:w="0" w:type="dxa"/>
        <w:left w:w="108" w:type="dxa"/>
        <w:bottom w:w="0" w:type="dxa"/>
        <w:right w:w="108" w:type="dxa"/>
      </w:tblCellMar>
    </w:tblPr>
  </w:style>
  <w:style w:type="paragraph" w:styleId="6">
    <w:name w:val="annotation subject"/>
    <w:basedOn w:val="7"/>
    <w:next w:val="7"/>
    <w:link w:val="47"/>
    <w:qFormat/>
    <w:uiPriority w:val="0"/>
    <w:rPr>
      <w:b/>
      <w:bCs/>
    </w:rPr>
  </w:style>
  <w:style w:type="paragraph" w:styleId="7">
    <w:name w:val="annotation text"/>
    <w:basedOn w:val="1"/>
    <w:link w:val="45"/>
    <w:qFormat/>
    <w:uiPriority w:val="0"/>
    <w:pPr>
      <w:jc w:val="left"/>
    </w:pPr>
  </w:style>
  <w:style w:type="paragraph" w:styleId="8">
    <w:name w:val="Normal Indent"/>
    <w:basedOn w:val="1"/>
    <w:qFormat/>
    <w:uiPriority w:val="0"/>
    <w:pPr>
      <w:ind w:firstLine="420"/>
    </w:pPr>
  </w:style>
  <w:style w:type="paragraph" w:styleId="9">
    <w:name w:val="Document Map"/>
    <w:basedOn w:val="1"/>
    <w:link w:val="49"/>
    <w:qFormat/>
    <w:uiPriority w:val="0"/>
    <w:rPr>
      <w:rFonts w:ascii="宋体" w:eastAsia="宋体"/>
      <w:sz w:val="18"/>
      <w:szCs w:val="18"/>
    </w:rPr>
  </w:style>
  <w:style w:type="paragraph" w:styleId="10">
    <w:name w:val="Body Text"/>
    <w:basedOn w:val="1"/>
    <w:link w:val="46"/>
    <w:qFormat/>
    <w:uiPriority w:val="0"/>
    <w:pPr>
      <w:jc w:val="left"/>
    </w:pPr>
    <w:rPr>
      <w:sz w:val="32"/>
    </w:rPr>
  </w:style>
  <w:style w:type="paragraph" w:styleId="11">
    <w:name w:val="Body Text Indent 2"/>
    <w:basedOn w:val="1"/>
    <w:qFormat/>
    <w:uiPriority w:val="0"/>
    <w:pPr>
      <w:widowControl/>
      <w:ind w:firstLine="430"/>
      <w:jc w:val="left"/>
    </w:pPr>
    <w:rPr>
      <w:kern w:val="0"/>
    </w:rPr>
  </w:style>
  <w:style w:type="paragraph" w:styleId="12">
    <w:name w:val="Balloon Text"/>
    <w:basedOn w:val="1"/>
    <w:link w:val="28"/>
    <w:qFormat/>
    <w:uiPriority w:val="0"/>
    <w:rPr>
      <w:sz w:val="18"/>
      <w:szCs w:val="18"/>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link w:val="27"/>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0"/>
  </w:style>
  <w:style w:type="paragraph" w:styleId="16">
    <w:name w:val="Body Text Indent 3"/>
    <w:basedOn w:val="1"/>
    <w:qFormat/>
    <w:uiPriority w:val="0"/>
    <w:pPr>
      <w:spacing w:after="120"/>
      <w:ind w:left="420" w:leftChars="200"/>
    </w:pPr>
    <w:rPr>
      <w:sz w:val="16"/>
      <w:szCs w:val="16"/>
    </w:rPr>
  </w:style>
  <w:style w:type="paragraph" w:styleId="17">
    <w:name w:val="toc 2"/>
    <w:basedOn w:val="1"/>
    <w:next w:val="1"/>
    <w:qFormat/>
    <w:uiPriority w:val="0"/>
    <w:pPr>
      <w:ind w:left="420" w:leftChars="200"/>
    </w:pPr>
  </w:style>
  <w:style w:type="paragraph" w:styleId="18">
    <w:name w:val="Normal (Web)"/>
    <w:basedOn w:val="1"/>
    <w:qFormat/>
    <w:uiPriority w:val="99"/>
    <w:pPr>
      <w:widowControl/>
      <w:spacing w:before="100" w:beforeAutospacing="1" w:after="100" w:afterAutospacing="1"/>
      <w:jc w:val="left"/>
    </w:pPr>
    <w:rPr>
      <w:rFonts w:ascii="宋体" w:hAnsi="宋体" w:eastAsia="宋体" w:cs="Times New Roman"/>
      <w:kern w:val="0"/>
      <w:szCs w:val="20"/>
    </w:rPr>
  </w:style>
  <w:style w:type="character" w:styleId="20">
    <w:name w:val="Hyperlink"/>
    <w:basedOn w:val="19"/>
    <w:unhideWhenUsed/>
    <w:qFormat/>
    <w:uiPriority w:val="99"/>
    <w:rPr>
      <w:color w:val="0000FF"/>
      <w:u w:val="single"/>
    </w:rPr>
  </w:style>
  <w:style w:type="character" w:styleId="21">
    <w:name w:val="annotation reference"/>
    <w:basedOn w:val="19"/>
    <w:qFormat/>
    <w:uiPriority w:val="0"/>
    <w:rPr>
      <w:sz w:val="21"/>
      <w:szCs w:val="21"/>
    </w:rPr>
  </w:style>
  <w:style w:type="table" w:styleId="23">
    <w:name w:val="Table Grid"/>
    <w:basedOn w:val="2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4">
    <w:name w:val="Default"/>
    <w:next w:val="1"/>
    <w:link w:val="5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5">
    <w:name w:val="WPSOffice手动目录 1"/>
    <w:qFormat/>
    <w:uiPriority w:val="0"/>
    <w:rPr>
      <w:rFonts w:ascii="Times New Roman" w:hAnsi="Times New Roman" w:eastAsia="宋体" w:cs="Times New Roman"/>
      <w:lang w:val="en-US" w:eastAsia="zh-CN" w:bidi="ar-SA"/>
    </w:rPr>
  </w:style>
  <w:style w:type="paragraph" w:customStyle="1" w:styleId="26">
    <w:name w:val="表 内容"/>
    <w:basedOn w:val="1"/>
    <w:qFormat/>
    <w:uiPriority w:val="0"/>
    <w:pPr>
      <w:adjustRightInd w:val="0"/>
      <w:snapToGrid w:val="0"/>
      <w:spacing w:beforeLines="15" w:afterLines="15"/>
      <w:jc w:val="center"/>
    </w:pPr>
    <w:rPr>
      <w:b/>
      <w:sz w:val="24"/>
      <w:szCs w:val="21"/>
    </w:rPr>
  </w:style>
  <w:style w:type="character" w:customStyle="1" w:styleId="27">
    <w:name w:val="页眉 字符"/>
    <w:basedOn w:val="19"/>
    <w:link w:val="14"/>
    <w:qFormat/>
    <w:uiPriority w:val="0"/>
    <w:rPr>
      <w:rFonts w:asciiTheme="minorHAnsi" w:hAnsiTheme="minorHAnsi" w:eastAsiaTheme="minorEastAsia" w:cstheme="minorBidi"/>
      <w:kern w:val="2"/>
      <w:sz w:val="18"/>
      <w:szCs w:val="18"/>
    </w:rPr>
  </w:style>
  <w:style w:type="character" w:customStyle="1" w:styleId="28">
    <w:name w:val="批注框文本 字符"/>
    <w:basedOn w:val="19"/>
    <w:link w:val="12"/>
    <w:qFormat/>
    <w:uiPriority w:val="0"/>
    <w:rPr>
      <w:rFonts w:asciiTheme="minorHAnsi" w:hAnsiTheme="minorHAnsi" w:eastAsiaTheme="minorEastAsia" w:cstheme="minorBidi"/>
      <w:kern w:val="2"/>
      <w:sz w:val="18"/>
      <w:szCs w:val="18"/>
    </w:rPr>
  </w:style>
  <w:style w:type="paragraph" w:customStyle="1" w:styleId="29">
    <w:name w:val="正文 03"/>
    <w:basedOn w:val="1"/>
    <w:qFormat/>
    <w:uiPriority w:val="0"/>
    <w:pPr>
      <w:autoSpaceDE w:val="0"/>
      <w:autoSpaceDN w:val="0"/>
      <w:adjustRightInd w:val="0"/>
      <w:textAlignment w:val="baseline"/>
    </w:pPr>
    <w:rPr>
      <w:rFonts w:eastAsia="楷体_GB2312"/>
      <w:kern w:val="0"/>
      <w:sz w:val="24"/>
      <w:szCs w:val="20"/>
    </w:rPr>
  </w:style>
  <w:style w:type="paragraph" w:customStyle="1" w:styleId="30">
    <w:name w:val="小四缩进2"/>
    <w:basedOn w:val="1"/>
    <w:qFormat/>
    <w:uiPriority w:val="0"/>
    <w:pPr>
      <w:adjustRightInd w:val="0"/>
      <w:snapToGrid w:val="0"/>
      <w:spacing w:line="360" w:lineRule="auto"/>
      <w:ind w:firstLine="480" w:firstLineChars="200"/>
    </w:pPr>
    <w:rPr>
      <w:sz w:val="24"/>
    </w:rPr>
  </w:style>
  <w:style w:type="paragraph" w:customStyle="1" w:styleId="31">
    <w:name w:val="正文1"/>
    <w:basedOn w:val="1"/>
    <w:qFormat/>
    <w:uiPriority w:val="0"/>
    <w:pPr>
      <w:adjustRightInd w:val="0"/>
      <w:snapToGrid w:val="0"/>
      <w:spacing w:line="360" w:lineRule="auto"/>
      <w:ind w:firstLine="480" w:firstLineChars="200"/>
    </w:pPr>
    <w:rPr>
      <w:color w:val="000000"/>
      <w:sz w:val="24"/>
    </w:rPr>
  </w:style>
  <w:style w:type="character" w:customStyle="1" w:styleId="32">
    <w:name w:val="标题 1 字符"/>
    <w:link w:val="3"/>
    <w:qFormat/>
    <w:uiPriority w:val="0"/>
    <w:rPr>
      <w:b/>
      <w:kern w:val="44"/>
      <w:sz w:val="44"/>
    </w:rPr>
  </w:style>
  <w:style w:type="paragraph" w:customStyle="1" w:styleId="33">
    <w:name w:val="表格"/>
    <w:next w:val="1"/>
    <w:qFormat/>
    <w:uiPriority w:val="0"/>
    <w:pPr>
      <w:widowControl w:val="0"/>
      <w:overflowPunct w:val="0"/>
      <w:autoSpaceDE w:val="0"/>
      <w:autoSpaceDN w:val="0"/>
      <w:adjustRightInd w:val="0"/>
      <w:jc w:val="center"/>
      <w:textAlignment w:val="baseline"/>
    </w:pPr>
    <w:rPr>
      <w:rFonts w:ascii="Times New Roman" w:hAnsi="Times New Roman" w:eastAsia="宋体" w:cs="Times New Roman"/>
      <w:sz w:val="21"/>
      <w:lang w:val="en-US" w:eastAsia="zh-CN" w:bidi="ar-SA"/>
    </w:rPr>
  </w:style>
  <w:style w:type="paragraph" w:customStyle="1" w:styleId="34">
    <w:name w:val="Table Paragraph"/>
    <w:basedOn w:val="1"/>
    <w:qFormat/>
    <w:uiPriority w:val="0"/>
    <w:pPr>
      <w:spacing w:before="100" w:beforeAutospacing="1"/>
      <w:jc w:val="left"/>
    </w:pPr>
    <w:rPr>
      <w:rFonts w:ascii="Calibri" w:hAnsi="Calibri"/>
      <w:kern w:val="0"/>
      <w:sz w:val="22"/>
      <w:szCs w:val="22"/>
    </w:rPr>
  </w:style>
  <w:style w:type="paragraph" w:styleId="35">
    <w:name w:val="List Paragraph"/>
    <w:basedOn w:val="1"/>
    <w:qFormat/>
    <w:uiPriority w:val="99"/>
    <w:pPr>
      <w:ind w:firstLine="420"/>
    </w:pPr>
  </w:style>
  <w:style w:type="paragraph" w:customStyle="1" w:styleId="36">
    <w:name w:val="样式 样式 (中文) 仿宋_GB2312 居中1 + 小四"/>
    <w:basedOn w:val="1"/>
    <w:qFormat/>
    <w:uiPriority w:val="0"/>
    <w:pPr>
      <w:snapToGrid w:val="0"/>
      <w:jc w:val="center"/>
    </w:pPr>
    <w:rPr>
      <w:szCs w:val="21"/>
    </w:rPr>
  </w:style>
  <w:style w:type="paragraph" w:customStyle="1" w:styleId="37">
    <w:name w:val="样式 方正仿宋_GBK 三号 行距: 固定值 28 磅"/>
    <w:basedOn w:val="1"/>
    <w:qFormat/>
    <w:uiPriority w:val="0"/>
    <w:pPr>
      <w:ind w:firstLine="200"/>
      <w:jc w:val="left"/>
    </w:pPr>
    <w:rPr>
      <w:rFonts w:ascii="方正仿宋_GBK" w:hAnsi="方正仿宋_GBK" w:cs="宋体"/>
      <w:sz w:val="28"/>
    </w:rPr>
  </w:style>
  <w:style w:type="paragraph" w:customStyle="1" w:styleId="38">
    <w:name w:val="正文 32"/>
    <w:basedOn w:val="1"/>
    <w:qFormat/>
    <w:uiPriority w:val="0"/>
    <w:pPr>
      <w:adjustRightInd w:val="0"/>
      <w:spacing w:line="300" w:lineRule="auto"/>
      <w:ind w:firstLine="567"/>
      <w:textAlignment w:val="baseline"/>
    </w:pPr>
    <w:rPr>
      <w:rFonts w:eastAsia="楷体_GB2312"/>
      <w:kern w:val="0"/>
    </w:rPr>
  </w:style>
  <w:style w:type="paragraph" w:customStyle="1" w:styleId="39">
    <w:name w:val="正文-lin"/>
    <w:basedOn w:val="1"/>
    <w:qFormat/>
    <w:uiPriority w:val="0"/>
    <w:pPr>
      <w:spacing w:line="360" w:lineRule="auto"/>
      <w:ind w:firstLine="1040" w:firstLineChars="200"/>
    </w:pPr>
    <w:rPr>
      <w:kern w:val="0"/>
      <w:sz w:val="24"/>
      <w:szCs w:val="20"/>
    </w:rPr>
  </w:style>
  <w:style w:type="paragraph" w:customStyle="1" w:styleId="40">
    <w:name w:val="报告表格内中"/>
    <w:basedOn w:val="1"/>
    <w:qFormat/>
    <w:uiPriority w:val="0"/>
    <w:pPr>
      <w:spacing w:before="100" w:beforeAutospacing="1"/>
      <w:jc w:val="center"/>
    </w:pPr>
    <w:rPr>
      <w:bCs/>
    </w:rPr>
  </w:style>
  <w:style w:type="paragraph" w:customStyle="1" w:styleId="41">
    <w:name w:val="文本框"/>
    <w:basedOn w:val="1"/>
    <w:qFormat/>
    <w:uiPriority w:val="0"/>
    <w:pPr>
      <w:jc w:val="center"/>
    </w:pPr>
  </w:style>
  <w:style w:type="paragraph" w:customStyle="1" w:styleId="42">
    <w:name w:val="蓝森正文"/>
    <w:basedOn w:val="1"/>
    <w:qFormat/>
    <w:uiPriority w:val="0"/>
    <w:pPr>
      <w:spacing w:line="520" w:lineRule="exact"/>
      <w:ind w:firstLine="200" w:firstLineChars="200"/>
    </w:pPr>
  </w:style>
  <w:style w:type="paragraph" w:customStyle="1" w:styleId="43">
    <w:name w:val="a表格标题"/>
    <w:basedOn w:val="1"/>
    <w:qFormat/>
    <w:uiPriority w:val="0"/>
    <w:pPr>
      <w:adjustRightInd w:val="0"/>
      <w:snapToGrid w:val="0"/>
      <w:spacing w:line="360" w:lineRule="auto"/>
      <w:ind w:firstLine="422" w:firstLineChars="200"/>
      <w:jc w:val="center"/>
    </w:pPr>
    <w:rPr>
      <w:b/>
      <w:szCs w:val="21"/>
    </w:rPr>
  </w:style>
  <w:style w:type="character" w:customStyle="1" w:styleId="44">
    <w:name w:val="标题 2 字符"/>
    <w:basedOn w:val="19"/>
    <w:link w:val="4"/>
    <w:qFormat/>
    <w:uiPriority w:val="0"/>
    <w:rPr>
      <w:rFonts w:asciiTheme="majorHAnsi" w:hAnsiTheme="majorHAnsi" w:eastAsiaTheme="majorEastAsia" w:cstheme="majorBidi"/>
      <w:b/>
      <w:bCs/>
      <w:kern w:val="2"/>
      <w:sz w:val="32"/>
      <w:szCs w:val="32"/>
    </w:rPr>
  </w:style>
  <w:style w:type="character" w:customStyle="1" w:styleId="45">
    <w:name w:val="批注文字 字符"/>
    <w:basedOn w:val="19"/>
    <w:link w:val="7"/>
    <w:qFormat/>
    <w:uiPriority w:val="0"/>
    <w:rPr>
      <w:rFonts w:asciiTheme="minorHAnsi" w:hAnsiTheme="minorHAnsi" w:eastAsiaTheme="minorEastAsia" w:cstheme="minorBidi"/>
      <w:kern w:val="2"/>
      <w:sz w:val="21"/>
      <w:szCs w:val="24"/>
    </w:rPr>
  </w:style>
  <w:style w:type="character" w:customStyle="1" w:styleId="46">
    <w:name w:val="正文文本 字符"/>
    <w:basedOn w:val="19"/>
    <w:link w:val="10"/>
    <w:qFormat/>
    <w:uiPriority w:val="0"/>
    <w:rPr>
      <w:rFonts w:asciiTheme="minorHAnsi" w:hAnsiTheme="minorHAnsi" w:eastAsiaTheme="minorEastAsia" w:cstheme="minorBidi"/>
      <w:kern w:val="2"/>
      <w:sz w:val="32"/>
      <w:szCs w:val="24"/>
    </w:rPr>
  </w:style>
  <w:style w:type="character" w:customStyle="1" w:styleId="47">
    <w:name w:val="批注主题 字符"/>
    <w:basedOn w:val="45"/>
    <w:link w:val="6"/>
    <w:qFormat/>
    <w:uiPriority w:val="0"/>
    <w:rPr>
      <w:rFonts w:asciiTheme="minorHAnsi" w:hAnsiTheme="minorHAnsi" w:eastAsiaTheme="minorEastAsia" w:cstheme="minorBidi"/>
      <w:b/>
      <w:bCs/>
      <w:kern w:val="2"/>
      <w:sz w:val="21"/>
      <w:szCs w:val="24"/>
    </w:rPr>
  </w:style>
  <w:style w:type="paragraph" w:customStyle="1" w:styleId="48">
    <w:name w:val="修订1"/>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49">
    <w:name w:val="文档结构图 字符"/>
    <w:basedOn w:val="19"/>
    <w:link w:val="9"/>
    <w:qFormat/>
    <w:uiPriority w:val="0"/>
    <w:rPr>
      <w:rFonts w:ascii="宋体" w:hAnsiTheme="minorHAnsi" w:cstheme="minorBidi"/>
      <w:kern w:val="2"/>
      <w:sz w:val="18"/>
      <w:szCs w:val="18"/>
    </w:rPr>
  </w:style>
  <w:style w:type="paragraph" w:customStyle="1" w:styleId="50">
    <w:name w:val="报告正文"/>
    <w:basedOn w:val="1"/>
    <w:qFormat/>
    <w:uiPriority w:val="0"/>
    <w:pPr>
      <w:adjustRightInd w:val="0"/>
      <w:snapToGrid w:val="0"/>
      <w:spacing w:line="360" w:lineRule="auto"/>
      <w:ind w:firstLine="200" w:firstLineChars="200"/>
    </w:pPr>
    <w:rPr>
      <w:rFonts w:ascii="Times New Roman" w:hAnsi="Times New Roman" w:eastAsia="宋体" w:cs="Times New Roman"/>
      <w:sz w:val="24"/>
    </w:rPr>
  </w:style>
  <w:style w:type="character" w:customStyle="1" w:styleId="51">
    <w:name w:val="Default Char"/>
    <w:link w:val="24"/>
    <w:qFormat/>
    <w:uiPriority w:val="0"/>
    <w:rPr>
      <w:rFonts w:ascii="宋体" w:hAnsi="Calibri" w:cs="宋体"/>
      <w:color w:val="000000"/>
      <w:sz w:val="24"/>
      <w:szCs w:val="24"/>
    </w:rPr>
  </w:style>
  <w:style w:type="paragraph" w:customStyle="1" w:styleId="52">
    <w:name w:val="IDC A-Head (2nd Line)"/>
    <w:basedOn w:val="1"/>
    <w:next w:val="1"/>
    <w:qFormat/>
    <w:uiPriority w:val="0"/>
    <w:pPr>
      <w:widowControl/>
      <w:jc w:val="center"/>
    </w:pPr>
    <w:rPr>
      <w:rFonts w:ascii="Times New Roman" w:hAnsi="Times New Roman" w:eastAsia="宋体" w:cs="Times New Roman"/>
      <w:caps/>
      <w:kern w:val="0"/>
      <w:sz w:val="24"/>
    </w:rPr>
  </w:style>
  <w:style w:type="paragraph" w:customStyle="1" w:styleId="53">
    <w:name w:val="目录 61"/>
    <w:basedOn w:val="1"/>
    <w:next w:val="1"/>
    <w:qFormat/>
    <w:uiPriority w:val="0"/>
    <w:pPr>
      <w:adjustRightInd w:val="0"/>
      <w:snapToGrid w:val="0"/>
      <w:spacing w:before="100" w:beforeAutospacing="1" w:after="100" w:afterAutospacing="1" w:line="360" w:lineRule="auto"/>
      <w:ind w:left="2100" w:leftChars="1000"/>
    </w:pPr>
    <w:rPr>
      <w:rFonts w:ascii="Times New Roman" w:hAnsi="Times New Roman" w:eastAsia="宋体" w:cs="Times New Roman"/>
      <w:sz w:val="24"/>
    </w:rPr>
  </w:style>
  <w:style w:type="paragraph" w:customStyle="1" w:styleId="54">
    <w:name w:val="表1表2"/>
    <w:basedOn w:val="1"/>
    <w:qFormat/>
    <w:uiPriority w:val="0"/>
    <w:pPr>
      <w:autoSpaceDE w:val="0"/>
      <w:autoSpaceDN w:val="0"/>
      <w:adjustRightInd w:val="0"/>
      <w:jc w:val="center"/>
      <w:textAlignment w:val="center"/>
    </w:pPr>
    <w:rPr>
      <w:rFonts w:ascii="Times New Roman" w:hAnsi="Times New Roman" w:eastAsia="仿宋体" w:cs="Times New Roman"/>
      <w:kern w:val="0"/>
      <w:szCs w:val="20"/>
    </w:rPr>
  </w:style>
  <w:style w:type="character" w:customStyle="1" w:styleId="55">
    <w:name w:val="正 文 Char"/>
    <w:link w:val="56"/>
    <w:qFormat/>
    <w:uiPriority w:val="0"/>
    <w:rPr>
      <w:rFonts w:cs="宋体"/>
      <w:kern w:val="2"/>
      <w:sz w:val="24"/>
      <w:szCs w:val="24"/>
    </w:rPr>
  </w:style>
  <w:style w:type="paragraph" w:customStyle="1" w:styleId="56">
    <w:name w:val="正 文"/>
    <w:link w:val="55"/>
    <w:qFormat/>
    <w:uiPriority w:val="0"/>
    <w:pPr>
      <w:widowControl w:val="0"/>
      <w:spacing w:line="360" w:lineRule="auto"/>
      <w:ind w:firstLine="480" w:firstLineChars="200"/>
    </w:pPr>
    <w:rPr>
      <w:rFonts w:ascii="Times New Roman" w:hAnsi="Times New Roman" w:eastAsia="宋体" w:cs="宋体"/>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B146A32-EEF4-4C86-84CB-6F9C07DCA2E4}">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126</Pages>
  <Words>8308</Words>
  <Characters>47359</Characters>
  <Lines>394</Lines>
  <Paragraphs>111</Paragraphs>
  <TotalTime>1</TotalTime>
  <ScaleCrop>false</ScaleCrop>
  <LinksUpToDate>false</LinksUpToDate>
  <CharactersWithSpaces>55556</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2019-11-06T01:07:00Z</dcterms:created>
  <dc:creator>Administrator</dc:creator>
  <cp:lastModifiedBy>Rhyme⁷</cp:lastModifiedBy>
  <dcterms:modified xsi:type="dcterms:W3CDTF">2020-01-03T03:54:13Z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