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 2</w:t>
      </w:r>
    </w:p>
    <w:p>
      <w:pPr>
        <w:jc w:val="center"/>
        <w:rPr>
          <w:rFonts w:ascii="方正小标宋简体" w:eastAsia="方正小标宋简体"/>
          <w:sz w:val="44"/>
          <w:szCs w:val="44"/>
        </w:rPr>
      </w:pPr>
      <w:r>
        <w:rPr>
          <w:rFonts w:hint="eastAsia" w:ascii="方正小标宋简体" w:eastAsia="方正小标宋简体"/>
          <w:sz w:val="44"/>
          <w:szCs w:val="44"/>
        </w:rPr>
        <w:t>承接省重心下移事项清单（共40项）</w:t>
      </w:r>
    </w:p>
    <w:tbl>
      <w:tblPr>
        <w:tblStyle w:val="4"/>
        <w:tblW w:w="15593" w:type="dxa"/>
        <w:tblInd w:w="-274" w:type="dxa"/>
        <w:tblLayout w:type="fixed"/>
        <w:tblCellMar>
          <w:top w:w="0" w:type="dxa"/>
          <w:left w:w="0" w:type="dxa"/>
          <w:bottom w:w="0" w:type="dxa"/>
          <w:right w:w="0" w:type="dxa"/>
        </w:tblCellMar>
      </w:tblPr>
      <w:tblGrid>
        <w:gridCol w:w="990"/>
        <w:gridCol w:w="1270"/>
        <w:gridCol w:w="6777"/>
        <w:gridCol w:w="2239"/>
        <w:gridCol w:w="1854"/>
        <w:gridCol w:w="1573"/>
        <w:gridCol w:w="890"/>
      </w:tblGrid>
      <w:tr>
        <w:tblPrEx>
          <w:tblLayout w:type="fixed"/>
          <w:tblCellMar>
            <w:top w:w="0" w:type="dxa"/>
            <w:left w:w="0" w:type="dxa"/>
            <w:bottom w:w="0" w:type="dxa"/>
            <w:right w:w="0" w:type="dxa"/>
          </w:tblCellMar>
        </w:tblPrEx>
        <w:trPr>
          <w:trHeight w:val="670" w:hRule="exact"/>
        </w:trPr>
        <w:tc>
          <w:tcPr>
            <w:tcW w:w="99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序号</w:t>
            </w:r>
          </w:p>
        </w:tc>
        <w:tc>
          <w:tcPr>
            <w:tcW w:w="127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事项类别</w:t>
            </w:r>
          </w:p>
        </w:tc>
        <w:tc>
          <w:tcPr>
            <w:tcW w:w="6777"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事项名称</w:t>
            </w:r>
          </w:p>
        </w:tc>
        <w:tc>
          <w:tcPr>
            <w:tcW w:w="2239"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重心下移</w:t>
            </w:r>
            <w:r>
              <w:rPr>
                <w:rFonts w:asciiTheme="minorEastAsia" w:hAnsiTheme="minorEastAsia"/>
                <w:b/>
                <w:color w:val="000000"/>
                <w:sz w:val="24"/>
                <w:lang w:val="zh-CN"/>
              </w:rPr>
              <w:t>单位</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承接</w:t>
            </w:r>
            <w:r>
              <w:rPr>
                <w:rFonts w:asciiTheme="minorEastAsia" w:hAnsiTheme="minorEastAsia"/>
                <w:b/>
                <w:color w:val="000000"/>
                <w:sz w:val="24"/>
                <w:lang w:val="zh-CN"/>
              </w:rPr>
              <w:t>单位</w:t>
            </w:r>
          </w:p>
        </w:tc>
        <w:tc>
          <w:tcPr>
            <w:tcW w:w="1573" w:type="dxa"/>
            <w:tcBorders>
              <w:top w:val="single" w:color="000000" w:sz="8" w:space="0"/>
              <w:left w:val="single" w:color="000000" w:sz="8" w:space="0"/>
              <w:bottom w:val="single" w:color="000000" w:sz="8" w:space="0"/>
              <w:right w:val="single" w:color="000000" w:sz="8" w:space="0"/>
            </w:tcBorders>
            <w:vAlign w:val="center"/>
          </w:tcPr>
          <w:p>
            <w:pPr>
              <w:spacing w:before="239" w:after="123" w:line="293" w:lineRule="exact"/>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承办科室</w:t>
            </w:r>
          </w:p>
        </w:tc>
        <w:tc>
          <w:tcPr>
            <w:tcW w:w="89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备注</w:t>
            </w:r>
          </w:p>
        </w:tc>
      </w:tr>
      <w:tr>
        <w:tblPrEx>
          <w:tblLayout w:type="fixed"/>
          <w:tblCellMar>
            <w:top w:w="0" w:type="dxa"/>
            <w:left w:w="0" w:type="dxa"/>
            <w:bottom w:w="0" w:type="dxa"/>
            <w:right w:w="0" w:type="dxa"/>
          </w:tblCellMar>
        </w:tblPrEx>
        <w:trPr>
          <w:trHeight w:val="2366"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917" w:after="863"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1</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917" w:after="863"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行政处罚</w:t>
            </w:r>
            <w:r>
              <w:rPr>
                <w:rFonts w:ascii="宋体" w:hAnsi="宋体" w:eastAsia="宋体"/>
                <w:color w:val="000000"/>
                <w:sz w:val="24"/>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ind w:right="72"/>
              <w:jc w:val="center"/>
              <w:textAlignment w:val="baseline"/>
              <w:rPr>
                <w:rFonts w:ascii="宋体" w:hAnsi="宋体" w:eastAsia="宋体"/>
                <w:color w:val="000000"/>
                <w:spacing w:val="-3"/>
                <w:sz w:val="24"/>
                <w:lang w:val="zh-CN"/>
              </w:rPr>
            </w:pPr>
            <w:r>
              <w:rPr>
                <w:rFonts w:ascii="宋体" w:hAnsi="宋体" w:eastAsia="宋体"/>
                <w:color w:val="000000"/>
                <w:spacing w:val="-3"/>
                <w:sz w:val="24"/>
                <w:lang w:val="zh-CN"/>
              </w:rPr>
              <w:t>对粮食收购者未执行国家粮食质量标准的；粮食收购者被售粮者举报未及时支付售粮款的；粮食收购者违反《粮食流通管理条例》规定代扣、代缴税、费和其他款项的；从事粮食收购、销售、 储存、加工的粮食经营者以及饲料、工业用粮企业未建立粮食经营台账，或者未按照规定报送粮食基本数据和有关情况的；接受委托的粮食经营者从事政策性用粮的购销活动未执行国家有关政策的行为的行政处罚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917" w:after="863"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spacing w:before="917" w:after="863"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260"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305" w:after="244"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2</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312" w:after="237"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行政处罚</w:t>
            </w:r>
            <w:r>
              <w:rPr>
                <w:rFonts w:ascii="宋体" w:hAnsi="宋体" w:eastAsia="宋体"/>
                <w:color w:val="000000"/>
                <w:sz w:val="24"/>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宋体" w:hAnsi="宋体" w:eastAsia="宋体"/>
                <w:color w:val="000000"/>
                <w:spacing w:val="-3"/>
                <w:sz w:val="24"/>
                <w:lang w:val="zh-CN"/>
              </w:rPr>
            </w:pPr>
            <w:r>
              <w:rPr>
                <w:rFonts w:ascii="宋体" w:hAnsi="宋体" w:eastAsia="宋体"/>
                <w:color w:val="000000"/>
                <w:spacing w:val="-3"/>
                <w:sz w:val="24"/>
                <w:lang w:val="zh-CN"/>
              </w:rPr>
              <w:t>从事粮食收购、加工、销售的经营者的粮食库存低于规定的最低库存量，或超出规定的最高库存量的行为的行政处罚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309" w:after="240"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137"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240" w:after="186"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3</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240" w:after="186"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行政处罚</w:t>
            </w:r>
            <w:r>
              <w:rPr>
                <w:rFonts w:ascii="宋体" w:hAnsi="宋体" w:eastAsia="宋体"/>
                <w:color w:val="000000"/>
                <w:sz w:val="24"/>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spacing w:before="79" w:after="42"/>
              <w:jc w:val="center"/>
              <w:textAlignment w:val="baseline"/>
              <w:rPr>
                <w:rFonts w:ascii="宋体" w:hAnsi="宋体" w:eastAsia="宋体"/>
                <w:color w:val="000000"/>
                <w:spacing w:val="-3"/>
                <w:sz w:val="24"/>
                <w:lang w:val="zh-CN"/>
              </w:rPr>
            </w:pPr>
            <w:r>
              <w:rPr>
                <w:rFonts w:ascii="宋体" w:hAnsi="宋体" w:eastAsia="宋体"/>
                <w:color w:val="000000"/>
                <w:spacing w:val="-3"/>
                <w:sz w:val="24"/>
                <w:lang w:val="zh-CN"/>
              </w:rPr>
              <w:t>对粮食经营者未按照《粮食流通管理条例》规定使用粮食仓储设施、运输工具的行为的行政处罚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245" w:after="181"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792"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284" w:after="229"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4</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291" w:after="222"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行政处罚</w:t>
            </w:r>
            <w:r>
              <w:rPr>
                <w:rFonts w:ascii="宋体" w:hAnsi="宋体" w:eastAsia="宋体"/>
                <w:color w:val="000000"/>
                <w:sz w:val="24"/>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spacing w:before="116" w:after="78"/>
              <w:jc w:val="center"/>
              <w:textAlignment w:val="baseline"/>
              <w:rPr>
                <w:rFonts w:ascii="宋体" w:hAnsi="宋体" w:eastAsia="宋体"/>
                <w:color w:val="000000"/>
                <w:spacing w:val="-3"/>
                <w:sz w:val="24"/>
                <w:lang w:val="zh-CN"/>
              </w:rPr>
            </w:pPr>
            <w:r>
              <w:rPr>
                <w:rFonts w:ascii="宋体" w:hAnsi="宋体" w:eastAsia="宋体"/>
                <w:color w:val="000000"/>
                <w:spacing w:val="-3"/>
                <w:sz w:val="24"/>
                <w:lang w:val="zh-CN"/>
              </w:rPr>
              <w:t>对粮食经营者无正当理由拒不承担或者拖延承担粮食应急任务的行政处罚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290" w:after="223"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051"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183" w:after="114"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5</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183" w:after="114"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行政处罚</w:t>
            </w:r>
            <w:r>
              <w:rPr>
                <w:rFonts w:ascii="宋体" w:hAnsi="宋体" w:eastAsia="宋体"/>
                <w:color w:val="000000"/>
                <w:sz w:val="24"/>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宋体" w:hAnsi="宋体" w:eastAsia="宋体"/>
                <w:color w:val="000000"/>
                <w:spacing w:val="-3"/>
                <w:sz w:val="24"/>
                <w:lang w:val="zh-CN"/>
              </w:rPr>
            </w:pPr>
            <w:r>
              <w:rPr>
                <w:rFonts w:ascii="宋体" w:hAnsi="宋体" w:eastAsia="宋体"/>
                <w:color w:val="000000"/>
                <w:spacing w:val="-3"/>
                <w:sz w:val="24"/>
                <w:lang w:val="zh-CN"/>
              </w:rPr>
              <w:t>对粮食经营者经营粮食，未建立粮食质量安全档案，或粮食质量安全档案自粮食销售出库之日起保存不足5年行为的行政处罚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188" w:after="109"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704"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595" w:after="523"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6</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600" w:after="518"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行政处罚</w:t>
            </w:r>
            <w:r>
              <w:rPr>
                <w:rFonts w:ascii="宋体" w:hAnsi="宋体" w:eastAsia="宋体"/>
                <w:color w:val="000000"/>
                <w:sz w:val="24"/>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spacing w:before="136" w:after="81"/>
              <w:ind w:right="108"/>
              <w:jc w:val="center"/>
              <w:textAlignment w:val="baseline"/>
              <w:rPr>
                <w:rFonts w:ascii="宋体" w:hAnsi="宋体" w:eastAsia="宋体"/>
                <w:color w:val="000000"/>
                <w:spacing w:val="-3"/>
                <w:sz w:val="24"/>
                <w:lang w:val="zh-CN"/>
              </w:rPr>
            </w:pPr>
            <w:r>
              <w:rPr>
                <w:rFonts w:ascii="宋体" w:hAnsi="宋体" w:eastAsia="宋体"/>
                <w:color w:val="000000"/>
                <w:spacing w:val="-3"/>
                <w:sz w:val="24"/>
                <w:lang w:val="zh-CN"/>
              </w:rPr>
              <w:t>对从事食用粮食加工的经营者，不具有保证粮食质量安全必备的加工条件；使用发霉变质的原粮、副产品进行加工；违反规定使用添加剂；使用不符合质量安全标准的包装材料；有影响粮食质量安全的其他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600" w:after="518" w:line="271" w:lineRule="exact"/>
              <w:jc w:val="center"/>
              <w:textAlignment w:val="baseline"/>
              <w:rPr>
                <w:rFonts w:ascii="宋体" w:hAnsi="宋体" w:eastAsia="宋体"/>
                <w:color w:val="000000"/>
                <w:sz w:val="24"/>
                <w:lang w:val="zh-CN"/>
              </w:rPr>
            </w:pPr>
            <w:r>
              <w:rPr>
                <w:rFonts w:ascii="宋体" w:hAnsi="宋体" w:eastAsia="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870" w:hRule="exact"/>
        </w:trPr>
        <w:tc>
          <w:tcPr>
            <w:tcW w:w="99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序号</w:t>
            </w:r>
          </w:p>
        </w:tc>
        <w:tc>
          <w:tcPr>
            <w:tcW w:w="127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事项类别</w:t>
            </w:r>
          </w:p>
        </w:tc>
        <w:tc>
          <w:tcPr>
            <w:tcW w:w="6777"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事项名称</w:t>
            </w:r>
          </w:p>
        </w:tc>
        <w:tc>
          <w:tcPr>
            <w:tcW w:w="2239"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重心下移</w:t>
            </w:r>
            <w:r>
              <w:rPr>
                <w:rFonts w:asciiTheme="minorEastAsia" w:hAnsiTheme="minorEastAsia"/>
                <w:b/>
                <w:color w:val="000000"/>
                <w:sz w:val="24"/>
                <w:lang w:val="zh-CN"/>
              </w:rPr>
              <w:t>单位</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承接</w:t>
            </w:r>
            <w:r>
              <w:rPr>
                <w:rFonts w:asciiTheme="minorEastAsia" w:hAnsiTheme="minorEastAsia"/>
                <w:b/>
                <w:color w:val="000000"/>
                <w:sz w:val="24"/>
                <w:lang w:val="zh-CN"/>
              </w:rPr>
              <w:t>单位</w:t>
            </w:r>
          </w:p>
        </w:tc>
        <w:tc>
          <w:tcPr>
            <w:tcW w:w="1573" w:type="dxa"/>
            <w:tcBorders>
              <w:top w:val="single" w:color="000000" w:sz="8" w:space="0"/>
              <w:left w:val="single" w:color="000000" w:sz="8" w:space="0"/>
              <w:bottom w:val="single" w:color="000000" w:sz="8" w:space="0"/>
              <w:right w:val="single" w:color="000000" w:sz="8" w:space="0"/>
            </w:tcBorders>
            <w:vAlign w:val="center"/>
          </w:tcPr>
          <w:p>
            <w:pPr>
              <w:spacing w:before="239" w:after="123" w:line="293" w:lineRule="exact"/>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承办科室</w:t>
            </w:r>
          </w:p>
        </w:tc>
        <w:tc>
          <w:tcPr>
            <w:tcW w:w="89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备注</w:t>
            </w:r>
          </w:p>
        </w:tc>
      </w:tr>
      <w:tr>
        <w:tblPrEx>
          <w:tblLayout w:type="fixed"/>
          <w:tblCellMar>
            <w:top w:w="0" w:type="dxa"/>
            <w:left w:w="0" w:type="dxa"/>
            <w:bottom w:w="0" w:type="dxa"/>
            <w:right w:w="0" w:type="dxa"/>
          </w:tblCellMar>
        </w:tblPrEx>
        <w:trPr>
          <w:trHeight w:val="2288"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7</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spacing w:before="95" w:after="79"/>
              <w:ind w:left="72" w:right="72"/>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粮食经营者收购粮食，未按照粮食质量标准和食品安全标准及有关规定，对相关粮食质量安全项目进行检验；对杂质超标、水分超过安全储存限量标准的粮食，未及时整理达标；将不同生产年份的粮食混存；将粮食与可能对粮食产生污染的有害物质混存的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706" w:after="657"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641"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8</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lang w:val="zh-CN"/>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spacing w:before="95" w:after="79"/>
              <w:ind w:left="72" w:right="72"/>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粮食经营者发现其销售的粮食有害成分含量超过食品安全标准限量，未立即停止销售，通知相关经营者和消费者，召回已售粮食，并记录备查；或未同时将召回和处理情况向县级以上粮食行政管理部门报告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706" w:after="657"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lang w:val="zh-CN"/>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4569"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9</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lang w:val="zh-CN"/>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spacing w:before="95" w:after="79"/>
              <w:ind w:left="72" w:right="72"/>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从事粮食收购、储存、运输、加工和销售等经营活动，不符合以下任一要求：符合粮食质量标准和食品安全标准；具有与经营粮食的品种、数量、质量相适应的收购、储存场所，保持场所环境整洁，并与有毒有害场所以及其他污染源保持安全距离；具有与经营的粮食品种、数量相适应的仓储设施条件，仓储设施应当符合国家和行业相关标准与技术规范的要求；运输粮食的车（船）、器具应当完好，并保持清洁，非专用车（船）应有铺垫物和防潮湿设备，铺垫物、包装材料等应符合有关要求；具有必要的粮食质量安全项目检验能力；粮食经营者使用的检验仪器设备属于计量器具的，应当依照《中华人民共和国计量法》进行检定的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706" w:after="657"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lang w:val="zh-CN"/>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437" w:hRule="exact"/>
        </w:trPr>
        <w:tc>
          <w:tcPr>
            <w:tcW w:w="99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序号</w:t>
            </w:r>
          </w:p>
        </w:tc>
        <w:tc>
          <w:tcPr>
            <w:tcW w:w="127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事项类别</w:t>
            </w:r>
          </w:p>
        </w:tc>
        <w:tc>
          <w:tcPr>
            <w:tcW w:w="6777"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事项名称</w:t>
            </w:r>
          </w:p>
        </w:tc>
        <w:tc>
          <w:tcPr>
            <w:tcW w:w="2239"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重心下移</w:t>
            </w:r>
            <w:r>
              <w:rPr>
                <w:rFonts w:asciiTheme="minorEastAsia" w:hAnsiTheme="minorEastAsia"/>
                <w:b/>
                <w:color w:val="000000"/>
                <w:sz w:val="24"/>
                <w:lang w:val="zh-CN"/>
              </w:rPr>
              <w:t>单位</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承接</w:t>
            </w:r>
            <w:r>
              <w:rPr>
                <w:rFonts w:asciiTheme="minorEastAsia" w:hAnsiTheme="minorEastAsia"/>
                <w:b/>
                <w:color w:val="000000"/>
                <w:sz w:val="24"/>
                <w:lang w:val="zh-CN"/>
              </w:rPr>
              <w:t>单位</w:t>
            </w:r>
          </w:p>
        </w:tc>
        <w:tc>
          <w:tcPr>
            <w:tcW w:w="1573" w:type="dxa"/>
            <w:tcBorders>
              <w:top w:val="single" w:color="000000" w:sz="8" w:space="0"/>
              <w:left w:val="single" w:color="000000" w:sz="8" w:space="0"/>
              <w:bottom w:val="single" w:color="000000" w:sz="8" w:space="0"/>
              <w:right w:val="single" w:color="000000" w:sz="8" w:space="0"/>
            </w:tcBorders>
            <w:vAlign w:val="center"/>
          </w:tcPr>
          <w:p>
            <w:pPr>
              <w:spacing w:before="239" w:after="123" w:line="293" w:lineRule="exact"/>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承办科室</w:t>
            </w:r>
          </w:p>
        </w:tc>
        <w:tc>
          <w:tcPr>
            <w:tcW w:w="890"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备注</w:t>
            </w:r>
          </w:p>
        </w:tc>
      </w:tr>
      <w:tr>
        <w:tblPrEx>
          <w:tblLayout w:type="fixed"/>
          <w:tblCellMar>
            <w:top w:w="0" w:type="dxa"/>
            <w:left w:w="0" w:type="dxa"/>
            <w:bottom w:w="0" w:type="dxa"/>
            <w:right w:w="0" w:type="dxa"/>
          </w:tblCellMar>
        </w:tblPrEx>
        <w:trPr>
          <w:trHeight w:val="1641"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10</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lang w:val="zh-CN"/>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spacing w:before="95" w:after="79"/>
              <w:ind w:left="72" w:right="72"/>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粮食经营者采购粮食，未索取、查验和保存销售方提供的检验报告，并对采购的粮食进行验收检验采购和供应政策性粮食，未经专业粮食检验机构检验合格，或采购和供应的政策性粮食不符合规定的质量等级要求的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706" w:after="657"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lang w:val="zh-CN"/>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641"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11</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lang w:val="zh-CN"/>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对粮食经营者在粮食销售出库时，未按照粮食质量标准和食品安全标准及有关规定进行检验并出具检验报告；销售的粮食与检验报告不一致；检验报告未随货同行；检验报告超过</w:t>
            </w:r>
            <w:r>
              <w:rPr>
                <w:rFonts w:ascii="宋体" w:hAnsi="宋体" w:eastAsia="宋体"/>
                <w:color w:val="000000"/>
                <w:spacing w:val="-3"/>
                <w:sz w:val="24"/>
                <w:lang w:val="zh-CN"/>
              </w:rPr>
              <w:t>3</w:t>
            </w:r>
            <w:r>
              <w:rPr>
                <w:rFonts w:hint="eastAsia" w:ascii="宋体" w:hAnsi="宋体" w:eastAsia="宋体" w:cs="宋体"/>
                <w:color w:val="000000"/>
                <w:spacing w:val="-3"/>
                <w:sz w:val="24"/>
                <w:lang w:val="zh-CN"/>
              </w:rPr>
              <w:t>个月未重新检验并出具检验报告的行为的行政处罚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706" w:after="657"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lang w:val="zh-CN"/>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2778" w:hRule="exact"/>
        </w:trPr>
        <w:tc>
          <w:tcPr>
            <w:tcW w:w="99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12</w:t>
            </w:r>
          </w:p>
        </w:tc>
        <w:tc>
          <w:tcPr>
            <w:tcW w:w="1270" w:type="dxa"/>
            <w:tcBorders>
              <w:top w:val="single" w:color="000000" w:sz="8" w:space="0"/>
              <w:left w:val="single" w:color="000000" w:sz="8" w:space="0"/>
              <w:bottom w:val="single" w:color="000000" w:sz="8" w:space="0"/>
              <w:right w:val="single" w:color="000000" w:sz="8" w:space="0"/>
            </w:tcBorders>
            <w:vAlign w:val="center"/>
          </w:tcPr>
          <w:p>
            <w:pPr>
              <w:spacing w:before="708" w:after="655"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lang w:val="zh-CN"/>
              </w:rPr>
              <w:t xml:space="preserve"> </w:t>
            </w:r>
          </w:p>
        </w:tc>
        <w:tc>
          <w:tcPr>
            <w:tcW w:w="6777" w:type="dxa"/>
            <w:tcBorders>
              <w:top w:val="single" w:color="000000" w:sz="8" w:space="0"/>
              <w:left w:val="single" w:color="000000" w:sz="8" w:space="0"/>
              <w:bottom w:val="single" w:color="000000" w:sz="8" w:space="0"/>
              <w:right w:val="single" w:color="000000" w:sz="8"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销售真菌毒素、农药残留、重金属以及其他危害人体健康的污染物质含量不符合食品安全标准的粮食作为口粮；销售霉变、色泽气味异常的粮食作为口粮；销售直接拌有农药、混有农药残渣或者含有国家禁止使用的化学物质的粮食作为口粮；销售被包装材料、容器、运输工具等污染的粮食作为口粮；销售其他法律、</w:t>
            </w:r>
            <w:r>
              <w:rPr>
                <w:rFonts w:ascii="宋体" w:hAnsi="宋体" w:eastAsia="宋体"/>
                <w:color w:val="000000"/>
                <w:spacing w:val="-3"/>
                <w:sz w:val="24"/>
                <w:lang w:val="zh-CN"/>
              </w:rPr>
              <w:t xml:space="preserve"> </w:t>
            </w:r>
            <w:r>
              <w:rPr>
                <w:rFonts w:hint="eastAsia" w:ascii="宋体" w:hAnsi="宋体" w:eastAsia="宋体" w:cs="宋体"/>
                <w:color w:val="000000"/>
                <w:spacing w:val="-3"/>
                <w:sz w:val="24"/>
                <w:lang w:val="zh-CN"/>
              </w:rPr>
              <w:t>法规或规章以及政策明确规定不得作为口粮的粮食作为口粮行为的行政处罚</w:t>
            </w:r>
          </w:p>
        </w:tc>
        <w:tc>
          <w:tcPr>
            <w:tcW w:w="2239" w:type="dxa"/>
            <w:tcBorders>
              <w:top w:val="single" w:color="000000" w:sz="8" w:space="0"/>
              <w:left w:val="single" w:color="000000" w:sz="8" w:space="0"/>
              <w:bottom w:val="single" w:color="000000" w:sz="8" w:space="0"/>
              <w:right w:val="single" w:color="000000" w:sz="8" w:space="0"/>
            </w:tcBorders>
            <w:vAlign w:val="center"/>
          </w:tcPr>
          <w:p>
            <w:pPr>
              <w:spacing w:before="706" w:after="657"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lang w:val="zh-CN"/>
              </w:rPr>
              <w:t xml:space="preserve"> </w:t>
            </w:r>
          </w:p>
        </w:tc>
        <w:tc>
          <w:tcPr>
            <w:tcW w:w="1854"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宋体" w:hAnsi="宋体"/>
                <w:color w:val="000000"/>
                <w:sz w:val="24"/>
              </w:rPr>
              <w:t>监督检查科</w:t>
            </w:r>
          </w:p>
        </w:tc>
        <w:tc>
          <w:tcPr>
            <w:tcW w:w="890" w:type="dxa"/>
            <w:tcBorders>
              <w:top w:val="single" w:color="000000" w:sz="8" w:space="0"/>
              <w:left w:val="single" w:color="000000" w:sz="8" w:space="0"/>
              <w:bottom w:val="single" w:color="000000" w:sz="8" w:space="0"/>
              <w:right w:val="single" w:color="000000" w:sz="8"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981"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533" w:after="479"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13</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544" w:after="468"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对运输粮食发生污染、潮湿、霉变发热等质量安全事故；使用被污染的运输工具或者包装材料运输粮食；将粮食与有毒有害物质混装运输；将未经清洗、消毒的容器用于运输和储存食用植物油行为的行政处罚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550" w:after="462"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监督检查科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862" w:hRule="exact"/>
        </w:trPr>
        <w:tc>
          <w:tcPr>
            <w:tcW w:w="9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序号</w:t>
            </w:r>
          </w:p>
        </w:tc>
        <w:tc>
          <w:tcPr>
            <w:tcW w:w="12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事项类别</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事项名称</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重心下移</w:t>
            </w:r>
            <w:r>
              <w:rPr>
                <w:rFonts w:asciiTheme="minorEastAsia" w:hAnsiTheme="minorEastAsia"/>
                <w:b/>
                <w:color w:val="000000"/>
                <w:sz w:val="24"/>
                <w:lang w:val="zh-CN"/>
              </w:rPr>
              <w:t>单位</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承接</w:t>
            </w:r>
            <w:r>
              <w:rPr>
                <w:rFonts w:asciiTheme="minorEastAsia" w:hAnsiTheme="minorEastAsia"/>
                <w:b/>
                <w:color w:val="000000"/>
                <w:sz w:val="24"/>
                <w:lang w:val="zh-CN"/>
              </w:rPr>
              <w:t>单位</w:t>
            </w:r>
          </w:p>
        </w:tc>
        <w:tc>
          <w:tcPr>
            <w:tcW w:w="1573" w:type="dxa"/>
            <w:tcBorders>
              <w:top w:val="single" w:color="000000" w:sz="4" w:space="0"/>
              <w:left w:val="single" w:color="000000" w:sz="4" w:space="0"/>
              <w:bottom w:val="single" w:color="000000" w:sz="4" w:space="0"/>
              <w:right w:val="single" w:color="000000" w:sz="4" w:space="0"/>
            </w:tcBorders>
            <w:vAlign w:val="center"/>
          </w:tcPr>
          <w:p>
            <w:pPr>
              <w:spacing w:before="239" w:after="123" w:line="293" w:lineRule="exact"/>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承办科室</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备注</w:t>
            </w:r>
          </w:p>
        </w:tc>
      </w:tr>
      <w:tr>
        <w:tblPrEx>
          <w:tblLayout w:type="fixed"/>
          <w:tblCellMar>
            <w:top w:w="0" w:type="dxa"/>
            <w:left w:w="0" w:type="dxa"/>
            <w:bottom w:w="0" w:type="dxa"/>
            <w:right w:w="0" w:type="dxa"/>
          </w:tblCellMar>
        </w:tblPrEx>
        <w:trPr>
          <w:trHeight w:val="1974"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723" w:after="677"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14</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730" w:after="670"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对粮食经营者未严格执行储粮药剂使用管理制度、相关标准和技术规范；未严格储粮药剂的使用和残渣处理，详细记录施药情况；施用过化学药剂且药剂残效期大于</w:t>
            </w:r>
            <w:r>
              <w:rPr>
                <w:rFonts w:ascii="宋体" w:hAnsi="宋体" w:eastAsia="宋体"/>
                <w:color w:val="000000"/>
                <w:spacing w:val="-3"/>
                <w:sz w:val="24"/>
                <w:lang w:val="zh-CN"/>
              </w:rPr>
              <w:t>15</w:t>
            </w:r>
            <w:r>
              <w:rPr>
                <w:rFonts w:hint="eastAsia" w:ascii="宋体" w:hAnsi="宋体" w:eastAsia="宋体" w:cs="宋体"/>
                <w:color w:val="000000"/>
                <w:spacing w:val="-3"/>
                <w:sz w:val="24"/>
                <w:lang w:val="zh-CN"/>
              </w:rPr>
              <w:t>天的粮食，出库时未检验药剂残留量；储存粮食使用国家禁止使用的化学药剂或者超量使用化学药剂行为的行政处罚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731" w:after="669"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监督检查科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995"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233" w:after="188"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15</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240" w:after="181"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对粮食经营者销售超过正常储存年限的粮食，出库前未经专业粮食检验机构进行质量鉴定行为的行政处罚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241" w:after="180"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监督检查科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995"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226" w:after="180"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16</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233" w:after="173"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对粮食经营者从事粮食收购、储存、运输活动和政策性用粮的购销活动，以及执行国家粮食流通统计制度的情况进行监督检查</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233" w:after="173"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监督检查科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718"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125" w:after="65"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17</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26" w:after="64"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before="126" w:after="64"/>
              <w:ind w:left="43"/>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对本行政区域的粮油仓储工作实施监督管理</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130" w:after="60"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监督检查科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096"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293" w:after="236"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18</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298" w:after="231"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对本行政区域收购、储存、运输、政策性粮食加工和原粮、政策性粮食销售的质量安全实施监督管理</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303" w:after="226"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广东省粮食和储备局</w:t>
            </w:r>
            <w:r>
              <w:rPr>
                <w:rFonts w:ascii="宋体" w:hAnsi="宋体" w:eastAsia="宋体"/>
                <w:color w:val="000000"/>
                <w:sz w:val="24"/>
              </w:rPr>
              <w:t xml:space="preserve">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监督检查科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997"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178" w:after="128"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19</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83" w:after="123"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对重点用能单位不按规定编制节能规划、节能计划，开展能源审计的行政处罚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188" w:after="118"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节能和循环经济科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871" w:hRule="exact"/>
        </w:trPr>
        <w:tc>
          <w:tcPr>
            <w:tcW w:w="990" w:type="dxa"/>
            <w:tcBorders>
              <w:top w:val="single" w:color="000000" w:sz="0" w:space="0"/>
              <w:left w:val="single" w:color="000000" w:sz="4" w:space="0"/>
              <w:bottom w:val="single" w:color="000000" w:sz="4" w:space="0"/>
              <w:right w:val="single" w:color="000000" w:sz="4" w:space="0"/>
            </w:tcBorders>
            <w:vAlign w:val="center"/>
          </w:tcPr>
          <w:p>
            <w:pPr>
              <w:jc w:val="center"/>
              <w:rPr>
                <w:rFonts w:asciiTheme="minorEastAsia" w:hAnsiTheme="minorEastAsia"/>
                <w:sz w:val="22"/>
              </w:rPr>
            </w:pPr>
            <w:r>
              <w:rPr>
                <w:rFonts w:hint="eastAsia" w:ascii="宋体" w:hAnsi="宋体"/>
                <w:color w:val="000000"/>
                <w:sz w:val="24"/>
                <w:lang w:val="zh-CN"/>
              </w:rPr>
              <w:t>20</w:t>
            </w:r>
          </w:p>
        </w:tc>
        <w:tc>
          <w:tcPr>
            <w:tcW w:w="1270" w:type="dxa"/>
            <w:tcBorders>
              <w:top w:val="single" w:color="000000" w:sz="0" w:space="0"/>
              <w:left w:val="single" w:color="000000" w:sz="4" w:space="0"/>
              <w:bottom w:val="single" w:color="000000" w:sz="4" w:space="0"/>
              <w:right w:val="single" w:color="000000" w:sz="4" w:space="0"/>
            </w:tcBorders>
            <w:vAlign w:val="center"/>
          </w:tcPr>
          <w:p>
            <w:pPr>
              <w:jc w:val="center"/>
              <w:rPr>
                <w:rFonts w:asciiTheme="minorEastAsia" w:hAnsiTheme="minorEastAsia"/>
                <w:sz w:val="22"/>
              </w:rPr>
            </w:pPr>
            <w:r>
              <w:rPr>
                <w:rFonts w:hint="eastAsia" w:asciiTheme="minorEastAsia" w:hAnsiTheme="minorEastAsia"/>
                <w:sz w:val="22"/>
              </w:rPr>
              <w:t>行政处罚</w:t>
            </w:r>
          </w:p>
        </w:tc>
        <w:tc>
          <w:tcPr>
            <w:tcW w:w="6777" w:type="dxa"/>
            <w:tcBorders>
              <w:top w:val="single" w:color="000000" w:sz="0"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color w:val="000000"/>
                <w:sz w:val="22"/>
                <w:lang w:val="zh-CN"/>
              </w:rPr>
            </w:pPr>
            <w:r>
              <w:rPr>
                <w:rFonts w:hint="eastAsia" w:asciiTheme="minorEastAsia" w:hAnsiTheme="minorEastAsia"/>
                <w:color w:val="000000"/>
                <w:sz w:val="22"/>
                <w:lang w:val="zh-CN"/>
              </w:rPr>
              <w:t>对重点用能单位不按规定或者不如实填报能源利用状况报告，逾期不改正的处罚</w:t>
            </w:r>
          </w:p>
        </w:tc>
        <w:tc>
          <w:tcPr>
            <w:tcW w:w="2239" w:type="dxa"/>
            <w:tcBorders>
              <w:top w:val="single" w:color="000000" w:sz="0" w:space="0"/>
              <w:left w:val="single" w:color="000000" w:sz="4" w:space="0"/>
              <w:bottom w:val="single" w:color="000000" w:sz="4" w:space="0"/>
              <w:right w:val="single" w:color="000000" w:sz="4" w:space="0"/>
            </w:tcBorders>
            <w:vAlign w:val="center"/>
          </w:tcPr>
          <w:p>
            <w:pPr>
              <w:jc w:val="center"/>
              <w:rPr>
                <w:rFonts w:asciiTheme="minorEastAsia" w:hAnsiTheme="minorEastAsia"/>
                <w:sz w:val="22"/>
              </w:rPr>
            </w:pPr>
            <w:r>
              <w:rPr>
                <w:rFonts w:hint="eastAsia" w:ascii="宋体" w:hAnsi="宋体" w:eastAsia="宋体" w:cs="宋体"/>
                <w:color w:val="000000"/>
                <w:sz w:val="24"/>
                <w:lang w:val="zh-CN"/>
              </w:rPr>
              <w:t xml:space="preserve">广东省能源局  </w:t>
            </w:r>
          </w:p>
        </w:tc>
        <w:tc>
          <w:tcPr>
            <w:tcW w:w="1854" w:type="dxa"/>
            <w:tcBorders>
              <w:top w:val="single" w:color="000000" w:sz="0"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0" w:space="0"/>
              <w:left w:val="single" w:color="000000" w:sz="4" w:space="0"/>
              <w:bottom w:val="single" w:color="000000" w:sz="4" w:space="0"/>
              <w:right w:val="single" w:color="000000" w:sz="4" w:space="0"/>
            </w:tcBorders>
            <w:vAlign w:val="center"/>
          </w:tcPr>
          <w:p>
            <w:pPr>
              <w:jc w:val="center"/>
            </w:pPr>
            <w:r>
              <w:rPr>
                <w:rFonts w:hint="eastAsia"/>
              </w:rPr>
              <w:t>节能和循环经济科</w:t>
            </w:r>
          </w:p>
        </w:tc>
        <w:tc>
          <w:tcPr>
            <w:tcW w:w="890" w:type="dxa"/>
            <w:tcBorders>
              <w:top w:val="single" w:color="000000" w:sz="0"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1151"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428" w:after="361"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21</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428" w:after="361"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对重点用能单位未按照《中华人民共和国节约能源法》规定设立能源管理岗位，聘任能源管理负责人，并报管理节能工作的部门和有关部门备案的处罚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435" w:after="354"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节能和循环经济科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287" w:hRule="exact"/>
        </w:trPr>
        <w:tc>
          <w:tcPr>
            <w:tcW w:w="9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序号</w:t>
            </w:r>
          </w:p>
        </w:tc>
        <w:tc>
          <w:tcPr>
            <w:tcW w:w="12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事项类别</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事项名称</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重心下移</w:t>
            </w:r>
            <w:r>
              <w:rPr>
                <w:rFonts w:asciiTheme="minorEastAsia" w:hAnsiTheme="minorEastAsia"/>
                <w:b/>
                <w:color w:val="000000"/>
                <w:sz w:val="24"/>
                <w:lang w:val="zh-CN"/>
              </w:rPr>
              <w:t>单位</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承接</w:t>
            </w:r>
            <w:r>
              <w:rPr>
                <w:rFonts w:asciiTheme="minorEastAsia" w:hAnsiTheme="minorEastAsia"/>
                <w:b/>
                <w:color w:val="000000"/>
                <w:sz w:val="24"/>
                <w:lang w:val="zh-CN"/>
              </w:rPr>
              <w:t>单位</w:t>
            </w:r>
          </w:p>
        </w:tc>
        <w:tc>
          <w:tcPr>
            <w:tcW w:w="1573" w:type="dxa"/>
            <w:tcBorders>
              <w:top w:val="single" w:color="000000" w:sz="4" w:space="0"/>
              <w:left w:val="single" w:color="000000" w:sz="4" w:space="0"/>
              <w:bottom w:val="single" w:color="000000" w:sz="4" w:space="0"/>
              <w:right w:val="single" w:color="000000" w:sz="4" w:space="0"/>
            </w:tcBorders>
            <w:vAlign w:val="center"/>
          </w:tcPr>
          <w:p>
            <w:pPr>
              <w:spacing w:before="239" w:after="123" w:line="293" w:lineRule="exact"/>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承办科室</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备注</w:t>
            </w:r>
          </w:p>
        </w:tc>
      </w:tr>
      <w:tr>
        <w:tblPrEx>
          <w:tblLayout w:type="fixed"/>
          <w:tblCellMar>
            <w:top w:w="0" w:type="dxa"/>
            <w:left w:w="0" w:type="dxa"/>
            <w:bottom w:w="0" w:type="dxa"/>
            <w:right w:w="0" w:type="dxa"/>
          </w:tblCellMar>
        </w:tblPrEx>
        <w:trPr>
          <w:trHeight w:val="1121"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154" w:after="94"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22</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62" w:after="86"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对使用列入淘汰名录的技术、工艺、设备、材料的处罚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160" w:after="88"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节能和循环经济科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704"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435" w:after="367"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23</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435" w:after="367"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对重点用能单位节能管理制度不健全、节能措施不落实、能源利用效率低，经责令限期整改；不按规定整改或者整改没有达到要求的行为的行政处罚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435" w:after="367"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lang w:val="zh-CN"/>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节能和循环经济科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r>
              <w:rPr>
                <w:rFonts w:ascii="宋体" w:hAnsi="宋体" w:eastAsia="宋体"/>
                <w:color w:val="000000"/>
                <w:sz w:val="24"/>
              </w:rPr>
              <w:t xml:space="preserve"> </w:t>
            </w:r>
          </w:p>
        </w:tc>
      </w:tr>
      <w:tr>
        <w:tblPrEx>
          <w:tblLayout w:type="fixed"/>
          <w:tblCellMar>
            <w:top w:w="0" w:type="dxa"/>
            <w:left w:w="0" w:type="dxa"/>
            <w:bottom w:w="0" w:type="dxa"/>
            <w:right w:w="0" w:type="dxa"/>
          </w:tblCellMar>
        </w:tblPrEx>
        <w:trPr>
          <w:trHeight w:val="1700"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308" w:after="257"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24</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320" w:after="245"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对违反规定，无偿向本单位职工提供能源或者对能源消费实行包费制的行政处罚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节能和循环经济科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422"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255" w:after="209"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25</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262" w:after="202"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对从事节能咨询、设计、评估、检测、审计、认证等服务的机构提供虚假信息的行政处罚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节能和循环经济科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695"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328" w:after="288"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26</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335" w:after="281"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对在管道附属设施的上方架设电力线路、通信线路或者在储气库构造区域范围内进行工程挖掘、工程钻探、采矿的行为的行政处罚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r>
              <w:rPr>
                <w:rFonts w:hint="eastAsia" w:ascii="宋体" w:hAnsi="宋体" w:eastAsia="宋体" w:cs="宋体"/>
                <w:color w:val="000000"/>
                <w:sz w:val="24"/>
              </w:rPr>
              <w:t>交通能源科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146" w:hRule="exact"/>
        </w:trPr>
        <w:tc>
          <w:tcPr>
            <w:tcW w:w="9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序号</w:t>
            </w:r>
          </w:p>
        </w:tc>
        <w:tc>
          <w:tcPr>
            <w:tcW w:w="12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事项类别</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事项名称</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重心下移</w:t>
            </w:r>
            <w:r>
              <w:rPr>
                <w:rFonts w:asciiTheme="minorEastAsia" w:hAnsiTheme="minorEastAsia"/>
                <w:b/>
                <w:color w:val="000000"/>
                <w:sz w:val="24"/>
                <w:lang w:val="zh-CN"/>
              </w:rPr>
              <w:t>单位</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承接</w:t>
            </w:r>
            <w:r>
              <w:rPr>
                <w:rFonts w:asciiTheme="minorEastAsia" w:hAnsiTheme="minorEastAsia"/>
                <w:b/>
                <w:color w:val="000000"/>
                <w:sz w:val="24"/>
                <w:lang w:val="zh-CN"/>
              </w:rPr>
              <w:t>单位</w:t>
            </w:r>
          </w:p>
        </w:tc>
        <w:tc>
          <w:tcPr>
            <w:tcW w:w="1573" w:type="dxa"/>
            <w:tcBorders>
              <w:top w:val="single" w:color="000000" w:sz="4" w:space="0"/>
              <w:left w:val="single" w:color="000000" w:sz="4" w:space="0"/>
              <w:bottom w:val="single" w:color="000000" w:sz="4" w:space="0"/>
              <w:right w:val="single" w:color="000000" w:sz="4" w:space="0"/>
            </w:tcBorders>
            <w:vAlign w:val="center"/>
          </w:tcPr>
          <w:p>
            <w:pPr>
              <w:spacing w:before="239" w:after="123" w:line="293" w:lineRule="exact"/>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承办科室</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备注</w:t>
            </w:r>
          </w:p>
        </w:tc>
      </w:tr>
      <w:tr>
        <w:tblPrEx>
          <w:tblLayout w:type="fixed"/>
          <w:tblCellMar>
            <w:top w:w="0" w:type="dxa"/>
            <w:left w:w="0" w:type="dxa"/>
            <w:bottom w:w="0" w:type="dxa"/>
            <w:right w:w="0" w:type="dxa"/>
          </w:tblCellMar>
        </w:tblPrEx>
        <w:trPr>
          <w:trHeight w:val="2263"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956" w:after="913"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27</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961" w:after="908"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对在管道线路中心线两侧各五米地域范围内有下列行为之一的行政处罚：</w:t>
            </w:r>
            <w:r>
              <w:rPr>
                <w:rFonts w:ascii="宋体" w:hAnsi="宋体" w:eastAsia="宋体"/>
                <w:color w:val="000000"/>
                <w:spacing w:val="-3"/>
                <w:sz w:val="24"/>
                <w:lang w:val="zh-CN"/>
              </w:rPr>
              <w:t xml:space="preserve"> </w:t>
            </w:r>
            <w:r>
              <w:rPr>
                <w:rFonts w:hint="eastAsia" w:ascii="宋体" w:hAnsi="宋体" w:eastAsia="宋体" w:cs="宋体"/>
                <w:color w:val="000000"/>
                <w:spacing w:val="-3"/>
                <w:sz w:val="24"/>
                <w:lang w:val="zh-CN"/>
              </w:rPr>
              <w:t>（一）种植乔木、灌木、藤类、芦苇、竹子或者其他根系深达管道埋设部位可能损坏管道防腐层的深根植物；</w:t>
            </w:r>
            <w:r>
              <w:rPr>
                <w:rFonts w:ascii="宋体" w:hAnsi="宋体" w:eastAsia="宋体"/>
                <w:color w:val="000000"/>
                <w:spacing w:val="-3"/>
                <w:sz w:val="24"/>
                <w:lang w:val="zh-CN"/>
              </w:rPr>
              <w:t xml:space="preserve"> </w:t>
            </w:r>
            <w:r>
              <w:rPr>
                <w:rFonts w:hint="eastAsia" w:ascii="宋体" w:hAnsi="宋体" w:eastAsia="宋体" w:cs="宋体"/>
                <w:color w:val="000000"/>
                <w:spacing w:val="-3"/>
                <w:sz w:val="24"/>
                <w:lang w:val="zh-CN"/>
              </w:rPr>
              <w:t>（二）取土、采石、用火、堆放重物、排放腐蚀性物质、使用机械工具进行挖掘施工；</w:t>
            </w:r>
            <w:r>
              <w:rPr>
                <w:rFonts w:ascii="宋体" w:hAnsi="宋体" w:eastAsia="宋体"/>
                <w:color w:val="000000"/>
                <w:spacing w:val="-3"/>
                <w:sz w:val="24"/>
                <w:lang w:val="zh-CN"/>
              </w:rPr>
              <w:t xml:space="preserve"> </w:t>
            </w:r>
            <w:r>
              <w:rPr>
                <w:rFonts w:hint="eastAsia" w:ascii="宋体" w:hAnsi="宋体" w:eastAsia="宋体" w:cs="宋体"/>
                <w:color w:val="000000"/>
                <w:spacing w:val="-3"/>
                <w:sz w:val="24"/>
                <w:lang w:val="zh-CN"/>
              </w:rPr>
              <w:t>（三）挖塘、修渠、修晒场、修建水产养殖场、建温室、建家畜棚圈、建房以及修建其他建筑物、构筑物的行为的行政处罚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392"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276" w:after="246"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28</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284" w:after="238"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对在穿越河流的管道线路中心线两侧各</w:t>
            </w:r>
            <w:r>
              <w:rPr>
                <w:rFonts w:ascii="宋体" w:hAnsi="宋体" w:eastAsia="宋体"/>
                <w:color w:val="000000"/>
                <w:spacing w:val="-3"/>
                <w:sz w:val="24"/>
                <w:lang w:val="zh-CN"/>
              </w:rPr>
              <w:t>500</w:t>
            </w:r>
            <w:r>
              <w:rPr>
                <w:rFonts w:hint="eastAsia" w:ascii="宋体" w:hAnsi="宋体" w:eastAsia="宋体" w:cs="宋体"/>
                <w:color w:val="000000"/>
                <w:spacing w:val="-3"/>
                <w:sz w:val="24"/>
                <w:lang w:val="zh-CN"/>
              </w:rPr>
              <w:t>米地域范围内抛锚、</w:t>
            </w:r>
            <w:r>
              <w:rPr>
                <w:rFonts w:ascii="宋体" w:hAnsi="宋体" w:eastAsia="宋体"/>
                <w:color w:val="000000"/>
                <w:spacing w:val="-3"/>
                <w:sz w:val="24"/>
                <w:lang w:val="zh-CN"/>
              </w:rPr>
              <w:t xml:space="preserve"> </w:t>
            </w:r>
            <w:r>
              <w:rPr>
                <w:rFonts w:hint="eastAsia" w:ascii="宋体" w:hAnsi="宋体" w:eastAsia="宋体" w:cs="宋体"/>
                <w:color w:val="000000"/>
                <w:spacing w:val="-3"/>
                <w:sz w:val="24"/>
                <w:lang w:val="zh-CN"/>
              </w:rPr>
              <w:t>拖锚、挖砂、挖泥、采石、水下爆破的行为的行政处罚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392"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233" w:after="188"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29</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248" w:after="173"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before="70" w:after="29" w:line="296" w:lineRule="exact"/>
              <w:ind w:left="36" w:right="252"/>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对在管道专用隧道中心线两侧各</w:t>
            </w:r>
            <w:r>
              <w:rPr>
                <w:rFonts w:ascii="宋体" w:hAnsi="宋体" w:eastAsia="宋体"/>
                <w:color w:val="000000"/>
                <w:spacing w:val="-3"/>
                <w:sz w:val="24"/>
                <w:lang w:val="zh-CN"/>
              </w:rPr>
              <w:t>1000</w:t>
            </w:r>
            <w:r>
              <w:rPr>
                <w:rFonts w:hint="eastAsia" w:ascii="宋体" w:hAnsi="宋体" w:eastAsia="宋体" w:cs="宋体"/>
                <w:color w:val="000000"/>
                <w:spacing w:val="-3"/>
                <w:sz w:val="24"/>
                <w:lang w:val="zh-CN"/>
              </w:rPr>
              <w:t>米地域范围内采石、采矿、</w:t>
            </w:r>
            <w:r>
              <w:rPr>
                <w:rFonts w:ascii="宋体" w:hAnsi="宋体" w:eastAsia="宋体"/>
                <w:color w:val="000000"/>
                <w:spacing w:val="-3"/>
                <w:sz w:val="24"/>
                <w:lang w:val="zh-CN"/>
              </w:rPr>
              <w:t xml:space="preserve"> </w:t>
            </w:r>
            <w:r>
              <w:rPr>
                <w:rFonts w:hint="eastAsia" w:ascii="宋体" w:hAnsi="宋体" w:eastAsia="宋体" w:cs="宋体"/>
                <w:color w:val="000000"/>
                <w:spacing w:val="-3"/>
                <w:sz w:val="24"/>
                <w:lang w:val="zh-CN"/>
              </w:rPr>
              <w:t>爆破的行为的行政处罚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392"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385" w:after="339"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30</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392" w:after="332"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before="98" w:line="270" w:lineRule="exact"/>
              <w:ind w:left="72"/>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对在管道专用隧道中心线两侧各</w:t>
            </w:r>
            <w:r>
              <w:rPr>
                <w:rFonts w:ascii="宋体" w:hAnsi="宋体" w:eastAsia="宋体"/>
                <w:color w:val="000000"/>
                <w:sz w:val="24"/>
                <w:lang w:val="zh-CN"/>
              </w:rPr>
              <w:t>1000</w:t>
            </w:r>
            <w:r>
              <w:rPr>
                <w:rFonts w:hint="eastAsia" w:ascii="宋体" w:hAnsi="宋体" w:eastAsia="宋体" w:cs="宋体"/>
                <w:color w:val="000000"/>
                <w:sz w:val="24"/>
                <w:lang w:val="zh-CN"/>
              </w:rPr>
              <w:t>米地域范围内未经依法批</w:t>
            </w:r>
          </w:p>
          <w:p>
            <w:pPr>
              <w:spacing w:after="44" w:line="291" w:lineRule="exact"/>
              <w:ind w:left="72"/>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准，因修建铁路、公路、水利工程等公共工程实施采石、爆破作业的行为的行政处罚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2203"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1033" w:after="951" w:line="270" w:lineRule="exact"/>
              <w:ind w:left="209"/>
              <w:textAlignment w:val="baseline"/>
              <w:rPr>
                <w:rFonts w:hint="eastAsia" w:ascii="宋体" w:hAnsi="宋体"/>
                <w:color w:val="000000"/>
                <w:sz w:val="24"/>
                <w:lang w:val="zh-CN"/>
              </w:rPr>
            </w:pPr>
            <w:r>
              <w:rPr>
                <w:rFonts w:hint="eastAsia" w:ascii="宋体" w:hAnsi="宋体"/>
                <w:color w:val="000000"/>
                <w:sz w:val="24"/>
                <w:lang w:val="zh-CN"/>
              </w:rPr>
              <w:t>31</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033" w:after="951" w:line="270"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before="140" w:line="270" w:lineRule="exact"/>
              <w:ind w:left="72"/>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对施工单位未经依法批准进行下列施工作业行为之一的行政处</w:t>
            </w:r>
          </w:p>
          <w:p>
            <w:pPr>
              <w:spacing w:before="6" w:after="80" w:line="293" w:lineRule="exact"/>
              <w:ind w:left="72" w:right="72"/>
              <w:jc w:val="center"/>
              <w:textAlignment w:val="baseline"/>
              <w:rPr>
                <w:rFonts w:ascii="宋体" w:hAnsi="宋体" w:eastAsia="宋体"/>
                <w:color w:val="000000"/>
                <w:spacing w:val="-7"/>
                <w:sz w:val="24"/>
                <w:lang w:val="zh-CN"/>
              </w:rPr>
            </w:pPr>
            <w:r>
              <w:rPr>
                <w:rFonts w:hint="eastAsia" w:ascii="宋体" w:hAnsi="宋体" w:eastAsia="宋体" w:cs="宋体"/>
                <w:color w:val="000000"/>
                <w:spacing w:val="-7"/>
                <w:sz w:val="24"/>
                <w:lang w:val="zh-CN"/>
              </w:rPr>
              <w:t>罚：</w:t>
            </w:r>
            <w:r>
              <w:rPr>
                <w:rFonts w:ascii="宋体" w:hAnsi="宋体" w:eastAsia="宋体"/>
                <w:color w:val="000000"/>
                <w:spacing w:val="-7"/>
                <w:sz w:val="24"/>
                <w:lang w:val="zh-CN"/>
              </w:rPr>
              <w:t xml:space="preserve"> </w:t>
            </w:r>
            <w:r>
              <w:rPr>
                <w:rFonts w:hint="eastAsia" w:ascii="宋体" w:hAnsi="宋体" w:eastAsia="宋体" w:cs="宋体"/>
                <w:color w:val="000000"/>
                <w:spacing w:val="-7"/>
                <w:sz w:val="24"/>
                <w:lang w:val="zh-CN"/>
              </w:rPr>
              <w:t>（一）穿跨越管道的施工作业；</w:t>
            </w:r>
            <w:r>
              <w:rPr>
                <w:rFonts w:ascii="宋体" w:hAnsi="宋体" w:eastAsia="宋体"/>
                <w:color w:val="000000"/>
                <w:spacing w:val="-7"/>
                <w:sz w:val="24"/>
                <w:lang w:val="zh-CN"/>
              </w:rPr>
              <w:t xml:space="preserve"> </w:t>
            </w:r>
            <w:r>
              <w:rPr>
                <w:rFonts w:hint="eastAsia" w:ascii="宋体" w:hAnsi="宋体" w:eastAsia="宋体" w:cs="宋体"/>
                <w:color w:val="000000"/>
                <w:spacing w:val="-7"/>
                <w:sz w:val="24"/>
                <w:lang w:val="zh-CN"/>
              </w:rPr>
              <w:t>（二）在管道线路中心线两侧各</w:t>
            </w:r>
            <w:r>
              <w:rPr>
                <w:rFonts w:ascii="宋体" w:hAnsi="宋体" w:eastAsia="宋体"/>
                <w:color w:val="000000"/>
                <w:spacing w:val="-7"/>
                <w:sz w:val="24"/>
                <w:lang w:val="zh-CN"/>
              </w:rPr>
              <w:t>5</w:t>
            </w:r>
            <w:r>
              <w:rPr>
                <w:rFonts w:hint="eastAsia" w:ascii="宋体" w:hAnsi="宋体" w:eastAsia="宋体" w:cs="宋体"/>
                <w:color w:val="000000"/>
                <w:spacing w:val="-7"/>
                <w:sz w:val="24"/>
                <w:lang w:val="zh-CN"/>
              </w:rPr>
              <w:t>米至</w:t>
            </w:r>
            <w:r>
              <w:rPr>
                <w:rFonts w:ascii="宋体" w:hAnsi="宋体" w:eastAsia="宋体"/>
                <w:color w:val="000000"/>
                <w:spacing w:val="-7"/>
                <w:sz w:val="24"/>
                <w:lang w:val="zh-CN"/>
              </w:rPr>
              <w:t>50</w:t>
            </w:r>
            <w:r>
              <w:rPr>
                <w:rFonts w:hint="eastAsia" w:ascii="宋体" w:hAnsi="宋体" w:eastAsia="宋体" w:cs="宋体"/>
                <w:color w:val="000000"/>
                <w:spacing w:val="-7"/>
                <w:sz w:val="24"/>
                <w:lang w:val="zh-CN"/>
              </w:rPr>
              <w:t>米和管道附属设施周边</w:t>
            </w:r>
            <w:r>
              <w:rPr>
                <w:rFonts w:ascii="宋体" w:hAnsi="宋体" w:eastAsia="宋体"/>
                <w:color w:val="000000"/>
                <w:spacing w:val="-7"/>
                <w:sz w:val="24"/>
                <w:lang w:val="zh-CN"/>
              </w:rPr>
              <w:t>100</w:t>
            </w:r>
            <w:r>
              <w:rPr>
                <w:rFonts w:hint="eastAsia" w:ascii="宋体" w:hAnsi="宋体" w:eastAsia="宋体" w:cs="宋体"/>
                <w:color w:val="000000"/>
                <w:spacing w:val="-7"/>
                <w:sz w:val="24"/>
                <w:lang w:val="zh-CN"/>
              </w:rPr>
              <w:t>米地域范围内，新建、改建、扩建铁路、公路、河渠，架设电力线路，埋设地下电缆、光缆，设置安全接地体、避雷接地体；</w:t>
            </w:r>
            <w:r>
              <w:rPr>
                <w:rFonts w:ascii="宋体" w:hAnsi="宋体" w:eastAsia="宋体"/>
                <w:color w:val="000000"/>
                <w:spacing w:val="-7"/>
                <w:sz w:val="24"/>
                <w:lang w:val="zh-CN"/>
              </w:rPr>
              <w:t xml:space="preserve"> </w:t>
            </w:r>
            <w:r>
              <w:rPr>
                <w:rFonts w:hint="eastAsia" w:ascii="宋体" w:hAnsi="宋体" w:eastAsia="宋体" w:cs="宋体"/>
                <w:color w:val="000000"/>
                <w:spacing w:val="-7"/>
                <w:sz w:val="24"/>
                <w:lang w:val="zh-CN"/>
              </w:rPr>
              <w:t>（三）在管道线路中心线两侧各</w:t>
            </w:r>
            <w:r>
              <w:rPr>
                <w:rFonts w:ascii="宋体" w:hAnsi="宋体" w:eastAsia="宋体"/>
                <w:color w:val="000000"/>
                <w:spacing w:val="-7"/>
                <w:sz w:val="24"/>
                <w:lang w:val="zh-CN"/>
              </w:rPr>
              <w:t>200</w:t>
            </w:r>
            <w:r>
              <w:rPr>
                <w:rFonts w:hint="eastAsia" w:ascii="宋体" w:hAnsi="宋体" w:eastAsia="宋体" w:cs="宋体"/>
                <w:color w:val="000000"/>
                <w:spacing w:val="-7"/>
                <w:sz w:val="24"/>
                <w:lang w:val="zh-CN"/>
              </w:rPr>
              <w:t>米和管道附属设施周边</w:t>
            </w:r>
            <w:r>
              <w:rPr>
                <w:rFonts w:ascii="宋体" w:hAnsi="宋体" w:eastAsia="宋体"/>
                <w:color w:val="000000"/>
                <w:spacing w:val="-7"/>
                <w:sz w:val="24"/>
                <w:lang w:val="zh-CN"/>
              </w:rPr>
              <w:t>500</w:t>
            </w:r>
            <w:r>
              <w:rPr>
                <w:rFonts w:hint="eastAsia" w:ascii="宋体" w:hAnsi="宋体" w:eastAsia="宋体" w:cs="宋体"/>
                <w:color w:val="000000"/>
                <w:spacing w:val="-7"/>
                <w:sz w:val="24"/>
                <w:lang w:val="zh-CN"/>
              </w:rPr>
              <w:t>米地域范围内，进行爆破、地震法勘探或者工程挖掘、工程钻探、采矿</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429" w:hRule="exact"/>
        </w:trPr>
        <w:tc>
          <w:tcPr>
            <w:tcW w:w="9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序号</w:t>
            </w:r>
          </w:p>
        </w:tc>
        <w:tc>
          <w:tcPr>
            <w:tcW w:w="12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事项类别</w:t>
            </w:r>
          </w:p>
        </w:tc>
        <w:tc>
          <w:tcPr>
            <w:tcW w:w="677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asciiTheme="minorEastAsia" w:hAnsiTheme="minorEastAsia"/>
                <w:b/>
                <w:color w:val="000000"/>
                <w:sz w:val="24"/>
                <w:lang w:val="zh-CN"/>
              </w:rPr>
              <w:t>事项名称</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重心下移</w:t>
            </w:r>
            <w:r>
              <w:rPr>
                <w:rFonts w:asciiTheme="minorEastAsia" w:hAnsiTheme="minorEastAsia"/>
                <w:b/>
                <w:color w:val="000000"/>
                <w:sz w:val="24"/>
                <w:lang w:val="zh-CN"/>
              </w:rPr>
              <w:t>单位</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承接</w:t>
            </w:r>
            <w:r>
              <w:rPr>
                <w:rFonts w:asciiTheme="minorEastAsia" w:hAnsiTheme="minorEastAsia"/>
                <w:b/>
                <w:color w:val="000000"/>
                <w:sz w:val="24"/>
                <w:lang w:val="zh-CN"/>
              </w:rPr>
              <w:t>单位</w:t>
            </w:r>
          </w:p>
        </w:tc>
        <w:tc>
          <w:tcPr>
            <w:tcW w:w="1573" w:type="dxa"/>
            <w:tcBorders>
              <w:top w:val="single" w:color="000000" w:sz="4" w:space="0"/>
              <w:left w:val="single" w:color="000000" w:sz="4" w:space="0"/>
              <w:bottom w:val="single" w:color="000000" w:sz="4" w:space="0"/>
              <w:right w:val="single" w:color="000000" w:sz="4" w:space="0"/>
            </w:tcBorders>
            <w:vAlign w:val="center"/>
          </w:tcPr>
          <w:p>
            <w:pPr>
              <w:spacing w:before="239" w:after="123" w:line="293" w:lineRule="exact"/>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承办科室</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heme="minorEastAsia" w:hAnsiTheme="minorEastAsia"/>
                <w:b/>
                <w:color w:val="000000"/>
                <w:sz w:val="24"/>
                <w:lang w:val="zh-CN"/>
              </w:rPr>
            </w:pPr>
            <w:r>
              <w:rPr>
                <w:rFonts w:hint="eastAsia" w:asciiTheme="minorEastAsia" w:hAnsiTheme="minorEastAsia"/>
                <w:b/>
                <w:color w:val="000000"/>
                <w:sz w:val="24"/>
                <w:lang w:val="zh-CN"/>
              </w:rPr>
              <w:t>备注</w:t>
            </w:r>
          </w:p>
        </w:tc>
      </w:tr>
      <w:tr>
        <w:tblPrEx>
          <w:tblLayout w:type="fixed"/>
          <w:tblCellMar>
            <w:top w:w="0" w:type="dxa"/>
            <w:left w:w="0" w:type="dxa"/>
            <w:bottom w:w="0" w:type="dxa"/>
            <w:right w:w="0" w:type="dxa"/>
          </w:tblCellMar>
        </w:tblPrEx>
        <w:trPr>
          <w:trHeight w:val="1490"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622" w:after="568"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32</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629" w:after="561"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line="292" w:lineRule="exact"/>
              <w:ind w:left="36" w:right="72"/>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对下列行为之一的行政处罚：（一）擅自开启、关闭管道阀门的；</w:t>
            </w:r>
            <w:r>
              <w:rPr>
                <w:rFonts w:ascii="宋体" w:hAnsi="宋体" w:eastAsia="宋体"/>
                <w:color w:val="000000"/>
                <w:spacing w:val="-3"/>
                <w:sz w:val="24"/>
                <w:lang w:val="zh-CN"/>
              </w:rPr>
              <w:t xml:space="preserve"> </w:t>
            </w:r>
            <w:r>
              <w:rPr>
                <w:rFonts w:hint="eastAsia" w:ascii="宋体" w:hAnsi="宋体" w:eastAsia="宋体" w:cs="宋体"/>
                <w:color w:val="000000"/>
                <w:spacing w:val="-3"/>
                <w:sz w:val="24"/>
                <w:lang w:val="zh-CN"/>
              </w:rPr>
              <w:t>（二）移动、毁损、涂改管道标志的；（三）在埋地管道上方巡查便道上行驶重型车辆的；（四）在地面管道线路、架空管道线路和管桥上行走或者放置重物的；</w:t>
            </w:r>
            <w:r>
              <w:rPr>
                <w:rFonts w:hint="eastAsia" w:ascii="宋体" w:hAnsi="宋体"/>
                <w:color w:val="000000"/>
                <w:spacing w:val="-3"/>
                <w:sz w:val="24"/>
                <w:lang w:val="zh-CN"/>
              </w:rPr>
              <w:t>（</w:t>
            </w:r>
            <w:r>
              <w:rPr>
                <w:rFonts w:hint="eastAsia" w:ascii="宋体" w:hAnsi="宋体" w:eastAsia="宋体" w:cs="宋体"/>
                <w:color w:val="000000"/>
                <w:spacing w:val="-3"/>
                <w:sz w:val="24"/>
                <w:lang w:val="zh-CN"/>
              </w:rPr>
              <w:t>五）阻碍依法进行的管道建设的</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629" w:after="561"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2985" w:hRule="exact"/>
        </w:trPr>
        <w:tc>
          <w:tcPr>
            <w:tcW w:w="9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lang w:val="zh-CN"/>
              </w:rPr>
            </w:pPr>
            <w:r>
              <w:rPr>
                <w:rFonts w:hint="eastAsia" w:ascii="宋体" w:hAnsi="宋体"/>
                <w:color w:val="000000"/>
                <w:sz w:val="24"/>
                <w:lang w:val="zh-CN"/>
              </w:rPr>
              <w:t>33</w:t>
            </w:r>
          </w:p>
        </w:tc>
        <w:tc>
          <w:tcPr>
            <w:tcW w:w="12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line="290" w:lineRule="exact"/>
              <w:ind w:left="72" w:right="108"/>
              <w:jc w:val="center"/>
              <w:textAlignment w:val="baseline"/>
              <w:rPr>
                <w:rFonts w:ascii="宋体" w:hAnsi="宋体" w:eastAsia="宋体"/>
                <w:color w:val="000000"/>
                <w:spacing w:val="-4"/>
                <w:sz w:val="24"/>
                <w:lang w:val="zh-CN"/>
              </w:rPr>
            </w:pPr>
            <w:r>
              <w:rPr>
                <w:rFonts w:hint="eastAsia" w:ascii="宋体" w:hAnsi="宋体" w:eastAsia="宋体" w:cs="宋体"/>
                <w:color w:val="000000"/>
                <w:spacing w:val="-4"/>
                <w:sz w:val="24"/>
                <w:lang w:val="zh-CN"/>
              </w:rPr>
              <w:t>对涂改、倒卖、出租、出借或者以其他形式非法转让成品油经营批准证书的；成品油专项用户违反规定，擅自将专项用油对系统外销售的；违反本办法规定的条件和程序，未经许可擅自新建、</w:t>
            </w:r>
            <w:r>
              <w:rPr>
                <w:rFonts w:ascii="宋体" w:hAnsi="宋体" w:eastAsia="宋体"/>
                <w:color w:val="000000"/>
                <w:spacing w:val="-4"/>
                <w:sz w:val="24"/>
                <w:lang w:val="zh-CN"/>
              </w:rPr>
              <w:t xml:space="preserve"> </w:t>
            </w:r>
            <w:r>
              <w:rPr>
                <w:rFonts w:hint="eastAsia" w:ascii="宋体" w:hAnsi="宋体" w:eastAsia="宋体" w:cs="宋体"/>
                <w:color w:val="000000"/>
                <w:spacing w:val="-4"/>
                <w:sz w:val="24"/>
                <w:lang w:val="zh-CN"/>
              </w:rPr>
              <w:t>迁建和扩建加油站或油库的；采取掺杂掺假、以假充真、以次充好或者以不合格产品冒充合格产品等手段销售成品油，或者销售国家明令淘汰并禁止销售的成品油的；销售走私成品油的；擅自改动加油机或利用其他手段克扣油量的；成品油批发企业向不具有成品油经营资格的企业销售用于经营用途成品油的；成品油零售企业从不具有成品油批发经营资格的企业购进成品油的；超越经营范围进行经营活动的行政处罚</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2978" w:hRule="exact"/>
        </w:trPr>
        <w:tc>
          <w:tcPr>
            <w:tcW w:w="99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lang w:val="zh-CN"/>
              </w:rPr>
            </w:pPr>
            <w:r>
              <w:rPr>
                <w:rFonts w:hint="eastAsia" w:ascii="宋体" w:hAnsi="宋体"/>
                <w:color w:val="000000"/>
                <w:sz w:val="24"/>
                <w:lang w:val="zh-CN"/>
              </w:rPr>
              <w:t>34</w:t>
            </w:r>
          </w:p>
        </w:tc>
        <w:tc>
          <w:tcPr>
            <w:tcW w:w="127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行政处罚</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line="291" w:lineRule="exact"/>
              <w:ind w:left="72" w:right="72"/>
              <w:textAlignment w:val="baseline"/>
              <w:rPr>
                <w:rFonts w:ascii="宋体" w:hAnsi="宋体" w:eastAsia="宋体"/>
                <w:color w:val="000000"/>
                <w:spacing w:val="-9"/>
                <w:sz w:val="24"/>
                <w:lang w:val="zh-CN"/>
              </w:rPr>
            </w:pPr>
            <w:r>
              <w:rPr>
                <w:rFonts w:hint="eastAsia" w:ascii="宋体" w:hAnsi="宋体" w:eastAsia="宋体" w:cs="宋体"/>
                <w:color w:val="000000"/>
                <w:spacing w:val="-9"/>
                <w:sz w:val="24"/>
                <w:lang w:val="zh-CN"/>
              </w:rPr>
              <w:t>对管道企业下列行为之一的行政处罚：（一）未依照本法规定对管道进行巡护、检测和维修的；（二）对不符合安全使用条件的管道未及时更新、改造或者停止使用的；（三）未依照本法规定设置、修复或者更新有关管道标志的；（四）未依照本法规定将管道竣工测量图报人民政府主管管道保护工作的部门备案的；</w:t>
            </w:r>
          </w:p>
          <w:p>
            <w:pPr>
              <w:spacing w:line="291" w:lineRule="exact"/>
              <w:ind w:left="72" w:firstLine="144"/>
              <w:textAlignment w:val="baseline"/>
              <w:rPr>
                <w:rFonts w:ascii="宋体" w:hAnsi="宋体" w:eastAsia="宋体"/>
                <w:color w:val="000000"/>
                <w:spacing w:val="-9"/>
                <w:sz w:val="24"/>
                <w:lang w:val="zh-CN"/>
              </w:rPr>
            </w:pPr>
            <w:r>
              <w:rPr>
                <w:rFonts w:hint="eastAsia" w:ascii="宋体" w:hAnsi="宋体" w:eastAsia="宋体" w:cs="宋体"/>
                <w:color w:val="000000"/>
                <w:spacing w:val="-9"/>
                <w:sz w:val="24"/>
                <w:lang w:val="zh-CN"/>
              </w:rPr>
              <w:t>（五）未制定本企业管道事故应急预案，或者未将本企业管道事故应急预案报人民政府主管管道保护工作的部门备案的；（六）发生管道事故，未采取有效措施消除或者减轻事故危害的；</w:t>
            </w:r>
          </w:p>
          <w:p>
            <w:pPr>
              <w:spacing w:line="285" w:lineRule="exact"/>
              <w:ind w:left="72" w:firstLine="144"/>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（七）未对停止运行、封存、报废的管道采取必要的安全防护措施的</w:t>
            </w:r>
          </w:p>
        </w:tc>
        <w:tc>
          <w:tcPr>
            <w:tcW w:w="223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交通能源科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903" w:hRule="exact"/>
        </w:trPr>
        <w:tc>
          <w:tcPr>
            <w:tcW w:w="990" w:type="dxa"/>
            <w:tcBorders>
              <w:top w:val="single" w:color="000000" w:sz="4" w:space="0"/>
              <w:left w:val="single" w:color="000000" w:sz="4" w:space="0"/>
              <w:bottom w:val="single" w:color="000000" w:sz="4" w:space="0"/>
              <w:right w:val="single" w:color="000000" w:sz="4" w:space="0"/>
            </w:tcBorders>
            <w:vAlign w:val="center"/>
          </w:tcPr>
          <w:p>
            <w:pPr>
              <w:spacing w:before="169" w:after="100"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35</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before="169" w:after="100"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行政强制</w:t>
            </w:r>
            <w:r>
              <w:rPr>
                <w:rFonts w:ascii="宋体" w:hAnsi="宋体" w:eastAsia="宋体"/>
                <w:color w:val="000000"/>
                <w:sz w:val="24"/>
              </w:rPr>
              <w:t xml:space="preserve"> </w:t>
            </w:r>
          </w:p>
        </w:tc>
        <w:tc>
          <w:tcPr>
            <w:tcW w:w="6777" w:type="dxa"/>
            <w:tcBorders>
              <w:top w:val="single" w:color="000000" w:sz="4" w:space="0"/>
              <w:left w:val="single" w:color="000000" w:sz="4" w:space="0"/>
              <w:bottom w:val="single" w:color="000000" w:sz="4" w:space="0"/>
              <w:right w:val="single" w:color="000000" w:sz="4" w:space="0"/>
            </w:tcBorders>
            <w:vAlign w:val="center"/>
          </w:tcPr>
          <w:p>
            <w:pPr>
              <w:spacing w:before="162" w:after="107" w:line="271" w:lineRule="exact"/>
              <w:ind w:left="44"/>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对不按规定开展能源审计的重点用能单位强制审计</w:t>
            </w:r>
          </w:p>
        </w:tc>
        <w:tc>
          <w:tcPr>
            <w:tcW w:w="2239" w:type="dxa"/>
            <w:tcBorders>
              <w:top w:val="single" w:color="000000" w:sz="4" w:space="0"/>
              <w:left w:val="single" w:color="000000" w:sz="4" w:space="0"/>
              <w:bottom w:val="single" w:color="000000" w:sz="4" w:space="0"/>
              <w:right w:val="single" w:color="000000" w:sz="4" w:space="0"/>
            </w:tcBorders>
            <w:vAlign w:val="center"/>
          </w:tcPr>
          <w:p>
            <w:pPr>
              <w:spacing w:before="168" w:after="101"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r>
              <w:rPr>
                <w:rFonts w:hint="eastAsia"/>
              </w:rPr>
              <w:t>节能和循环经济科</w:t>
            </w:r>
          </w:p>
        </w:tc>
        <w:tc>
          <w:tcPr>
            <w:tcW w:w="890"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p>
        </w:tc>
      </w:tr>
    </w:tbl>
    <w:p>
      <w:pPr>
        <w:sectPr>
          <w:footerReference r:id="rId3" w:type="default"/>
          <w:pgSz w:w="16848" w:h="11909" w:orient="landscape"/>
          <w:pgMar w:top="700" w:right="1360" w:bottom="433" w:left="1246" w:header="720" w:footer="720" w:gutter="0"/>
          <w:cols w:space="720" w:num="1"/>
        </w:sectPr>
      </w:pPr>
    </w:p>
    <w:p>
      <w:pPr>
        <w:spacing w:before="14" w:line="20" w:lineRule="exact"/>
      </w:pPr>
    </w:p>
    <w:p>
      <w:pPr>
        <w:spacing w:before="9" w:line="20" w:lineRule="exact"/>
      </w:pPr>
    </w:p>
    <w:tbl>
      <w:tblPr>
        <w:tblStyle w:val="4"/>
        <w:tblW w:w="15877" w:type="dxa"/>
        <w:tblInd w:w="-703" w:type="dxa"/>
        <w:tblLayout w:type="fixed"/>
        <w:tblCellMar>
          <w:top w:w="0" w:type="dxa"/>
          <w:left w:w="0" w:type="dxa"/>
          <w:bottom w:w="0" w:type="dxa"/>
          <w:right w:w="0" w:type="dxa"/>
        </w:tblCellMar>
      </w:tblPr>
      <w:tblGrid>
        <w:gridCol w:w="993"/>
        <w:gridCol w:w="1417"/>
        <w:gridCol w:w="6804"/>
        <w:gridCol w:w="2268"/>
        <w:gridCol w:w="1843"/>
        <w:gridCol w:w="1559"/>
        <w:gridCol w:w="993"/>
      </w:tblGrid>
      <w:tr>
        <w:tblPrEx>
          <w:tblLayout w:type="fixed"/>
          <w:tblCellMar>
            <w:top w:w="0" w:type="dxa"/>
            <w:left w:w="0" w:type="dxa"/>
            <w:bottom w:w="0" w:type="dxa"/>
            <w:right w:w="0" w:type="dxa"/>
          </w:tblCellMar>
        </w:tblPrEx>
        <w:trPr>
          <w:trHeight w:val="1235" w:hRule="exact"/>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222" w:after="156" w:line="270" w:lineRule="exact"/>
              <w:ind w:left="216"/>
              <w:jc w:val="center"/>
              <w:textAlignment w:val="baseline"/>
              <w:rPr>
                <w:rFonts w:ascii="宋体" w:hAnsi="宋体" w:eastAsia="宋体"/>
                <w:b/>
                <w:color w:val="000000"/>
                <w:sz w:val="24"/>
                <w:lang w:val="zh-CN"/>
              </w:rPr>
            </w:pPr>
            <w:r>
              <w:rPr>
                <w:rFonts w:ascii="宋体" w:hAnsi="宋体" w:eastAsia="宋体"/>
                <w:b/>
                <w:color w:val="000000"/>
                <w:sz w:val="24"/>
                <w:lang w:val="zh-CN"/>
              </w:rPr>
              <w:t>序号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b/>
                <w:color w:val="000000"/>
                <w:sz w:val="24"/>
                <w:lang w:val="zh-CN"/>
              </w:rPr>
            </w:pPr>
            <w:r>
              <w:rPr>
                <w:rFonts w:hint="eastAsia" w:ascii="宋体" w:hAnsi="宋体"/>
                <w:b/>
                <w:color w:val="000000"/>
                <w:sz w:val="24"/>
                <w:lang w:val="zh-CN"/>
              </w:rPr>
              <w:t>事项</w:t>
            </w:r>
            <w:r>
              <w:rPr>
                <w:rFonts w:ascii="宋体" w:hAnsi="宋体" w:eastAsia="宋体"/>
                <w:b/>
                <w:color w:val="000000"/>
                <w:sz w:val="24"/>
                <w:lang w:val="zh-CN"/>
              </w:rPr>
              <w:t>类别</w:t>
            </w:r>
          </w:p>
        </w:tc>
        <w:tc>
          <w:tcPr>
            <w:tcW w:w="6804"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b/>
                <w:color w:val="000000"/>
                <w:sz w:val="24"/>
                <w:lang w:val="zh-CN"/>
              </w:rPr>
            </w:pPr>
            <w:r>
              <w:rPr>
                <w:rFonts w:ascii="宋体" w:hAnsi="宋体" w:eastAsia="宋体"/>
                <w:b/>
                <w:color w:val="000000"/>
                <w:sz w:val="24"/>
                <w:lang w:val="zh-CN"/>
              </w:rPr>
              <w:t>事项名称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b/>
                <w:color w:val="000000"/>
                <w:sz w:val="24"/>
                <w:lang w:val="zh-CN"/>
              </w:rPr>
            </w:pPr>
            <w:r>
              <w:rPr>
                <w:rFonts w:hint="eastAsia" w:ascii="宋体" w:hAnsi="宋体"/>
                <w:b/>
                <w:color w:val="000000"/>
                <w:sz w:val="24"/>
                <w:lang w:val="zh-CN"/>
              </w:rPr>
              <w:t>重心下移单位</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b/>
                <w:color w:val="000000"/>
                <w:sz w:val="24"/>
                <w:lang w:val="zh-CN"/>
              </w:rPr>
            </w:pPr>
            <w:r>
              <w:rPr>
                <w:rFonts w:hint="eastAsia" w:ascii="宋体" w:hAnsi="宋体"/>
                <w:b/>
                <w:color w:val="000000"/>
                <w:sz w:val="24"/>
                <w:lang w:val="zh-CN"/>
              </w:rPr>
              <w:t>承接单位</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before="262" w:after="116" w:line="270" w:lineRule="exact"/>
              <w:jc w:val="center"/>
              <w:textAlignment w:val="baseline"/>
              <w:rPr>
                <w:rFonts w:hint="eastAsia" w:ascii="宋体" w:hAnsi="宋体"/>
                <w:b/>
                <w:color w:val="000000"/>
                <w:sz w:val="24"/>
                <w:lang w:val="zh-CN"/>
              </w:rPr>
            </w:pPr>
            <w:r>
              <w:rPr>
                <w:rFonts w:hint="eastAsia" w:ascii="宋体" w:hAnsi="宋体"/>
                <w:b/>
                <w:color w:val="000000"/>
                <w:sz w:val="24"/>
                <w:lang w:val="zh-CN"/>
              </w:rPr>
              <w:t>承办科室</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before="262" w:after="116" w:line="270" w:lineRule="exact"/>
              <w:jc w:val="center"/>
              <w:textAlignment w:val="baseline"/>
              <w:rPr>
                <w:rFonts w:hint="eastAsia" w:ascii="宋体" w:hAnsi="宋体"/>
                <w:b/>
                <w:color w:val="000000"/>
                <w:sz w:val="24"/>
                <w:lang w:val="zh-CN"/>
              </w:rPr>
            </w:pPr>
            <w:r>
              <w:rPr>
                <w:rFonts w:hint="eastAsia" w:ascii="宋体" w:hAnsi="宋体"/>
                <w:b/>
                <w:color w:val="000000"/>
                <w:sz w:val="24"/>
                <w:lang w:val="zh-CN"/>
              </w:rPr>
              <w:t>备注</w:t>
            </w:r>
          </w:p>
        </w:tc>
      </w:tr>
      <w:tr>
        <w:tblPrEx>
          <w:tblLayout w:type="fixed"/>
          <w:tblCellMar>
            <w:top w:w="0" w:type="dxa"/>
            <w:left w:w="0" w:type="dxa"/>
            <w:bottom w:w="0" w:type="dxa"/>
            <w:right w:w="0" w:type="dxa"/>
          </w:tblCellMar>
        </w:tblPrEx>
        <w:trPr>
          <w:trHeight w:val="1313" w:hRule="exact"/>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276" w:after="208"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36</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270" w:after="214"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r>
              <w:rPr>
                <w:rFonts w:ascii="宋体" w:hAnsi="宋体" w:eastAsia="宋体"/>
                <w:color w:val="000000"/>
                <w:sz w:val="24"/>
              </w:rPr>
              <w:t xml:space="preserve"> </w:t>
            </w:r>
          </w:p>
        </w:tc>
        <w:tc>
          <w:tcPr>
            <w:tcW w:w="6804" w:type="dxa"/>
            <w:tcBorders>
              <w:top w:val="single" w:color="000000" w:sz="4" w:space="0"/>
              <w:left w:val="single" w:color="000000" w:sz="4" w:space="0"/>
              <w:bottom w:val="single" w:color="000000" w:sz="4" w:space="0"/>
              <w:right w:val="single" w:color="000000" w:sz="4" w:space="0"/>
            </w:tcBorders>
            <w:vAlign w:val="center"/>
          </w:tcPr>
          <w:p>
            <w:pPr>
              <w:spacing w:before="71" w:after="50" w:line="317" w:lineRule="exact"/>
              <w:ind w:left="36"/>
              <w:jc w:val="center"/>
              <w:textAlignment w:val="baseline"/>
              <w:rPr>
                <w:rFonts w:ascii="宋体" w:hAnsi="宋体" w:eastAsia="宋体"/>
                <w:color w:val="000000"/>
                <w:spacing w:val="-3"/>
                <w:sz w:val="24"/>
                <w:lang w:val="zh-CN"/>
              </w:rPr>
            </w:pPr>
            <w:r>
              <w:rPr>
                <w:rFonts w:hint="eastAsia" w:ascii="宋体" w:hAnsi="宋体" w:eastAsia="宋体" w:cs="宋体"/>
                <w:color w:val="000000"/>
                <w:spacing w:val="-3"/>
                <w:sz w:val="24"/>
                <w:lang w:val="zh-CN"/>
              </w:rPr>
              <w:t>对煤矿企业和煤炭经营企业执行煤炭法律、法规的情况的监督检查</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before="276" w:after="208"/>
              <w:jc w:val="center"/>
              <w:textAlignment w:val="baseline"/>
              <w:rPr>
                <w:rFonts w:hint="eastAsia" w:ascii="宋体" w:hAnsi="宋体"/>
                <w:color w:val="000000"/>
                <w:sz w:val="24"/>
                <w:lang w:val="zh-CN"/>
              </w:rPr>
            </w:pPr>
            <w:r>
              <w:rPr>
                <w:rFonts w:hint="eastAsia" w:ascii="宋体" w:hAnsi="宋体" w:eastAsia="宋体" w:cs="宋体"/>
                <w:color w:val="000000"/>
                <w:sz w:val="24"/>
                <w:lang w:val="zh-CN"/>
              </w:rPr>
              <w:t xml:space="preserve">广东省能源局 </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hint="eastAsia" w:ascii="宋体" w:hAnsi="宋体"/>
                <w:color w:val="000000"/>
                <w:sz w:val="24"/>
              </w:rPr>
            </w:pPr>
            <w:r>
              <w:rPr>
                <w:rFonts w:hint="eastAsia" w:ascii="宋体" w:hAnsi="宋体"/>
                <w:color w:val="000000"/>
                <w:sz w:val="24"/>
              </w:rPr>
              <w:t>电力能源科</w:t>
            </w:r>
          </w:p>
        </w:tc>
        <w:tc>
          <w:tcPr>
            <w:tcW w:w="993"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133" w:hRule="exact"/>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125" w:after="49"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37</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119" w:after="55"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r>
              <w:rPr>
                <w:rFonts w:ascii="宋体" w:hAnsi="宋体" w:eastAsia="宋体"/>
                <w:color w:val="000000"/>
                <w:sz w:val="24"/>
              </w:rPr>
              <w:t xml:space="preserve"> </w:t>
            </w:r>
          </w:p>
        </w:tc>
        <w:tc>
          <w:tcPr>
            <w:tcW w:w="6804" w:type="dxa"/>
            <w:tcBorders>
              <w:top w:val="single" w:color="000000" w:sz="4" w:space="0"/>
              <w:left w:val="single" w:color="000000" w:sz="4" w:space="0"/>
              <w:bottom w:val="single" w:color="000000" w:sz="4" w:space="0"/>
              <w:right w:val="single" w:color="000000" w:sz="4" w:space="0"/>
            </w:tcBorders>
            <w:vAlign w:val="center"/>
          </w:tcPr>
          <w:p>
            <w:pPr>
              <w:spacing w:before="115" w:after="59" w:line="271" w:lineRule="exact"/>
              <w:ind w:left="44"/>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对本区域供用电工作的监督检查</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before="121" w:after="53"/>
              <w:jc w:val="center"/>
              <w:textAlignment w:val="baseline"/>
              <w:rPr>
                <w:rFonts w:hint="eastAsia" w:ascii="宋体" w:hAnsi="宋体"/>
                <w:color w:val="000000"/>
                <w:sz w:val="24"/>
                <w:lang w:val="zh-CN"/>
              </w:rPr>
            </w:pPr>
            <w:r>
              <w:rPr>
                <w:rFonts w:hint="eastAsia" w:ascii="宋体" w:hAnsi="宋体" w:eastAsia="宋体" w:cs="宋体"/>
                <w:color w:val="000000"/>
                <w:sz w:val="24"/>
                <w:lang w:val="zh-CN"/>
              </w:rPr>
              <w:t xml:space="preserve">广东省能源局 </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电力能源科</w:t>
            </w:r>
          </w:p>
        </w:tc>
        <w:tc>
          <w:tcPr>
            <w:tcW w:w="993"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404" w:hRule="exact"/>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147" w:after="85" w:line="271" w:lineRule="exact"/>
              <w:jc w:val="center"/>
              <w:textAlignment w:val="baseline"/>
              <w:rPr>
                <w:rFonts w:hint="eastAsia" w:ascii="宋体" w:hAnsi="宋体"/>
                <w:color w:val="000000"/>
                <w:sz w:val="24"/>
                <w:lang w:val="zh-CN"/>
              </w:rPr>
            </w:pPr>
            <w:r>
              <w:rPr>
                <w:rFonts w:hint="eastAsia" w:ascii="宋体" w:hAnsi="宋体"/>
                <w:color w:val="000000"/>
                <w:sz w:val="24"/>
                <w:lang w:val="zh-CN"/>
              </w:rPr>
              <w:t>38</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before="148" w:after="84" w:line="271" w:lineRule="exact"/>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r>
              <w:rPr>
                <w:rFonts w:ascii="宋体" w:hAnsi="宋体" w:eastAsia="宋体"/>
                <w:color w:val="000000"/>
                <w:sz w:val="24"/>
              </w:rPr>
              <w:t xml:space="preserve"> </w:t>
            </w:r>
          </w:p>
        </w:tc>
        <w:tc>
          <w:tcPr>
            <w:tcW w:w="6804" w:type="dxa"/>
            <w:tcBorders>
              <w:top w:val="single" w:color="000000" w:sz="4" w:space="0"/>
              <w:left w:val="single" w:color="000000" w:sz="4" w:space="0"/>
              <w:bottom w:val="single" w:color="000000" w:sz="4" w:space="0"/>
              <w:right w:val="single" w:color="000000" w:sz="4" w:space="0"/>
            </w:tcBorders>
            <w:vAlign w:val="center"/>
          </w:tcPr>
          <w:p>
            <w:pPr>
              <w:spacing w:before="145" w:after="87" w:line="271" w:lineRule="exact"/>
              <w:ind w:left="44"/>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供电、用电的监督检查</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before="150" w:after="82"/>
              <w:jc w:val="center"/>
              <w:textAlignment w:val="baseline"/>
              <w:rPr>
                <w:rFonts w:hint="eastAsia" w:ascii="宋体" w:hAnsi="宋体"/>
                <w:color w:val="000000"/>
                <w:sz w:val="24"/>
                <w:lang w:val="zh-CN"/>
              </w:rPr>
            </w:pPr>
            <w:r>
              <w:rPr>
                <w:rFonts w:hint="eastAsia" w:ascii="宋体" w:hAnsi="宋体" w:eastAsia="宋体" w:cs="宋体"/>
                <w:color w:val="000000"/>
                <w:sz w:val="24"/>
                <w:lang w:val="zh-CN"/>
              </w:rPr>
              <w:t xml:space="preserve">广东省能源局 </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江门市发展和改革局</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4"/>
              </w:rPr>
              <w:t>电力能源科</w:t>
            </w:r>
          </w:p>
        </w:tc>
        <w:tc>
          <w:tcPr>
            <w:tcW w:w="993" w:type="dxa"/>
            <w:tcBorders>
              <w:top w:val="single" w:color="000000" w:sz="4" w:space="0"/>
              <w:left w:val="single" w:color="000000" w:sz="4" w:space="0"/>
              <w:bottom w:val="single" w:color="000000" w:sz="4" w:space="0"/>
              <w:right w:val="single" w:color="000000" w:sz="4" w:space="0"/>
            </w:tcBorders>
          </w:tcPr>
          <w:p>
            <w:pP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127" w:hRule="exact"/>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133" w:after="101"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39</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p>
        </w:tc>
        <w:tc>
          <w:tcPr>
            <w:tcW w:w="6804" w:type="dxa"/>
            <w:tcBorders>
              <w:top w:val="single" w:color="000000" w:sz="4" w:space="0"/>
              <w:left w:val="single" w:color="000000" w:sz="4" w:space="0"/>
              <w:bottom w:val="single" w:color="000000" w:sz="4" w:space="0"/>
              <w:right w:val="single" w:color="000000" w:sz="4" w:space="0"/>
            </w:tcBorders>
            <w:vAlign w:val="center"/>
          </w:tcPr>
          <w:p>
            <w:pPr>
              <w:spacing w:before="143" w:after="91"/>
              <w:ind w:left="30"/>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组织实施节能监察</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before="143" w:after="91" w:line="270" w:lineRule="exact"/>
              <w:ind w:left="30"/>
              <w:jc w:val="center"/>
              <w:textAlignment w:val="baseline"/>
              <w:rPr>
                <w:rFonts w:hint="eastAsia" w:ascii="宋体" w:hAnsi="宋体"/>
                <w:color w:val="000000"/>
                <w:sz w:val="24"/>
                <w:lang w:val="zh-CN"/>
              </w:rPr>
            </w:pPr>
            <w:r>
              <w:rPr>
                <w:rFonts w:hint="eastAsia" w:ascii="宋体" w:hAnsi="宋体"/>
                <w:color w:val="000000"/>
                <w:sz w:val="24"/>
                <w:lang w:val="zh-CN"/>
              </w:rPr>
              <w:t>江门市发展和改革局</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r>
              <w:rPr>
                <w:rFonts w:hint="eastAsia"/>
              </w:rPr>
              <w:t>节能和循环经济科</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r>
        <w:tblPrEx>
          <w:tblLayout w:type="fixed"/>
          <w:tblCellMar>
            <w:top w:w="0" w:type="dxa"/>
            <w:left w:w="0" w:type="dxa"/>
            <w:bottom w:w="0" w:type="dxa"/>
            <w:right w:w="0" w:type="dxa"/>
          </w:tblCellMar>
        </w:tblPrEx>
        <w:trPr>
          <w:trHeight w:val="1155" w:hRule="exact"/>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176" w:after="151" w:line="270" w:lineRule="exact"/>
              <w:jc w:val="center"/>
              <w:textAlignment w:val="baseline"/>
              <w:rPr>
                <w:rFonts w:hint="eastAsia" w:ascii="宋体" w:hAnsi="宋体"/>
                <w:color w:val="000000"/>
                <w:sz w:val="24"/>
                <w:lang w:val="zh-CN"/>
              </w:rPr>
            </w:pPr>
            <w:r>
              <w:rPr>
                <w:rFonts w:hint="eastAsia" w:ascii="宋体" w:hAnsi="宋体"/>
                <w:color w:val="000000"/>
                <w:sz w:val="24"/>
                <w:lang w:val="zh-CN"/>
              </w:rPr>
              <w:t>40</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行政检查</w:t>
            </w:r>
          </w:p>
        </w:tc>
        <w:tc>
          <w:tcPr>
            <w:tcW w:w="6804" w:type="dxa"/>
            <w:tcBorders>
              <w:top w:val="single" w:color="000000" w:sz="4" w:space="0"/>
              <w:left w:val="single" w:color="000000" w:sz="4" w:space="0"/>
              <w:bottom w:val="single" w:color="000000" w:sz="4" w:space="0"/>
              <w:right w:val="single" w:color="000000" w:sz="4" w:space="0"/>
            </w:tcBorders>
            <w:vAlign w:val="center"/>
          </w:tcPr>
          <w:p>
            <w:pPr>
              <w:spacing w:before="188" w:after="139"/>
              <w:ind w:left="30"/>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石油天然气管道保护检查</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lang w:val="zh-CN"/>
              </w:rPr>
            </w:pPr>
            <w:r>
              <w:rPr>
                <w:rFonts w:hint="eastAsia" w:ascii="宋体" w:hAnsi="宋体" w:eastAsia="宋体" w:cs="宋体"/>
                <w:color w:val="000000"/>
                <w:sz w:val="24"/>
                <w:lang w:val="zh-CN"/>
              </w:rPr>
              <w:t xml:space="preserve">广东省能源局 </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before="188" w:after="139" w:line="270" w:lineRule="exact"/>
              <w:ind w:left="30"/>
              <w:jc w:val="center"/>
              <w:textAlignment w:val="baseline"/>
              <w:rPr>
                <w:rFonts w:hint="eastAsia" w:ascii="宋体" w:hAnsi="宋体"/>
                <w:color w:val="000000"/>
                <w:sz w:val="24"/>
                <w:lang w:val="zh-CN"/>
              </w:rPr>
            </w:pPr>
            <w:r>
              <w:rPr>
                <w:rFonts w:hint="eastAsia" w:ascii="宋体" w:hAnsi="宋体"/>
                <w:color w:val="000000"/>
                <w:sz w:val="24"/>
                <w:lang w:val="zh-CN"/>
              </w:rPr>
              <w:t>江门市发展和改革局</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r>
              <w:rPr>
                <w:rFonts w:hint="eastAsia"/>
              </w:rPr>
              <w:t>交通能源科</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宋体" w:hAnsi="宋体" w:eastAsia="宋体"/>
                <w:color w:val="000000"/>
                <w:sz w:val="24"/>
              </w:rPr>
            </w:pPr>
          </w:p>
        </w:tc>
      </w:tr>
    </w:tbl>
    <w:p>
      <w:pPr>
        <w:jc w:val="left"/>
        <w:rPr>
          <w:rFonts w:asciiTheme="minorEastAsia" w:hAnsiTheme="minorEastAsia"/>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8527"/>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220D"/>
    <w:rsid w:val="000147EC"/>
    <w:rsid w:val="000321DF"/>
    <w:rsid w:val="0007140A"/>
    <w:rsid w:val="00073AFE"/>
    <w:rsid w:val="000A5609"/>
    <w:rsid w:val="00127F6B"/>
    <w:rsid w:val="00143D38"/>
    <w:rsid w:val="001675E3"/>
    <w:rsid w:val="00183CCF"/>
    <w:rsid w:val="00192603"/>
    <w:rsid w:val="002B1783"/>
    <w:rsid w:val="002C778F"/>
    <w:rsid w:val="00317E85"/>
    <w:rsid w:val="00324862"/>
    <w:rsid w:val="003639F3"/>
    <w:rsid w:val="003B202F"/>
    <w:rsid w:val="004157DD"/>
    <w:rsid w:val="00473379"/>
    <w:rsid w:val="00482ADF"/>
    <w:rsid w:val="00524A34"/>
    <w:rsid w:val="00543F55"/>
    <w:rsid w:val="005A7821"/>
    <w:rsid w:val="00613A9F"/>
    <w:rsid w:val="00634F88"/>
    <w:rsid w:val="006614FF"/>
    <w:rsid w:val="0067723A"/>
    <w:rsid w:val="00720A5C"/>
    <w:rsid w:val="0074220D"/>
    <w:rsid w:val="0075571F"/>
    <w:rsid w:val="00787505"/>
    <w:rsid w:val="007C5980"/>
    <w:rsid w:val="007F00AD"/>
    <w:rsid w:val="008079D6"/>
    <w:rsid w:val="00820A20"/>
    <w:rsid w:val="00827A24"/>
    <w:rsid w:val="0089018A"/>
    <w:rsid w:val="008D1F45"/>
    <w:rsid w:val="008E15C8"/>
    <w:rsid w:val="00927E19"/>
    <w:rsid w:val="0097511D"/>
    <w:rsid w:val="00994BEC"/>
    <w:rsid w:val="009B0042"/>
    <w:rsid w:val="00A40B94"/>
    <w:rsid w:val="00A66960"/>
    <w:rsid w:val="00AE480C"/>
    <w:rsid w:val="00B2466C"/>
    <w:rsid w:val="00B536D5"/>
    <w:rsid w:val="00B822FB"/>
    <w:rsid w:val="00BC2011"/>
    <w:rsid w:val="00C52932"/>
    <w:rsid w:val="00D3404B"/>
    <w:rsid w:val="00D425FE"/>
    <w:rsid w:val="00D5305E"/>
    <w:rsid w:val="00DF16AF"/>
    <w:rsid w:val="00E6426E"/>
    <w:rsid w:val="00EA6D42"/>
    <w:rsid w:val="00EC0F22"/>
    <w:rsid w:val="00F06DE6"/>
    <w:rsid w:val="00F13CEF"/>
    <w:rsid w:val="00F63696"/>
    <w:rsid w:val="00F639C9"/>
    <w:rsid w:val="00F77F24"/>
    <w:rsid w:val="00F9543F"/>
    <w:rsid w:val="00FC187C"/>
    <w:rsid w:val="788A06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DFCF9-737B-4ACB-8183-74D927E7FE66}">
  <ds:schemaRefs/>
</ds:datastoreItem>
</file>

<file path=docProps/app.xml><?xml version="1.0" encoding="utf-8"?>
<Properties xmlns="http://schemas.openxmlformats.org/officeDocument/2006/extended-properties" xmlns:vt="http://schemas.openxmlformats.org/officeDocument/2006/docPropsVTypes">
  <Template>Normal.dotm</Template>
  <Pages>8</Pages>
  <Words>774</Words>
  <Characters>4412</Characters>
  <Lines>36</Lines>
  <Paragraphs>10</Paragraphs>
  <TotalTime>147</TotalTime>
  <ScaleCrop>false</ScaleCrop>
  <LinksUpToDate>false</LinksUpToDate>
  <CharactersWithSpaces>5176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2020-03-19T03:13:00Z</dcterms:created>
  <dc:creator>梁慧娜</dc:creator>
  <cp:lastModifiedBy>tqx</cp:lastModifiedBy>
  <dcterms:modified xsi:type="dcterms:W3CDTF">2020-03-24T09:11:43Z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