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36"/>
          <w:szCs w:val="36"/>
        </w:rPr>
      </w:pPr>
      <w:r>
        <w:rPr>
          <w:rFonts w:hint="eastAsia" w:ascii="宋体" w:hAnsi="宋体" w:eastAsia="宋体"/>
          <w:sz w:val="36"/>
          <w:szCs w:val="36"/>
        </w:rPr>
        <w:t>恩平</w:t>
      </w:r>
      <w:r>
        <w:rPr>
          <w:rFonts w:hint="eastAsia" w:ascii="宋体" w:hAnsi="宋体" w:eastAsia="宋体"/>
          <w:sz w:val="36"/>
          <w:szCs w:val="36"/>
          <w:lang w:val="en-US" w:eastAsia="zh-CN"/>
        </w:rPr>
        <w:t>市</w:t>
      </w:r>
      <w:r>
        <w:rPr>
          <w:rFonts w:hint="eastAsia" w:ascii="宋体" w:hAnsi="宋体" w:eastAsia="宋体"/>
          <w:sz w:val="36"/>
          <w:szCs w:val="36"/>
        </w:rPr>
        <w:t>人民政府关于划定畜禽养殖禁养区的通告</w:t>
      </w:r>
    </w:p>
    <w:p>
      <w:pPr>
        <w:spacing w:line="360" w:lineRule="auto"/>
        <w:jc w:val="center"/>
        <w:rPr>
          <w:rFonts w:ascii="宋体" w:hAnsi="宋体" w:eastAsia="宋体"/>
          <w:sz w:val="36"/>
          <w:szCs w:val="36"/>
        </w:rPr>
      </w:pPr>
      <w:r>
        <w:rPr>
          <w:rFonts w:hint="eastAsia" w:ascii="宋体" w:hAnsi="宋体" w:eastAsia="宋体"/>
          <w:sz w:val="36"/>
          <w:szCs w:val="36"/>
        </w:rPr>
        <w:t>（</w:t>
      </w:r>
      <w:r>
        <w:rPr>
          <w:rFonts w:hint="eastAsia" w:ascii="宋体" w:hAnsi="宋体" w:eastAsia="宋体"/>
          <w:sz w:val="36"/>
          <w:szCs w:val="36"/>
          <w:lang w:eastAsia="zh-CN"/>
        </w:rPr>
        <w:t>征求意见</w:t>
      </w:r>
      <w:bookmarkStart w:id="0" w:name="_GoBack"/>
      <w:bookmarkEnd w:id="0"/>
      <w:r>
        <w:rPr>
          <w:rFonts w:hint="eastAsia" w:ascii="宋体" w:hAnsi="宋体" w:eastAsia="宋体"/>
          <w:sz w:val="36"/>
          <w:szCs w:val="36"/>
        </w:rPr>
        <w:t>稿）</w:t>
      </w:r>
    </w:p>
    <w:p>
      <w:pPr>
        <w:spacing w:line="360" w:lineRule="auto"/>
        <w:ind w:right="960"/>
        <w:jc w:val="right"/>
        <w:rPr>
          <w:rFonts w:ascii="宋体" w:hAnsi="宋体" w:eastAsia="宋体"/>
          <w:sz w:val="24"/>
          <w:szCs w:val="24"/>
        </w:rPr>
      </w:pPr>
      <w:r>
        <w:rPr>
          <w:rFonts w:hint="eastAsia" w:ascii="宋体" w:hAnsi="宋体" w:eastAsia="宋体"/>
          <w:sz w:val="24"/>
          <w:szCs w:val="24"/>
        </w:rPr>
        <w:t>恩</w:t>
      </w:r>
      <w:r>
        <w:rPr>
          <w:rFonts w:ascii="宋体" w:hAnsi="宋体" w:eastAsia="宋体"/>
          <w:sz w:val="24"/>
          <w:szCs w:val="24"/>
        </w:rPr>
        <w:t>府告〔20</w:t>
      </w:r>
      <w:r>
        <w:rPr>
          <w:rFonts w:hint="eastAsia" w:ascii="宋体" w:hAnsi="宋体" w:eastAsia="宋体"/>
          <w:sz w:val="24"/>
          <w:szCs w:val="24"/>
          <w:lang w:val="en-US" w:eastAsia="zh-CN"/>
        </w:rPr>
        <w:t>20</w:t>
      </w:r>
      <w:r>
        <w:rPr>
          <w:rFonts w:ascii="宋体" w:hAnsi="宋体" w:eastAsia="宋体"/>
          <w:sz w:val="24"/>
          <w:szCs w:val="24"/>
        </w:rPr>
        <w:t>〕</w:t>
      </w:r>
      <w:r>
        <w:rPr>
          <w:rFonts w:hint="eastAsia" w:ascii="宋体" w:hAnsi="宋体" w:eastAsia="宋体"/>
          <w:sz w:val="24"/>
          <w:szCs w:val="24"/>
        </w:rPr>
        <w:t>XXX</w:t>
      </w:r>
      <w:r>
        <w:rPr>
          <w:rFonts w:ascii="宋体" w:hAnsi="宋体" w:eastAsia="宋体"/>
          <w:sz w:val="24"/>
          <w:szCs w:val="24"/>
        </w:rPr>
        <w:t>号</w:t>
      </w:r>
    </w:p>
    <w:p>
      <w:pPr>
        <w:spacing w:line="360" w:lineRule="auto"/>
        <w:ind w:firstLine="480" w:firstLineChars="200"/>
        <w:rPr>
          <w:rFonts w:hint="eastAsia" w:ascii="宋体" w:hAnsi="宋体" w:eastAsia="宋体"/>
          <w:sz w:val="24"/>
          <w:szCs w:val="24"/>
        </w:rPr>
      </w:pPr>
    </w:p>
    <w:p>
      <w:pPr>
        <w:spacing w:line="360" w:lineRule="auto"/>
        <w:ind w:firstLine="480" w:firstLineChars="200"/>
        <w:rPr>
          <w:rFonts w:ascii="宋体" w:hAnsi="宋体" w:eastAsia="宋体"/>
          <w:color w:val="auto"/>
          <w:sz w:val="24"/>
          <w:szCs w:val="24"/>
        </w:rPr>
      </w:pPr>
      <w:r>
        <w:rPr>
          <w:rFonts w:hint="eastAsia" w:ascii="宋体" w:hAnsi="宋体" w:eastAsia="宋体"/>
          <w:sz w:val="24"/>
          <w:szCs w:val="24"/>
        </w:rPr>
        <w:t>为了保护生态环境，从源头上控制畜禽养殖的污染，推动农业面源减排和区域环境质量改善，优化畜禽养殖产业结构和布局，促进畜禽养殖持续健康稳定发展，根据《中华人民共和国畜牧法》《中华人民共和国环境保护法》《中华人民共和国动物防疫法》《畜禽规模养殖污染防治条例》《基本农田保护条例》《广东省环境保护条例》《畜禽养殖禁养区划定技术指南》等相关规定，</w:t>
      </w:r>
      <w:r>
        <w:rPr>
          <w:rFonts w:ascii="宋体" w:hAnsi="宋体" w:eastAsia="宋体"/>
          <w:sz w:val="24"/>
          <w:szCs w:val="24"/>
        </w:rPr>
        <w:t>结合</w:t>
      </w:r>
      <w:r>
        <w:rPr>
          <w:rFonts w:hint="eastAsia" w:ascii="宋体" w:hAnsi="宋体" w:eastAsia="宋体"/>
          <w:sz w:val="24"/>
          <w:szCs w:val="24"/>
        </w:rPr>
        <w:t>本市</w:t>
      </w:r>
      <w:r>
        <w:rPr>
          <w:rFonts w:ascii="宋体" w:hAnsi="宋体" w:eastAsia="宋体"/>
          <w:sz w:val="24"/>
          <w:szCs w:val="24"/>
        </w:rPr>
        <w:t>实际，</w:t>
      </w:r>
      <w:r>
        <w:rPr>
          <w:rFonts w:hint="eastAsia" w:ascii="宋体" w:hAnsi="宋体" w:eastAsia="宋体"/>
          <w:sz w:val="24"/>
          <w:szCs w:val="24"/>
        </w:rPr>
        <w:t>现就划定我市畜禽养殖禁</w:t>
      </w:r>
      <w:r>
        <w:rPr>
          <w:rFonts w:hint="eastAsia" w:ascii="宋体" w:hAnsi="宋体" w:eastAsia="宋体"/>
          <w:color w:val="auto"/>
          <w:sz w:val="24"/>
          <w:szCs w:val="24"/>
        </w:rPr>
        <w:t>养区的有关事项通告如下</w:t>
      </w:r>
      <w:r>
        <w:rPr>
          <w:rFonts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一、禁</w:t>
      </w:r>
      <w:r>
        <w:rPr>
          <w:rFonts w:ascii="宋体" w:hAnsi="宋体" w:eastAsia="宋体"/>
          <w:color w:val="auto"/>
          <w:sz w:val="24"/>
          <w:szCs w:val="24"/>
        </w:rPr>
        <w:t>养区范围</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（一）人口集中区：恩平市中心城区建成区（恩城街道办辖下居委会）、其他建制镇建成区（辖下居委会）、行政村及自然村中相对集中居住区、文教科研区、医疗区等人口集中区域。</w:t>
      </w:r>
    </w:p>
    <w:p>
      <w:pPr>
        <w:spacing w:line="360" w:lineRule="auto"/>
        <w:ind w:firstLine="480" w:firstLineChars="200"/>
        <w:rPr>
          <w:rFonts w:ascii="宋体" w:hAnsi="宋体" w:eastAsia="宋体"/>
          <w:sz w:val="24"/>
          <w:szCs w:val="24"/>
        </w:rPr>
      </w:pPr>
      <w:r>
        <w:rPr>
          <w:rFonts w:hint="eastAsia" w:ascii="宋体" w:hAnsi="宋体" w:eastAsia="宋体"/>
          <w:color w:val="auto"/>
          <w:sz w:val="24"/>
          <w:szCs w:val="24"/>
        </w:rPr>
        <w:t>（二）饮用水资源保护区和重要水库：锦江水库、凤子山水库、</w:t>
      </w:r>
      <w:r>
        <w:rPr>
          <w:rFonts w:hint="eastAsia" w:ascii="宋体" w:hAnsi="宋体" w:eastAsia="宋体"/>
          <w:sz w:val="24"/>
          <w:szCs w:val="24"/>
        </w:rPr>
        <w:t>大田镇茶山坑水库、宝鸭仔水库、西坑水库、大槐镇铜古坑水库、那吉镇牛仔岭水库、横陂镇南宅水库、良西水库、青南角水库、马山水库、大带水库等水库集雨面积范围以内的区域。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（三）各级自然保护区的核心区及缓冲区（包括广东恩平七星坑省级自然保护区、锦江源市级自然保护区、恩平市君子山县级自然保护区、恩平市镇海湾红树林县级自然保护区）。</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（四）省级以上风景名胜区。</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（五）潭江主干流沿岸两侧500米范围以内。</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（六）重点未达标支流两侧200米范围以内（包括莲塘水、朗底水、长安河、沙岗河、牛庙河、公仔河、廉钩水、琅哥河、</w:t>
      </w:r>
      <w:r>
        <w:rPr>
          <w:rFonts w:hint="eastAsia" w:ascii="宋体" w:hAnsi="宋体" w:eastAsia="宋体"/>
          <w:color w:val="auto"/>
          <w:sz w:val="24"/>
          <w:szCs w:val="24"/>
          <w:lang w:val="en-US" w:eastAsia="zh-CN"/>
        </w:rPr>
        <w:t>仙人河、猪肉湖河</w:t>
      </w:r>
      <w:r>
        <w:rPr>
          <w:rFonts w:hint="eastAsia" w:ascii="宋体" w:hAnsi="宋体" w:eastAsia="宋体"/>
          <w:color w:val="auto"/>
          <w:sz w:val="24"/>
          <w:szCs w:val="24"/>
        </w:rPr>
        <w:t>、曲水、那扶河）。</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（七）基本农田保护区。</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（八）国家或地方法律、法规规定需要特殊保护的其他区域。</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二、非禁养</w:t>
      </w:r>
      <w:r>
        <w:rPr>
          <w:rFonts w:ascii="宋体" w:hAnsi="宋体" w:eastAsia="宋体"/>
          <w:color w:val="auto"/>
          <w:sz w:val="24"/>
          <w:szCs w:val="24"/>
        </w:rPr>
        <w:t>区范围</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恩平市行政区内划定的禁养区以外的其他区域原则上为非禁养区。</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w:t>
      </w:r>
      <w:r>
        <w:rPr>
          <w:rFonts w:ascii="宋体" w:hAnsi="宋体" w:eastAsia="宋体"/>
          <w:color w:val="auto"/>
          <w:sz w:val="24"/>
          <w:szCs w:val="24"/>
        </w:rPr>
        <w:t>、畜禽养殖禁养区、</w:t>
      </w:r>
      <w:r>
        <w:rPr>
          <w:rFonts w:hint="eastAsia" w:ascii="宋体" w:hAnsi="宋体" w:eastAsia="宋体"/>
          <w:color w:val="auto"/>
          <w:sz w:val="24"/>
          <w:szCs w:val="24"/>
        </w:rPr>
        <w:t>非禁</w:t>
      </w:r>
      <w:r>
        <w:rPr>
          <w:rFonts w:ascii="宋体" w:hAnsi="宋体" w:eastAsia="宋体"/>
          <w:color w:val="auto"/>
          <w:sz w:val="24"/>
          <w:szCs w:val="24"/>
        </w:rPr>
        <w:t>养区污染防治管理</w:t>
      </w:r>
      <w:r>
        <w:rPr>
          <w:rFonts w:hint="eastAsia" w:ascii="宋体" w:hAnsi="宋体" w:eastAsia="宋体"/>
          <w:color w:val="auto"/>
          <w:sz w:val="24"/>
          <w:szCs w:val="24"/>
        </w:rPr>
        <w:t>要求</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（一）禁养区要求</w:t>
      </w:r>
    </w:p>
    <w:p>
      <w:pPr>
        <w:spacing w:line="360" w:lineRule="auto"/>
        <w:ind w:firstLine="480" w:firstLineChars="200"/>
        <w:rPr>
          <w:rFonts w:ascii="宋体" w:hAnsi="宋体" w:eastAsia="宋体"/>
          <w:sz w:val="24"/>
          <w:szCs w:val="24"/>
        </w:rPr>
      </w:pPr>
      <w:r>
        <w:rPr>
          <w:rFonts w:hint="eastAsia" w:ascii="宋体" w:hAnsi="宋体" w:eastAsia="宋体"/>
          <w:color w:val="auto"/>
          <w:sz w:val="24"/>
          <w:szCs w:val="24"/>
        </w:rPr>
        <w:t>1</w:t>
      </w:r>
      <w:r>
        <w:rPr>
          <w:rFonts w:ascii="宋体" w:hAnsi="宋体" w:eastAsia="宋体"/>
          <w:color w:val="auto"/>
          <w:sz w:val="24"/>
          <w:szCs w:val="24"/>
        </w:rPr>
        <w:t>.</w:t>
      </w:r>
      <w:r>
        <w:rPr>
          <w:rFonts w:hint="eastAsia" w:ascii="宋体" w:hAnsi="宋体" w:eastAsia="宋体"/>
          <w:color w:val="auto"/>
          <w:sz w:val="24"/>
          <w:szCs w:val="24"/>
        </w:rPr>
        <w:t>禁养区现有畜禽养殖场、畜禽养殖专业户要在2021年12</w:t>
      </w:r>
      <w:r>
        <w:rPr>
          <w:rFonts w:hint="eastAsia" w:ascii="宋体" w:hAnsi="宋体" w:eastAsia="宋体"/>
          <w:color w:val="auto"/>
          <w:sz w:val="24"/>
          <w:szCs w:val="24"/>
          <w:lang w:val="en-US" w:eastAsia="zh-CN"/>
        </w:rPr>
        <w:t>月</w:t>
      </w:r>
      <w:r>
        <w:rPr>
          <w:rFonts w:hint="eastAsia" w:ascii="宋体" w:hAnsi="宋体" w:eastAsia="宋体"/>
          <w:color w:val="auto"/>
          <w:sz w:val="24"/>
          <w:szCs w:val="24"/>
        </w:rPr>
        <w:t>底前</w:t>
      </w:r>
      <w:r>
        <w:rPr>
          <w:rFonts w:hint="eastAsia" w:ascii="宋体" w:hAnsi="宋体" w:eastAsia="宋体"/>
          <w:sz w:val="24"/>
          <w:szCs w:val="24"/>
        </w:rPr>
        <w:t>全部依法关闭或搬迁。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.鼓励禁养区内现有畜禽散养户自行拆除养殖圈舍退养。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（二）非禁养区要求</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非禁养区内现有畜禽养殖场要进行标准化改造和提升，全面落实污染防治措施，减少对环境的污染，提高畜禽粪污综合利用程度，要坚持种养结合，走农牧循环、动植物互惠的发展路线，逐步形成生态畜牧业新格局。</w:t>
      </w:r>
    </w:p>
    <w:p>
      <w:pPr>
        <w:spacing w:line="360" w:lineRule="auto"/>
        <w:ind w:firstLine="480" w:firstLineChars="200"/>
        <w:rPr>
          <w:rFonts w:hint="eastAsia" w:ascii="宋体" w:hAnsi="宋体" w:eastAsia="宋体"/>
          <w:color w:val="FF0000"/>
          <w:sz w:val="24"/>
          <w:szCs w:val="24"/>
        </w:rPr>
      </w:pPr>
      <w:r>
        <w:rPr>
          <w:rFonts w:hint="eastAsia" w:ascii="宋体" w:hAnsi="宋体" w:eastAsia="宋体"/>
          <w:color w:val="auto"/>
          <w:sz w:val="24"/>
          <w:szCs w:val="24"/>
        </w:rPr>
        <w:t>2.非禁养区内新建、改建和扩建的畜禽养殖场，建设要求及申报程序必须按照相关规定实施。非禁养区内的畜禽养殖场必须规范建设，严格落实污染防治措施，对不能实现污染物达标排放的，将依法予以关停。</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四、其他规定</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（一）本通告自2020</w:t>
      </w:r>
      <w:r>
        <w:rPr>
          <w:rFonts w:ascii="宋体" w:hAnsi="宋体" w:eastAsia="宋体"/>
          <w:sz w:val="24"/>
          <w:szCs w:val="24"/>
        </w:rPr>
        <w:t>年</w:t>
      </w:r>
      <w:r>
        <w:rPr>
          <w:rFonts w:hint="eastAsia" w:ascii="宋体" w:hAnsi="宋体" w:eastAsia="宋体"/>
          <w:sz w:val="24"/>
          <w:szCs w:val="24"/>
          <w:u w:val="single"/>
          <w:lang w:val="en-US" w:eastAsia="zh-CN"/>
        </w:rPr>
        <w:t xml:space="preserve">  </w:t>
      </w:r>
      <w:r>
        <w:rPr>
          <w:rFonts w:ascii="宋体" w:hAnsi="宋体" w:eastAsia="宋体"/>
          <w:sz w:val="24"/>
          <w:szCs w:val="24"/>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日起开始实施，有效期五年。《恩平市人民政府关于修订恩平市畜禽养殖禁养区限养区适养区的通告》（恩府告〔2019〕1号）同时废止。</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特</w:t>
      </w:r>
      <w:r>
        <w:rPr>
          <w:rFonts w:ascii="宋体" w:hAnsi="宋体" w:eastAsia="宋体"/>
          <w:sz w:val="24"/>
          <w:szCs w:val="24"/>
        </w:rPr>
        <w:t>此通告</w:t>
      </w: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6240"/>
    <w:rsid w:val="001E3462"/>
    <w:rsid w:val="002855B1"/>
    <w:rsid w:val="00551728"/>
    <w:rsid w:val="006B6240"/>
    <w:rsid w:val="008653F6"/>
    <w:rsid w:val="00B25F15"/>
    <w:rsid w:val="050A0486"/>
    <w:rsid w:val="06AF7343"/>
    <w:rsid w:val="08952D16"/>
    <w:rsid w:val="0EA85B1C"/>
    <w:rsid w:val="18863222"/>
    <w:rsid w:val="2127288A"/>
    <w:rsid w:val="215954DB"/>
    <w:rsid w:val="21CE4C3A"/>
    <w:rsid w:val="2BF02E77"/>
    <w:rsid w:val="33BC1E73"/>
    <w:rsid w:val="352471DE"/>
    <w:rsid w:val="3A502F50"/>
    <w:rsid w:val="3A8D2298"/>
    <w:rsid w:val="43256D52"/>
    <w:rsid w:val="4D98615F"/>
    <w:rsid w:val="4E496B7C"/>
    <w:rsid w:val="50C3793D"/>
    <w:rsid w:val="532B77DE"/>
    <w:rsid w:val="53800CA8"/>
    <w:rsid w:val="62160F4D"/>
    <w:rsid w:val="64E3707F"/>
    <w:rsid w:val="74611F1F"/>
    <w:rsid w:val="752F06EA"/>
    <w:rsid w:val="7ADD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grsj</Company>
  <Pages>2</Pages>
  <Words>956</Words>
  <Characters>968</Characters>
  <Lines>8</Lines>
  <Paragraphs>2</Paragraphs>
  <TotalTime>2</TotalTime>
  <ScaleCrop>false</ScaleCrop>
  <LinksUpToDate>false</LinksUpToDate>
  <CharactersWithSpaces>968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2020-02-26T14:08:00Z</dcterms:created>
  <dc:creator> </dc:creator>
  <cp:lastModifiedBy>李璋</cp:lastModifiedBy>
  <cp:lastPrinted>2020-02-25T00:44:00Z</cp:lastPrinted>
  <dcterms:modified xsi:type="dcterms:W3CDTF">2020-04-03T02:28:27Z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